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05E8BE">
      <w:pPr>
        <w:rPr>
          <w:color w:val="0D0D0D" w:themeColor="text1" w:themeTint="F2"/>
          <w14:textFill>
            <w14:solidFill>
              <w14:schemeClr w14:val="tx1">
                <w14:lumMod w14:val="95000"/>
                <w14:lumOff w14:val="5000"/>
              </w14:schemeClr>
            </w14:solidFill>
          </w14:textFill>
        </w:rPr>
      </w:pPr>
    </w:p>
    <w:p w14:paraId="2F1820B7">
      <w:pPr>
        <w:rPr>
          <w:color w:val="0D0D0D" w:themeColor="text1" w:themeTint="F2"/>
          <w14:textFill>
            <w14:solidFill>
              <w14:schemeClr w14:val="tx1">
                <w14:lumMod w14:val="95000"/>
                <w14:lumOff w14:val="5000"/>
              </w14:schemeClr>
            </w14:solidFill>
          </w14:textFill>
        </w:rPr>
      </w:pPr>
    </w:p>
    <w:p w14:paraId="19850DEF">
      <w:pPr>
        <w:rPr>
          <w:color w:val="0D0D0D" w:themeColor="text1" w:themeTint="F2"/>
          <w14:textFill>
            <w14:solidFill>
              <w14:schemeClr w14:val="tx1">
                <w14:lumMod w14:val="95000"/>
                <w14:lumOff w14:val="5000"/>
              </w14:schemeClr>
            </w14:solidFill>
          </w14:textFill>
        </w:rPr>
      </w:pPr>
    </w:p>
    <w:p w14:paraId="737D42CA">
      <w:pPr>
        <w:rPr>
          <w:color w:val="0D0D0D" w:themeColor="text1" w:themeTint="F2"/>
          <w14:textFill>
            <w14:solidFill>
              <w14:schemeClr w14:val="tx1">
                <w14:lumMod w14:val="95000"/>
                <w14:lumOff w14:val="5000"/>
              </w14:schemeClr>
            </w14:solidFill>
          </w14:textFill>
        </w:rPr>
      </w:pPr>
    </w:p>
    <w:p w14:paraId="47A88EB9">
      <w:pPr>
        <w:spacing w:before="312" w:beforeLines="100" w:after="312" w:afterLines="100" w:line="480" w:lineRule="auto"/>
        <w:jc w:val="center"/>
        <w:rPr>
          <w:b/>
          <w:bCs/>
          <w:color w:val="0D0D0D" w:themeColor="text1" w:themeTint="F2"/>
          <w:sz w:val="48"/>
          <w:szCs w:val="48"/>
          <w14:textFill>
            <w14:solidFill>
              <w14:schemeClr w14:val="tx1">
                <w14:lumMod w14:val="95000"/>
                <w14:lumOff w14:val="5000"/>
              </w14:schemeClr>
            </w14:solidFill>
          </w14:textFill>
        </w:rPr>
      </w:pPr>
      <w:r>
        <w:rPr>
          <w:rFonts w:hint="eastAsia"/>
          <w:b/>
          <w:bCs/>
          <w:color w:val="0D0D0D" w:themeColor="text1" w:themeTint="F2"/>
          <w:sz w:val="48"/>
          <w:szCs w:val="48"/>
          <w14:textFill>
            <w14:solidFill>
              <w14:schemeClr w14:val="tx1">
                <w14:lumMod w14:val="95000"/>
                <w14:lumOff w14:val="5000"/>
              </w14:schemeClr>
            </w14:solidFill>
          </w14:textFill>
        </w:rPr>
        <w:t>欧德年产30万吨生物柴油生产线项目</w:t>
      </w:r>
    </w:p>
    <w:p w14:paraId="282FC537">
      <w:pPr>
        <w:spacing w:before="312" w:beforeLines="100" w:after="312" w:afterLines="100" w:line="480" w:lineRule="auto"/>
        <w:jc w:val="center"/>
        <w:rPr>
          <w:b/>
          <w:bCs/>
          <w:color w:val="0D0D0D" w:themeColor="text1" w:themeTint="F2"/>
          <w:sz w:val="52"/>
          <w:szCs w:val="52"/>
          <w14:textFill>
            <w14:solidFill>
              <w14:schemeClr w14:val="tx1">
                <w14:lumMod w14:val="95000"/>
                <w14:lumOff w14:val="5000"/>
              </w14:schemeClr>
            </w14:solidFill>
          </w14:textFill>
        </w:rPr>
      </w:pPr>
      <w:r>
        <w:rPr>
          <w:rFonts w:hint="eastAsia"/>
          <w:b/>
          <w:bCs/>
          <w:color w:val="0D0D0D" w:themeColor="text1" w:themeTint="F2"/>
          <w:sz w:val="52"/>
          <w:szCs w:val="52"/>
          <w14:textFill>
            <w14:solidFill>
              <w14:schemeClr w14:val="tx1">
                <w14:lumMod w14:val="95000"/>
                <w14:lumOff w14:val="5000"/>
              </w14:schemeClr>
            </w14:solidFill>
          </w14:textFill>
        </w:rPr>
        <w:t>环境影响报告书</w:t>
      </w:r>
    </w:p>
    <w:p w14:paraId="75EB4805">
      <w:pPr>
        <w:pStyle w:val="2"/>
        <w:spacing w:after="0"/>
        <w:ind w:firstLine="0" w:firstLineChars="0"/>
        <w:jc w:val="center"/>
        <w:rPr>
          <w:rFonts w:hint="eastAsia"/>
          <w:sz w:val="52"/>
          <w:szCs w:val="52"/>
        </w:rPr>
      </w:pPr>
      <w:r>
        <w:rPr>
          <w:rFonts w:hint="eastAsia"/>
          <w:sz w:val="52"/>
          <w:szCs w:val="52"/>
        </w:rPr>
        <w:t>（公示本）</w:t>
      </w:r>
    </w:p>
    <w:p w14:paraId="223F0064">
      <w:pPr>
        <w:rPr>
          <w:color w:val="0D0D0D" w:themeColor="text1" w:themeTint="F2"/>
          <w14:textFill>
            <w14:solidFill>
              <w14:schemeClr w14:val="tx1">
                <w14:lumMod w14:val="95000"/>
                <w14:lumOff w14:val="5000"/>
              </w14:schemeClr>
            </w14:solidFill>
          </w14:textFill>
        </w:rPr>
      </w:pPr>
    </w:p>
    <w:p w14:paraId="78D04ACE">
      <w:pPr>
        <w:rPr>
          <w:color w:val="0D0D0D" w:themeColor="text1" w:themeTint="F2"/>
          <w14:textFill>
            <w14:solidFill>
              <w14:schemeClr w14:val="tx1">
                <w14:lumMod w14:val="95000"/>
                <w14:lumOff w14:val="5000"/>
              </w14:schemeClr>
            </w14:solidFill>
          </w14:textFill>
        </w:rPr>
      </w:pPr>
    </w:p>
    <w:p w14:paraId="7881B135">
      <w:pPr>
        <w:rPr>
          <w:color w:val="0D0D0D" w:themeColor="text1" w:themeTint="F2"/>
          <w14:textFill>
            <w14:solidFill>
              <w14:schemeClr w14:val="tx1">
                <w14:lumMod w14:val="95000"/>
                <w14:lumOff w14:val="5000"/>
              </w14:schemeClr>
            </w14:solidFill>
          </w14:textFill>
        </w:rPr>
      </w:pPr>
    </w:p>
    <w:p w14:paraId="777FDD03">
      <w:pPr>
        <w:rPr>
          <w:color w:val="0D0D0D" w:themeColor="text1" w:themeTint="F2"/>
          <w14:textFill>
            <w14:solidFill>
              <w14:schemeClr w14:val="tx1">
                <w14:lumMod w14:val="95000"/>
                <w14:lumOff w14:val="5000"/>
              </w14:schemeClr>
            </w14:solidFill>
          </w14:textFill>
        </w:rPr>
      </w:pPr>
    </w:p>
    <w:p w14:paraId="0A46FED2">
      <w:pPr>
        <w:rPr>
          <w:color w:val="0D0D0D" w:themeColor="text1" w:themeTint="F2"/>
          <w14:textFill>
            <w14:solidFill>
              <w14:schemeClr w14:val="tx1">
                <w14:lumMod w14:val="95000"/>
                <w14:lumOff w14:val="5000"/>
              </w14:schemeClr>
            </w14:solidFill>
          </w14:textFill>
        </w:rPr>
      </w:pPr>
    </w:p>
    <w:p w14:paraId="088D1ED7">
      <w:pPr>
        <w:rPr>
          <w:color w:val="0D0D0D" w:themeColor="text1" w:themeTint="F2"/>
          <w14:textFill>
            <w14:solidFill>
              <w14:schemeClr w14:val="tx1">
                <w14:lumMod w14:val="95000"/>
                <w14:lumOff w14:val="5000"/>
              </w14:schemeClr>
            </w14:solidFill>
          </w14:textFill>
        </w:rPr>
      </w:pPr>
    </w:p>
    <w:p w14:paraId="6E79C517">
      <w:pPr>
        <w:rPr>
          <w:color w:val="0D0D0D" w:themeColor="text1" w:themeTint="F2"/>
          <w14:textFill>
            <w14:solidFill>
              <w14:schemeClr w14:val="tx1">
                <w14:lumMod w14:val="95000"/>
                <w14:lumOff w14:val="5000"/>
              </w14:schemeClr>
            </w14:solidFill>
          </w14:textFill>
        </w:rPr>
      </w:pPr>
    </w:p>
    <w:p w14:paraId="7DC9F113">
      <w:pPr>
        <w:rPr>
          <w:color w:val="0D0D0D" w:themeColor="text1" w:themeTint="F2"/>
          <w14:textFill>
            <w14:solidFill>
              <w14:schemeClr w14:val="tx1">
                <w14:lumMod w14:val="95000"/>
                <w14:lumOff w14:val="5000"/>
              </w14:schemeClr>
            </w14:solidFill>
          </w14:textFill>
        </w:rPr>
      </w:pPr>
    </w:p>
    <w:p w14:paraId="73FF8611">
      <w:pPr>
        <w:rPr>
          <w:color w:val="0D0D0D" w:themeColor="text1" w:themeTint="F2"/>
          <w14:textFill>
            <w14:solidFill>
              <w14:schemeClr w14:val="tx1">
                <w14:lumMod w14:val="95000"/>
                <w14:lumOff w14:val="5000"/>
              </w14:schemeClr>
            </w14:solidFill>
          </w14:textFill>
        </w:rPr>
      </w:pPr>
    </w:p>
    <w:p w14:paraId="68D11B7A">
      <w:pPr>
        <w:rPr>
          <w:color w:val="0D0D0D" w:themeColor="text1" w:themeTint="F2"/>
          <w14:textFill>
            <w14:solidFill>
              <w14:schemeClr w14:val="tx1">
                <w14:lumMod w14:val="95000"/>
                <w14:lumOff w14:val="5000"/>
              </w14:schemeClr>
            </w14:solidFill>
          </w14:textFill>
        </w:rPr>
      </w:pPr>
    </w:p>
    <w:p w14:paraId="6B99095E">
      <w:pPr>
        <w:spacing w:before="156" w:beforeLines="50" w:after="156" w:afterLines="50" w:line="480" w:lineRule="auto"/>
        <w:ind w:firstLine="964" w:firstLineChars="300"/>
        <w:rPr>
          <w:b/>
          <w:bCs/>
          <w:color w:val="0D0D0D" w:themeColor="text1" w:themeTint="F2"/>
          <w:sz w:val="32"/>
          <w:szCs w:val="32"/>
          <w14:textFill>
            <w14:solidFill>
              <w14:schemeClr w14:val="tx1">
                <w14:lumMod w14:val="95000"/>
                <w14:lumOff w14:val="5000"/>
              </w14:schemeClr>
            </w14:solidFill>
          </w14:textFill>
        </w:rPr>
      </w:pPr>
      <w:r>
        <w:rPr>
          <w:rFonts w:hint="eastAsia"/>
          <w:b/>
          <w:bCs/>
          <w:color w:val="0D0D0D" w:themeColor="text1" w:themeTint="F2"/>
          <w:sz w:val="32"/>
          <w:szCs w:val="32"/>
          <w14:textFill>
            <w14:solidFill>
              <w14:schemeClr w14:val="tx1">
                <w14:lumMod w14:val="95000"/>
                <w14:lumOff w14:val="5000"/>
              </w14:schemeClr>
            </w14:solidFill>
          </w14:textFill>
        </w:rPr>
        <w:t>建设单位：广西自贸区丰之力新能源有限公司</w:t>
      </w:r>
    </w:p>
    <w:p w14:paraId="30411CD3">
      <w:pPr>
        <w:spacing w:before="156" w:beforeLines="50" w:after="156" w:afterLines="50" w:line="480" w:lineRule="auto"/>
        <w:ind w:firstLine="964" w:firstLineChars="300"/>
        <w:rPr>
          <w:b/>
          <w:bCs/>
          <w:color w:val="0D0D0D" w:themeColor="text1" w:themeTint="F2"/>
          <w:sz w:val="32"/>
          <w:szCs w:val="32"/>
          <w14:textFill>
            <w14:solidFill>
              <w14:schemeClr w14:val="tx1">
                <w14:lumMod w14:val="95000"/>
                <w14:lumOff w14:val="5000"/>
              </w14:schemeClr>
            </w14:solidFill>
          </w14:textFill>
        </w:rPr>
      </w:pPr>
      <w:r>
        <w:rPr>
          <w:rFonts w:hint="eastAsia"/>
          <w:b/>
          <w:bCs/>
          <w:color w:val="0D0D0D" w:themeColor="text1" w:themeTint="F2"/>
          <w:sz w:val="32"/>
          <w:szCs w:val="32"/>
          <w14:textFill>
            <w14:solidFill>
              <w14:schemeClr w14:val="tx1">
                <w14:lumMod w14:val="95000"/>
                <w14:lumOff w14:val="5000"/>
              </w14:schemeClr>
            </w14:solidFill>
          </w14:textFill>
        </w:rPr>
        <w:t>编制单位：广西南宁中佳环境技术服务有限公司</w:t>
      </w:r>
    </w:p>
    <w:p w14:paraId="07F52351">
      <w:pPr>
        <w:spacing w:before="156" w:beforeLines="50" w:after="156" w:afterLines="50" w:line="480" w:lineRule="auto"/>
        <w:ind w:firstLine="964" w:firstLineChars="300"/>
        <w:rPr>
          <w:b/>
          <w:bCs/>
          <w:color w:val="0D0D0D" w:themeColor="text1" w:themeTint="F2"/>
          <w:sz w:val="32"/>
          <w:szCs w:val="32"/>
          <w14:textFill>
            <w14:solidFill>
              <w14:schemeClr w14:val="tx1">
                <w14:lumMod w14:val="95000"/>
                <w14:lumOff w14:val="5000"/>
              </w14:schemeClr>
            </w14:solidFill>
          </w14:textFill>
        </w:rPr>
      </w:pPr>
      <w:r>
        <w:rPr>
          <w:rFonts w:hint="eastAsia"/>
          <w:b/>
          <w:bCs/>
          <w:color w:val="0D0D0D" w:themeColor="text1" w:themeTint="F2"/>
          <w:sz w:val="32"/>
          <w:szCs w:val="32"/>
          <w14:textFill>
            <w14:solidFill>
              <w14:schemeClr w14:val="tx1">
                <w14:lumMod w14:val="95000"/>
                <w14:lumOff w14:val="5000"/>
              </w14:schemeClr>
            </w14:solidFill>
          </w14:textFill>
        </w:rPr>
        <w:t>编制时间：二〇二五年八月</w:t>
      </w:r>
    </w:p>
    <w:p w14:paraId="4E7D27C6">
      <w:pPr>
        <w:widowControl/>
        <w:spacing w:line="240" w:lineRule="auto"/>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14:paraId="69E4B62A">
      <w:pPr>
        <w:widowControl/>
        <w:spacing w:line="240" w:lineRule="auto"/>
        <w:jc w:val="center"/>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欧德年产30万吨生物柴油生产线项目修改说明</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3488"/>
        <w:gridCol w:w="5033"/>
      </w:tblGrid>
      <w:tr w14:paraId="7176E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390" w:type="pct"/>
            <w:vAlign w:val="center"/>
          </w:tcPr>
          <w:p w14:paraId="72FDBD3C">
            <w:pPr>
              <w:pStyle w:val="2"/>
              <w:spacing w:after="0" w:line="240" w:lineRule="auto"/>
              <w:ind w:firstLine="0" w:firstLineChars="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序号</w:t>
            </w:r>
          </w:p>
        </w:tc>
        <w:tc>
          <w:tcPr>
            <w:tcW w:w="1887" w:type="pct"/>
            <w:vAlign w:val="center"/>
          </w:tcPr>
          <w:p w14:paraId="0B519073">
            <w:pPr>
              <w:pStyle w:val="2"/>
              <w:spacing w:after="0" w:line="240" w:lineRule="auto"/>
              <w:ind w:firstLine="0" w:firstLineChars="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评审意见</w:t>
            </w:r>
          </w:p>
        </w:tc>
        <w:tc>
          <w:tcPr>
            <w:tcW w:w="2723" w:type="pct"/>
            <w:vAlign w:val="center"/>
          </w:tcPr>
          <w:p w14:paraId="531F43BF">
            <w:pPr>
              <w:pStyle w:val="2"/>
              <w:spacing w:after="0" w:line="240" w:lineRule="auto"/>
              <w:ind w:firstLine="0" w:firstLineChars="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修改说明</w:t>
            </w:r>
          </w:p>
        </w:tc>
      </w:tr>
      <w:tr w14:paraId="292C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0" w:type="pct"/>
            <w:vAlign w:val="center"/>
          </w:tcPr>
          <w:p w14:paraId="7A100558">
            <w:pPr>
              <w:pStyle w:val="2"/>
              <w:spacing w:after="0" w:line="240" w:lineRule="auto"/>
              <w:ind w:firstLine="0" w:firstLineChars="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w:t>
            </w:r>
          </w:p>
        </w:tc>
        <w:tc>
          <w:tcPr>
            <w:tcW w:w="1887" w:type="pct"/>
            <w:vAlign w:val="center"/>
          </w:tcPr>
          <w:p w14:paraId="53AA0C1C">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核实、细化项目与园区规划审查意见、化工园区管理有关规定相符性分析；核实、细化编制依据，补充说明项目是否属于“两高”项目。</w:t>
            </w:r>
          </w:p>
        </w:tc>
        <w:tc>
          <w:tcPr>
            <w:tcW w:w="2723" w:type="pct"/>
            <w:vAlign w:val="center"/>
          </w:tcPr>
          <w:p w14:paraId="5E539899">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（1）已完善有关规划相符性，详见P40~P51；</w:t>
            </w:r>
          </w:p>
          <w:p w14:paraId="5828051A">
            <w:pPr>
              <w:pStyle w:val="4"/>
              <w:spacing w:after="0" w:line="240" w:lineRule="auto"/>
              <w:ind w:left="0" w:leftChars="0"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（2）已完善编制依据，详见P8~P11；</w:t>
            </w:r>
          </w:p>
          <w:p w14:paraId="3D9F73DA">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（3）已补充说明“两高”项目判定依据，详见P4。</w:t>
            </w:r>
          </w:p>
        </w:tc>
      </w:tr>
      <w:tr w14:paraId="1E78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0" w:type="pct"/>
            <w:vAlign w:val="center"/>
          </w:tcPr>
          <w:p w14:paraId="2079C8F5">
            <w:pPr>
              <w:pStyle w:val="2"/>
              <w:spacing w:after="0" w:line="240" w:lineRule="auto"/>
              <w:ind w:firstLine="0" w:firstLineChars="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w:t>
            </w:r>
          </w:p>
        </w:tc>
        <w:tc>
          <w:tcPr>
            <w:tcW w:w="1887" w:type="pct"/>
            <w:vAlign w:val="center"/>
          </w:tcPr>
          <w:p w14:paraId="7B1F1BB1">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核实环境影响因子的识别；补充危废暂存间废气排放执行标准；完善环境保护目标分布调查，核实地下水、环境风险评价等级确定依据和评价等级、评价范围；补充周围设施环境制约条件调查（附图）及总平布置合理性分析。</w:t>
            </w:r>
          </w:p>
        </w:tc>
        <w:tc>
          <w:tcPr>
            <w:tcW w:w="2723" w:type="pct"/>
            <w:vAlign w:val="center"/>
          </w:tcPr>
          <w:p w14:paraId="561C5854">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（1）已核实环境影响因子识别，详见P12~P13；</w:t>
            </w:r>
          </w:p>
          <w:p w14:paraId="18757924">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（2）已补充危废暂存间废气排放执行标准，详见P22~P23；</w:t>
            </w:r>
          </w:p>
          <w:p w14:paraId="6DB51FC2">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（3）已完善环境保护目标分布调查，详见P35~P37；</w:t>
            </w:r>
          </w:p>
          <w:p w14:paraId="589052D5">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（4）已核实地下水、环境风险评价等级确定依据和评价等级、评价范围，详见P30~P34；</w:t>
            </w:r>
          </w:p>
          <w:p w14:paraId="73765A72">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（4）已补充周围设施环境制约条件调查（附图）及总平布置合理性分析，详见P99。</w:t>
            </w:r>
          </w:p>
        </w:tc>
      </w:tr>
      <w:tr w14:paraId="3BAC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0" w:type="pct"/>
            <w:vAlign w:val="center"/>
          </w:tcPr>
          <w:p w14:paraId="194718E4">
            <w:pPr>
              <w:pStyle w:val="2"/>
              <w:spacing w:after="0" w:line="240" w:lineRule="auto"/>
              <w:ind w:firstLine="0" w:firstLineChars="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w:t>
            </w:r>
          </w:p>
        </w:tc>
        <w:tc>
          <w:tcPr>
            <w:tcW w:w="1887" w:type="pct"/>
            <w:vAlign w:val="center"/>
          </w:tcPr>
          <w:p w14:paraId="5792A643">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完善主体工程建设内容，完善原料来源说明、有害成分分析及质量控制措施，核实完善反应方程式。核实项目储运工程、环保工程建设内容；完善产品质量标准，补充项目产品工业级混合油不属废物分析；核实项目燃料、导热油、白土等的使用量，补充完善依托工程介绍，进一步完善项目工程内容介绍。细化储罐、废水废液池设置安装方案。</w:t>
            </w:r>
          </w:p>
        </w:tc>
        <w:tc>
          <w:tcPr>
            <w:tcW w:w="2723" w:type="pct"/>
            <w:vAlign w:val="center"/>
          </w:tcPr>
          <w:p w14:paraId="46BAF99D">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（1）已完善主体工程建设内容，详见P80~P82；</w:t>
            </w:r>
          </w:p>
          <w:p w14:paraId="0E06E04B">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（2）已完善原料来源说明、有害成分分析及质量控制措施，详见P93~P94；</w:t>
            </w:r>
          </w:p>
          <w:p w14:paraId="38D75212">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（3）已核实完善反应方程式，详见P105~P107；</w:t>
            </w:r>
          </w:p>
          <w:p w14:paraId="3774588D">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（4）已核实项目储运工程、环保工程建设内容，详见P82~P83、P98；</w:t>
            </w:r>
          </w:p>
          <w:p w14:paraId="0575F52A">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（5）已完善产品质量标准，并补充项目产品工业级混合油不属废物分析，详见P84~P87；</w:t>
            </w:r>
          </w:p>
          <w:p w14:paraId="194AFADE">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（6）已核实项目燃料、导热油、白土等的使用量，详见P93~P94；</w:t>
            </w:r>
          </w:p>
          <w:p w14:paraId="225E1041">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（7）已补充完善依托工程介绍，详见P99~P100；</w:t>
            </w:r>
          </w:p>
          <w:p w14:paraId="30014476">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（8）已细化安装方案，详见P96~P98。</w:t>
            </w:r>
          </w:p>
        </w:tc>
      </w:tr>
      <w:tr w14:paraId="7A0CF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0" w:type="pct"/>
            <w:vAlign w:val="center"/>
          </w:tcPr>
          <w:p w14:paraId="5A3FD650">
            <w:pPr>
              <w:pStyle w:val="2"/>
              <w:spacing w:after="0" w:line="240" w:lineRule="auto"/>
              <w:ind w:firstLine="0" w:firstLineChars="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4</w:t>
            </w:r>
          </w:p>
        </w:tc>
        <w:tc>
          <w:tcPr>
            <w:tcW w:w="1887" w:type="pct"/>
            <w:vAlign w:val="center"/>
          </w:tcPr>
          <w:p w14:paraId="5E0D97F9">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完善项目生产线工艺流程及产污环节分析、各产污环节主要污染因子，补充生产制度、反应时间、反应率、转化率及排污规律，核实物料平衡和水平衡。按规范绘制装置污染源分布流程图；补充实验室建设内容及产排污分析。</w:t>
            </w:r>
          </w:p>
        </w:tc>
        <w:tc>
          <w:tcPr>
            <w:tcW w:w="2723" w:type="pct"/>
            <w:vAlign w:val="center"/>
          </w:tcPr>
          <w:p w14:paraId="4A8C0E4A">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（1）已核实完善工程分析相关内容，详见P103~P117。</w:t>
            </w:r>
          </w:p>
        </w:tc>
      </w:tr>
      <w:tr w14:paraId="78BE7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0" w:type="pct"/>
            <w:vAlign w:val="center"/>
          </w:tcPr>
          <w:p w14:paraId="5E63746C">
            <w:pPr>
              <w:pStyle w:val="2"/>
              <w:spacing w:after="0" w:line="240" w:lineRule="auto"/>
              <w:ind w:firstLine="0" w:firstLineChars="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w:t>
            </w:r>
          </w:p>
        </w:tc>
        <w:tc>
          <w:tcPr>
            <w:tcW w:w="1887" w:type="pct"/>
            <w:vAlign w:val="center"/>
          </w:tcPr>
          <w:p w14:paraId="28764E7E">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核实项目各生产车间废气主要污染物的产生源强和废气的处理工艺和处理效率，核实废气排放口主要污染物和排放源强，完善达标排放分析内容；核实锅炉燃料用量、烟气产生量、主要污染物产排源强和达标分析；补充沼气总硫成分分析，核实1#导热油锅炉烟气主要污染物产排分析。</w:t>
            </w:r>
          </w:p>
        </w:tc>
        <w:tc>
          <w:tcPr>
            <w:tcW w:w="2723" w:type="pct"/>
            <w:vAlign w:val="center"/>
          </w:tcPr>
          <w:p w14:paraId="5DAE09E5">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（2）已核实完善废气源强核算等相关内容，详见P136~P156。</w:t>
            </w:r>
          </w:p>
        </w:tc>
      </w:tr>
      <w:tr w14:paraId="27A37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0" w:type="pct"/>
            <w:vAlign w:val="center"/>
          </w:tcPr>
          <w:p w14:paraId="49239FE8">
            <w:pPr>
              <w:pStyle w:val="2"/>
              <w:spacing w:after="0" w:line="240" w:lineRule="auto"/>
              <w:ind w:firstLine="0" w:firstLineChars="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6</w:t>
            </w:r>
          </w:p>
        </w:tc>
        <w:tc>
          <w:tcPr>
            <w:tcW w:w="1887" w:type="pct"/>
            <w:vAlign w:val="center"/>
          </w:tcPr>
          <w:p w14:paraId="76BA5295">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核实污水处理站各处理工序的主要污染物处理效果，完善废水主要污染物源强产排分析及依托处理的可行性。</w:t>
            </w:r>
          </w:p>
        </w:tc>
        <w:tc>
          <w:tcPr>
            <w:tcW w:w="2723" w:type="pct"/>
            <w:vAlign w:val="center"/>
          </w:tcPr>
          <w:p w14:paraId="64FF0D05">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（1）已核实完善废水源强等相关内容，详见P159、P246~P247、P329~P333。</w:t>
            </w:r>
          </w:p>
        </w:tc>
      </w:tr>
      <w:tr w14:paraId="0FB3A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0" w:type="pct"/>
            <w:vAlign w:val="center"/>
          </w:tcPr>
          <w:p w14:paraId="553F9545">
            <w:pPr>
              <w:pStyle w:val="2"/>
              <w:spacing w:after="0" w:line="240" w:lineRule="auto"/>
              <w:ind w:firstLine="0" w:firstLineChars="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7</w:t>
            </w:r>
          </w:p>
        </w:tc>
        <w:tc>
          <w:tcPr>
            <w:tcW w:w="1887" w:type="pct"/>
            <w:vAlign w:val="center"/>
          </w:tcPr>
          <w:p w14:paraId="034E664A">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核实污水处理产生污泥量、废白土的产生量、废MBR膜的去向，补充废布袋、废包装袋产排及去向分析，完善危废的识别分析，完善固体废物的产排、暂存、处置措施和去向分析；完善防渗措施。</w:t>
            </w:r>
          </w:p>
        </w:tc>
        <w:tc>
          <w:tcPr>
            <w:tcW w:w="2723" w:type="pct"/>
            <w:vAlign w:val="center"/>
          </w:tcPr>
          <w:p w14:paraId="299D2DFC">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（1）已核实完善固废分析，详见P162~P169；</w:t>
            </w:r>
          </w:p>
          <w:p w14:paraId="71B6DFC6">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（2）已完善防渗措施，详见P335。</w:t>
            </w:r>
          </w:p>
        </w:tc>
      </w:tr>
      <w:tr w14:paraId="53688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0" w:type="pct"/>
            <w:vAlign w:val="center"/>
          </w:tcPr>
          <w:p w14:paraId="42F27D89">
            <w:pPr>
              <w:pStyle w:val="2"/>
              <w:spacing w:after="0" w:line="240" w:lineRule="auto"/>
              <w:ind w:firstLine="0" w:firstLineChars="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8</w:t>
            </w:r>
          </w:p>
        </w:tc>
        <w:tc>
          <w:tcPr>
            <w:tcW w:w="1887" w:type="pct"/>
            <w:vAlign w:val="center"/>
          </w:tcPr>
          <w:p w14:paraId="6BC6C6EF">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完善碳排放分析，完善项目大气环保设施经济、技术可行性分析。</w:t>
            </w:r>
          </w:p>
        </w:tc>
        <w:tc>
          <w:tcPr>
            <w:tcW w:w="2723" w:type="pct"/>
            <w:vAlign w:val="center"/>
          </w:tcPr>
          <w:p w14:paraId="3D042DE0">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（1）已完善碳排放分析，详见P309~P317；</w:t>
            </w:r>
          </w:p>
          <w:p w14:paraId="43CABAAE">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（2）完善项目大气环保设施经济、技术可行性分析，详见P320~P329。</w:t>
            </w:r>
          </w:p>
        </w:tc>
      </w:tr>
      <w:tr w14:paraId="33DF8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0" w:type="pct"/>
            <w:vAlign w:val="center"/>
          </w:tcPr>
          <w:p w14:paraId="649CEDCD">
            <w:pPr>
              <w:pStyle w:val="2"/>
              <w:spacing w:after="0" w:line="240" w:lineRule="auto"/>
              <w:ind w:firstLine="0" w:firstLineChars="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9</w:t>
            </w:r>
          </w:p>
        </w:tc>
        <w:tc>
          <w:tcPr>
            <w:tcW w:w="1887" w:type="pct"/>
            <w:vAlign w:val="center"/>
          </w:tcPr>
          <w:p w14:paraId="735BB101">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完善项目大气评价区域达标区判定；完善土壤、地下水现状调查及超标原因分析。</w:t>
            </w:r>
          </w:p>
        </w:tc>
        <w:tc>
          <w:tcPr>
            <w:tcW w:w="2723" w:type="pct"/>
            <w:vAlign w:val="center"/>
          </w:tcPr>
          <w:p w14:paraId="74A11E9F">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（1）完善项目大气评价区域达标区判定，详见P193~P194；</w:t>
            </w:r>
          </w:p>
          <w:p w14:paraId="1FA263E8">
            <w:pPr>
              <w:pStyle w:val="4"/>
              <w:spacing w:after="0" w:line="240" w:lineRule="auto"/>
              <w:ind w:left="0" w:leftChars="0"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（2）完善土壤、地下水现状调查及超标原因分析，详见P198~P215。</w:t>
            </w:r>
          </w:p>
        </w:tc>
      </w:tr>
      <w:tr w14:paraId="228FD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0" w:type="pct"/>
            <w:vAlign w:val="center"/>
          </w:tcPr>
          <w:p w14:paraId="7636B641">
            <w:pPr>
              <w:pStyle w:val="2"/>
              <w:spacing w:after="0" w:line="240" w:lineRule="auto"/>
              <w:ind w:firstLine="0" w:firstLineChars="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10</w:t>
            </w:r>
          </w:p>
        </w:tc>
        <w:tc>
          <w:tcPr>
            <w:tcW w:w="1887" w:type="pct"/>
            <w:vAlign w:val="center"/>
          </w:tcPr>
          <w:p w14:paraId="2BFAC9FC">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lang w:eastAsia="zh-CN"/>
                <w14:textFill>
                  <w14:solidFill>
                    <w14:schemeClr w14:val="tx1">
                      <w14:lumMod w14:val="95000"/>
                      <w14:lumOff w14:val="5000"/>
                    </w14:schemeClr>
                  </w14:solidFill>
                </w14:textFill>
              </w:rPr>
              <w:t>结合</w:t>
            </w:r>
            <w:r>
              <w:rPr>
                <w:rFonts w:hint="eastAsia"/>
                <w:color w:val="0D0D0D" w:themeColor="text1" w:themeTint="F2"/>
                <w:sz w:val="21"/>
                <w:szCs w:val="21"/>
                <w14:textFill>
                  <w14:solidFill>
                    <w14:schemeClr w14:val="tx1">
                      <w14:lumMod w14:val="95000"/>
                      <w14:lumOff w14:val="5000"/>
                    </w14:schemeClr>
                  </w14:solidFill>
                </w14:textFill>
              </w:rPr>
              <w:t>核实后的大气污染物排放源强，核实大气环境影响预测结果；核实地下水预测污染源位置、预测模型、预测结果；完善土壤环境影响评价。</w:t>
            </w:r>
          </w:p>
        </w:tc>
        <w:tc>
          <w:tcPr>
            <w:tcW w:w="2723" w:type="pct"/>
            <w:vAlign w:val="center"/>
          </w:tcPr>
          <w:p w14:paraId="4F239174">
            <w:pPr>
              <w:pStyle w:val="2"/>
              <w:spacing w:after="0" w:line="240" w:lineRule="auto"/>
              <w:ind w:firstLine="0" w:firstLineChars="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（1）已完善，详见预测章节。</w:t>
            </w:r>
          </w:p>
        </w:tc>
      </w:tr>
      <w:tr w14:paraId="4032F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0" w:type="pct"/>
            <w:vAlign w:val="center"/>
          </w:tcPr>
          <w:p w14:paraId="2C034530">
            <w:pPr>
              <w:pStyle w:val="2"/>
              <w:spacing w:after="0" w:line="240" w:lineRule="auto"/>
              <w:ind w:firstLine="0" w:firstLineChars="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11</w:t>
            </w:r>
          </w:p>
        </w:tc>
        <w:tc>
          <w:tcPr>
            <w:tcW w:w="1887" w:type="pct"/>
            <w:vAlign w:val="center"/>
          </w:tcPr>
          <w:p w14:paraId="14820AAC">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补充施工期环境风险识别及防控措施，完善营运期环境风险识别，核实事故情景设置、事故源强核算，细化完善环境风险防范、监控、应急措施及相关图件。</w:t>
            </w:r>
          </w:p>
        </w:tc>
        <w:tc>
          <w:tcPr>
            <w:tcW w:w="2723" w:type="pct"/>
            <w:vAlign w:val="center"/>
          </w:tcPr>
          <w:p w14:paraId="5BE01FDB">
            <w:pPr>
              <w:pStyle w:val="2"/>
              <w:spacing w:after="0" w:line="240" w:lineRule="auto"/>
              <w:ind w:firstLine="0" w:firstLineChars="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（1）已完善，详见风险评价章节。</w:t>
            </w:r>
          </w:p>
        </w:tc>
      </w:tr>
      <w:tr w14:paraId="49EA4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0" w:type="pct"/>
            <w:vAlign w:val="center"/>
          </w:tcPr>
          <w:p w14:paraId="6D8D430C">
            <w:pPr>
              <w:pStyle w:val="2"/>
              <w:spacing w:after="0" w:line="240" w:lineRule="auto"/>
              <w:ind w:firstLine="0" w:firstLineChars="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12</w:t>
            </w:r>
          </w:p>
        </w:tc>
        <w:tc>
          <w:tcPr>
            <w:tcW w:w="1887" w:type="pct"/>
            <w:vAlign w:val="center"/>
          </w:tcPr>
          <w:p w14:paraId="5F521446">
            <w:pPr>
              <w:pStyle w:val="2"/>
              <w:spacing w:after="0" w:line="240" w:lineRule="auto"/>
              <w:ind w:firstLine="0" w:firstLineChars="0"/>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完善监测计划，根据专家、部门代表其他意见修改完善报告书。</w:t>
            </w:r>
          </w:p>
        </w:tc>
        <w:tc>
          <w:tcPr>
            <w:tcW w:w="2723" w:type="pct"/>
            <w:vAlign w:val="center"/>
          </w:tcPr>
          <w:p w14:paraId="6AE0B770">
            <w:pPr>
              <w:pStyle w:val="2"/>
              <w:spacing w:after="0" w:line="240" w:lineRule="auto"/>
              <w:ind w:firstLine="0" w:firstLineChars="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见文中划线处。</w:t>
            </w:r>
          </w:p>
        </w:tc>
      </w:tr>
    </w:tbl>
    <w:p w14:paraId="5239715A">
      <w:pPr>
        <w:widowControl/>
        <w:spacing w:line="240" w:lineRule="auto"/>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6"/>
        <w:gridCol w:w="4568"/>
      </w:tblGrid>
      <w:tr w14:paraId="3AEDA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07" w:type="dxa"/>
            <w:vAlign w:val="center"/>
          </w:tcPr>
          <w:p w14:paraId="40C3D20D">
            <w:pPr>
              <w:spacing w:line="240" w:lineRule="auto"/>
              <w:jc w:val="center"/>
              <w:rPr>
                <w:b/>
                <w:bCs/>
                <w:color w:val="0D0D0D" w:themeColor="text1" w:themeTint="F2"/>
                <w:sz w:val="21"/>
                <w:szCs w:val="21"/>
                <w14:textFill>
                  <w14:solidFill>
                    <w14:schemeClr w14:val="tx1">
                      <w14:lumMod w14:val="95000"/>
                      <w14:lumOff w14:val="5000"/>
                    </w14:schemeClr>
                  </w14:solidFill>
                </w14:textFill>
              </w:rPr>
            </w:pPr>
            <w:r>
              <w:rPr>
                <w:b/>
                <w:bCs/>
                <w:color w:val="0D0D0D" w:themeColor="text1" w:themeTint="F2"/>
                <w:sz w:val="21"/>
                <w:szCs w:val="21"/>
                <w14:textFill>
                  <w14:solidFill>
                    <w14:schemeClr w14:val="tx1">
                      <w14:lumMod w14:val="95000"/>
                      <w14:lumOff w14:val="5000"/>
                    </w14:schemeClr>
                  </w14:solidFill>
                </w14:textFill>
              </w:rPr>
              <w:drawing>
                <wp:inline distT="0" distB="0" distL="0" distR="0">
                  <wp:extent cx="2726055" cy="1532890"/>
                  <wp:effectExtent l="0" t="0" r="0" b="0"/>
                  <wp:docPr id="482865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658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736693" cy="1539049"/>
                          </a:xfrm>
                          <a:prstGeom prst="rect">
                            <a:avLst/>
                          </a:prstGeom>
                          <a:noFill/>
                          <a:ln>
                            <a:noFill/>
                          </a:ln>
                        </pic:spPr>
                      </pic:pic>
                    </a:graphicData>
                  </a:graphic>
                </wp:inline>
              </w:drawing>
            </w:r>
          </w:p>
        </w:tc>
        <w:tc>
          <w:tcPr>
            <w:tcW w:w="4509" w:type="dxa"/>
            <w:vAlign w:val="center"/>
          </w:tcPr>
          <w:p w14:paraId="335E1238">
            <w:pPr>
              <w:spacing w:line="240" w:lineRule="auto"/>
              <w:jc w:val="center"/>
              <w:rPr>
                <w:b/>
                <w:bCs/>
                <w:color w:val="0D0D0D" w:themeColor="text1" w:themeTint="F2"/>
                <w:sz w:val="21"/>
                <w:szCs w:val="21"/>
                <w14:textFill>
                  <w14:solidFill>
                    <w14:schemeClr w14:val="tx1">
                      <w14:lumMod w14:val="95000"/>
                      <w14:lumOff w14:val="5000"/>
                    </w14:schemeClr>
                  </w14:solidFill>
                </w14:textFill>
              </w:rPr>
            </w:pPr>
            <w:r>
              <w:rPr>
                <w:b/>
                <w:bCs/>
                <w:color w:val="0D0D0D" w:themeColor="text1" w:themeTint="F2"/>
                <w:sz w:val="21"/>
                <w:szCs w:val="21"/>
                <w14:textFill>
                  <w14:solidFill>
                    <w14:schemeClr w14:val="tx1">
                      <w14:lumMod w14:val="95000"/>
                      <w14:lumOff w14:val="5000"/>
                    </w14:schemeClr>
                  </w14:solidFill>
                </w14:textFill>
              </w:rPr>
              <w:drawing>
                <wp:inline distT="0" distB="0" distL="0" distR="0">
                  <wp:extent cx="2737485" cy="1539240"/>
                  <wp:effectExtent l="0" t="0" r="5715" b="3810"/>
                  <wp:docPr id="2282457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45787"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768254" cy="1556798"/>
                          </a:xfrm>
                          <a:prstGeom prst="rect">
                            <a:avLst/>
                          </a:prstGeom>
                          <a:noFill/>
                          <a:ln>
                            <a:noFill/>
                          </a:ln>
                        </pic:spPr>
                      </pic:pic>
                    </a:graphicData>
                  </a:graphic>
                </wp:inline>
              </w:drawing>
            </w:r>
          </w:p>
        </w:tc>
      </w:tr>
      <w:tr w14:paraId="04C7D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07" w:type="dxa"/>
            <w:vAlign w:val="center"/>
          </w:tcPr>
          <w:p w14:paraId="4AD89647">
            <w:pPr>
              <w:spacing w:line="240" w:lineRule="auto"/>
              <w:jc w:val="center"/>
              <w:rPr>
                <w:b/>
                <w:bCs/>
                <w:color w:val="0D0D0D" w:themeColor="text1" w:themeTint="F2"/>
                <w:sz w:val="21"/>
                <w:szCs w:val="21"/>
                <w14:textFill>
                  <w14:solidFill>
                    <w14:schemeClr w14:val="tx1">
                      <w14:lumMod w14:val="95000"/>
                      <w14:lumOff w14:val="5000"/>
                    </w14:schemeClr>
                  </w14:solidFill>
                </w14:textFill>
              </w:rPr>
            </w:pPr>
            <w:r>
              <w:rPr>
                <w:rFonts w:hint="eastAsia"/>
                <w:b/>
                <w:bCs/>
                <w:color w:val="0D0D0D" w:themeColor="text1" w:themeTint="F2"/>
                <w:sz w:val="21"/>
                <w:szCs w:val="21"/>
                <w14:textFill>
                  <w14:solidFill>
                    <w14:schemeClr w14:val="tx1">
                      <w14:lumMod w14:val="95000"/>
                      <w14:lumOff w14:val="5000"/>
                    </w14:schemeClr>
                  </w14:solidFill>
                </w14:textFill>
              </w:rPr>
              <w:t>项目东面</w:t>
            </w:r>
          </w:p>
        </w:tc>
        <w:tc>
          <w:tcPr>
            <w:tcW w:w="4509" w:type="dxa"/>
            <w:vAlign w:val="center"/>
          </w:tcPr>
          <w:p w14:paraId="720A00A6">
            <w:pPr>
              <w:spacing w:line="240" w:lineRule="auto"/>
              <w:jc w:val="center"/>
              <w:rPr>
                <w:b/>
                <w:bCs/>
                <w:color w:val="0D0D0D" w:themeColor="text1" w:themeTint="F2"/>
                <w:sz w:val="21"/>
                <w:szCs w:val="21"/>
                <w14:textFill>
                  <w14:solidFill>
                    <w14:schemeClr w14:val="tx1">
                      <w14:lumMod w14:val="95000"/>
                      <w14:lumOff w14:val="5000"/>
                    </w14:schemeClr>
                  </w14:solidFill>
                </w14:textFill>
              </w:rPr>
            </w:pPr>
            <w:r>
              <w:rPr>
                <w:rFonts w:hint="eastAsia"/>
                <w:b/>
                <w:bCs/>
                <w:color w:val="0D0D0D" w:themeColor="text1" w:themeTint="F2"/>
                <w:sz w:val="21"/>
                <w:szCs w:val="21"/>
                <w14:textFill>
                  <w14:solidFill>
                    <w14:schemeClr w14:val="tx1">
                      <w14:lumMod w14:val="95000"/>
                      <w14:lumOff w14:val="5000"/>
                    </w14:schemeClr>
                  </w14:solidFill>
                </w14:textFill>
              </w:rPr>
              <w:t>项目南面</w:t>
            </w:r>
          </w:p>
        </w:tc>
      </w:tr>
      <w:tr w14:paraId="5E57B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07" w:type="dxa"/>
            <w:vAlign w:val="center"/>
          </w:tcPr>
          <w:p w14:paraId="02BD6FD3">
            <w:pPr>
              <w:spacing w:line="240" w:lineRule="auto"/>
              <w:jc w:val="center"/>
              <w:rPr>
                <w:b/>
                <w:bCs/>
                <w:color w:val="0D0D0D" w:themeColor="text1" w:themeTint="F2"/>
                <w:sz w:val="21"/>
                <w:szCs w:val="21"/>
                <w14:textFill>
                  <w14:solidFill>
                    <w14:schemeClr w14:val="tx1">
                      <w14:lumMod w14:val="95000"/>
                      <w14:lumOff w14:val="5000"/>
                    </w14:schemeClr>
                  </w14:solidFill>
                </w14:textFill>
              </w:rPr>
            </w:pPr>
            <w:r>
              <w:rPr>
                <w:b/>
                <w:bCs/>
                <w:color w:val="0D0D0D" w:themeColor="text1" w:themeTint="F2"/>
                <w:sz w:val="21"/>
                <w:szCs w:val="21"/>
                <w14:textFill>
                  <w14:solidFill>
                    <w14:schemeClr w14:val="tx1">
                      <w14:lumMod w14:val="95000"/>
                      <w14:lumOff w14:val="5000"/>
                    </w14:schemeClr>
                  </w14:solidFill>
                </w14:textFill>
              </w:rPr>
              <w:drawing>
                <wp:inline distT="0" distB="0" distL="0" distR="0">
                  <wp:extent cx="2748280" cy="1545590"/>
                  <wp:effectExtent l="0" t="0" r="0" b="0"/>
                  <wp:docPr id="10720131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13167"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767684" cy="1556477"/>
                          </a:xfrm>
                          <a:prstGeom prst="rect">
                            <a:avLst/>
                          </a:prstGeom>
                          <a:noFill/>
                          <a:ln>
                            <a:noFill/>
                          </a:ln>
                        </pic:spPr>
                      </pic:pic>
                    </a:graphicData>
                  </a:graphic>
                </wp:inline>
              </w:drawing>
            </w:r>
          </w:p>
        </w:tc>
        <w:tc>
          <w:tcPr>
            <w:tcW w:w="4509" w:type="dxa"/>
            <w:vAlign w:val="center"/>
          </w:tcPr>
          <w:p w14:paraId="38779339">
            <w:pPr>
              <w:spacing w:line="240" w:lineRule="auto"/>
              <w:jc w:val="center"/>
              <w:rPr>
                <w:b/>
                <w:bCs/>
                <w:color w:val="0D0D0D" w:themeColor="text1" w:themeTint="F2"/>
                <w:sz w:val="21"/>
                <w:szCs w:val="21"/>
                <w14:textFill>
                  <w14:solidFill>
                    <w14:schemeClr w14:val="tx1">
                      <w14:lumMod w14:val="95000"/>
                      <w14:lumOff w14:val="5000"/>
                    </w14:schemeClr>
                  </w14:solidFill>
                </w14:textFill>
              </w:rPr>
            </w:pPr>
            <w:r>
              <w:rPr>
                <w:b/>
                <w:bCs/>
                <w:color w:val="0D0D0D" w:themeColor="text1" w:themeTint="F2"/>
                <w:sz w:val="21"/>
                <w:szCs w:val="21"/>
                <w14:textFill>
                  <w14:solidFill>
                    <w14:schemeClr w14:val="tx1">
                      <w14:lumMod w14:val="95000"/>
                      <w14:lumOff w14:val="5000"/>
                    </w14:schemeClr>
                  </w14:solidFill>
                </w14:textFill>
              </w:rPr>
              <w:drawing>
                <wp:inline distT="0" distB="0" distL="0" distR="0">
                  <wp:extent cx="2710180" cy="1524000"/>
                  <wp:effectExtent l="0" t="0" r="0" b="0"/>
                  <wp:docPr id="15370424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42487"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42103" cy="1542092"/>
                          </a:xfrm>
                          <a:prstGeom prst="rect">
                            <a:avLst/>
                          </a:prstGeom>
                          <a:noFill/>
                          <a:ln>
                            <a:noFill/>
                          </a:ln>
                        </pic:spPr>
                      </pic:pic>
                    </a:graphicData>
                  </a:graphic>
                </wp:inline>
              </w:drawing>
            </w:r>
          </w:p>
        </w:tc>
      </w:tr>
      <w:tr w14:paraId="385A5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07" w:type="dxa"/>
            <w:vAlign w:val="center"/>
          </w:tcPr>
          <w:p w14:paraId="6590CBEB">
            <w:pPr>
              <w:spacing w:line="240" w:lineRule="auto"/>
              <w:jc w:val="center"/>
              <w:rPr>
                <w:b/>
                <w:bCs/>
                <w:color w:val="0D0D0D" w:themeColor="text1" w:themeTint="F2"/>
                <w:sz w:val="21"/>
                <w:szCs w:val="21"/>
                <w14:textFill>
                  <w14:solidFill>
                    <w14:schemeClr w14:val="tx1">
                      <w14:lumMod w14:val="95000"/>
                      <w14:lumOff w14:val="5000"/>
                    </w14:schemeClr>
                  </w14:solidFill>
                </w14:textFill>
              </w:rPr>
            </w:pPr>
            <w:r>
              <w:rPr>
                <w:rFonts w:hint="eastAsia"/>
                <w:b/>
                <w:bCs/>
                <w:color w:val="0D0D0D" w:themeColor="text1" w:themeTint="F2"/>
                <w:sz w:val="21"/>
                <w:szCs w:val="21"/>
                <w14:textFill>
                  <w14:solidFill>
                    <w14:schemeClr w14:val="tx1">
                      <w14:lumMod w14:val="95000"/>
                      <w14:lumOff w14:val="5000"/>
                    </w14:schemeClr>
                  </w14:solidFill>
                </w14:textFill>
              </w:rPr>
              <w:t>项目西面</w:t>
            </w:r>
          </w:p>
        </w:tc>
        <w:tc>
          <w:tcPr>
            <w:tcW w:w="4509" w:type="dxa"/>
            <w:vAlign w:val="center"/>
          </w:tcPr>
          <w:p w14:paraId="7EEBD514">
            <w:pPr>
              <w:spacing w:line="240" w:lineRule="auto"/>
              <w:jc w:val="center"/>
              <w:rPr>
                <w:b/>
                <w:bCs/>
                <w:color w:val="0D0D0D" w:themeColor="text1" w:themeTint="F2"/>
                <w:sz w:val="21"/>
                <w:szCs w:val="21"/>
                <w14:textFill>
                  <w14:solidFill>
                    <w14:schemeClr w14:val="tx1">
                      <w14:lumMod w14:val="95000"/>
                      <w14:lumOff w14:val="5000"/>
                    </w14:schemeClr>
                  </w14:solidFill>
                </w14:textFill>
              </w:rPr>
            </w:pPr>
            <w:r>
              <w:rPr>
                <w:rFonts w:hint="eastAsia"/>
                <w:b/>
                <w:bCs/>
                <w:color w:val="0D0D0D" w:themeColor="text1" w:themeTint="F2"/>
                <w:sz w:val="21"/>
                <w:szCs w:val="21"/>
                <w14:textFill>
                  <w14:solidFill>
                    <w14:schemeClr w14:val="tx1">
                      <w14:lumMod w14:val="95000"/>
                      <w14:lumOff w14:val="5000"/>
                    </w14:schemeClr>
                  </w14:solidFill>
                </w14:textFill>
              </w:rPr>
              <w:t>项目北面</w:t>
            </w:r>
          </w:p>
        </w:tc>
      </w:tr>
      <w:tr w14:paraId="6E7C1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07" w:type="dxa"/>
            <w:vAlign w:val="center"/>
          </w:tcPr>
          <w:p w14:paraId="7BDDC83D">
            <w:pPr>
              <w:spacing w:line="240" w:lineRule="auto"/>
              <w:jc w:val="center"/>
              <w:rPr>
                <w:b/>
                <w:bCs/>
                <w:color w:val="0D0D0D" w:themeColor="text1" w:themeTint="F2"/>
                <w:sz w:val="21"/>
                <w:szCs w:val="21"/>
                <w14:textFill>
                  <w14:solidFill>
                    <w14:schemeClr w14:val="tx1">
                      <w14:lumMod w14:val="95000"/>
                      <w14:lumOff w14:val="5000"/>
                    </w14:schemeClr>
                  </w14:solidFill>
                </w14:textFill>
              </w:rPr>
            </w:pPr>
            <w:r>
              <w:rPr>
                <w:b/>
                <w:bCs/>
                <w:color w:val="0D0D0D" w:themeColor="text1" w:themeTint="F2"/>
                <w:sz w:val="21"/>
                <w:szCs w:val="21"/>
                <w14:textFill>
                  <w14:solidFill>
                    <w14:schemeClr w14:val="tx1">
                      <w14:lumMod w14:val="95000"/>
                      <w14:lumOff w14:val="5000"/>
                    </w14:schemeClr>
                  </w14:solidFill>
                </w14:textFill>
              </w:rPr>
              <w:drawing>
                <wp:inline distT="0" distB="0" distL="0" distR="0">
                  <wp:extent cx="2759075" cy="1551940"/>
                  <wp:effectExtent l="0" t="0" r="3175" b="0"/>
                  <wp:docPr id="8621014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01459"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779630" cy="1563196"/>
                          </a:xfrm>
                          <a:prstGeom prst="rect">
                            <a:avLst/>
                          </a:prstGeom>
                          <a:noFill/>
                          <a:ln>
                            <a:noFill/>
                          </a:ln>
                        </pic:spPr>
                      </pic:pic>
                    </a:graphicData>
                  </a:graphic>
                </wp:inline>
              </w:drawing>
            </w:r>
          </w:p>
        </w:tc>
        <w:tc>
          <w:tcPr>
            <w:tcW w:w="4509" w:type="dxa"/>
            <w:vAlign w:val="center"/>
          </w:tcPr>
          <w:p w14:paraId="0657B9B6">
            <w:pPr>
              <w:spacing w:line="240" w:lineRule="auto"/>
              <w:jc w:val="center"/>
              <w:rPr>
                <w:b/>
                <w:bCs/>
                <w:color w:val="0D0D0D" w:themeColor="text1" w:themeTint="F2"/>
                <w:sz w:val="21"/>
                <w:szCs w:val="21"/>
                <w14:textFill>
                  <w14:solidFill>
                    <w14:schemeClr w14:val="tx1">
                      <w14:lumMod w14:val="95000"/>
                      <w14:lumOff w14:val="5000"/>
                    </w14:schemeClr>
                  </w14:solidFill>
                </w14:textFill>
              </w:rPr>
            </w:pPr>
            <w:r>
              <w:rPr>
                <w:b/>
                <w:bCs/>
                <w:color w:val="0D0D0D" w:themeColor="text1" w:themeTint="F2"/>
                <w:sz w:val="21"/>
                <w:szCs w:val="21"/>
                <w14:textFill>
                  <w14:solidFill>
                    <w14:schemeClr w14:val="tx1">
                      <w14:lumMod w14:val="95000"/>
                      <w14:lumOff w14:val="5000"/>
                    </w14:schemeClr>
                  </w14:solidFill>
                </w14:textFill>
              </w:rPr>
              <w:drawing>
                <wp:inline distT="0" distB="0" distL="0" distR="0">
                  <wp:extent cx="2763520" cy="1554480"/>
                  <wp:effectExtent l="0" t="0" r="0" b="7620"/>
                  <wp:docPr id="646933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3352"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94234" cy="1571408"/>
                          </a:xfrm>
                          <a:prstGeom prst="rect">
                            <a:avLst/>
                          </a:prstGeom>
                          <a:noFill/>
                          <a:ln>
                            <a:noFill/>
                          </a:ln>
                        </pic:spPr>
                      </pic:pic>
                    </a:graphicData>
                  </a:graphic>
                </wp:inline>
              </w:drawing>
            </w:r>
          </w:p>
        </w:tc>
      </w:tr>
      <w:tr w14:paraId="27887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07" w:type="dxa"/>
            <w:vAlign w:val="center"/>
          </w:tcPr>
          <w:p w14:paraId="2A906BDC">
            <w:pPr>
              <w:spacing w:line="240" w:lineRule="auto"/>
              <w:jc w:val="center"/>
              <w:rPr>
                <w:b/>
                <w:bCs/>
                <w:color w:val="0D0D0D" w:themeColor="text1" w:themeTint="F2"/>
                <w:sz w:val="21"/>
                <w:szCs w:val="21"/>
                <w14:textFill>
                  <w14:solidFill>
                    <w14:schemeClr w14:val="tx1">
                      <w14:lumMod w14:val="95000"/>
                      <w14:lumOff w14:val="5000"/>
                    </w14:schemeClr>
                  </w14:solidFill>
                </w14:textFill>
              </w:rPr>
            </w:pPr>
            <w:r>
              <w:rPr>
                <w:rFonts w:hint="eastAsia"/>
                <w:b/>
                <w:bCs/>
                <w:color w:val="0D0D0D" w:themeColor="text1" w:themeTint="F2"/>
                <w:sz w:val="21"/>
                <w:szCs w:val="21"/>
                <w14:textFill>
                  <w14:solidFill>
                    <w14:schemeClr w14:val="tx1">
                      <w14:lumMod w14:val="95000"/>
                      <w14:lumOff w14:val="5000"/>
                    </w14:schemeClr>
                  </w14:solidFill>
                </w14:textFill>
              </w:rPr>
              <w:t>项目场地现状</w:t>
            </w:r>
          </w:p>
        </w:tc>
        <w:tc>
          <w:tcPr>
            <w:tcW w:w="4509" w:type="dxa"/>
            <w:vAlign w:val="center"/>
          </w:tcPr>
          <w:p w14:paraId="0186B2DD">
            <w:pPr>
              <w:spacing w:line="240" w:lineRule="auto"/>
              <w:jc w:val="center"/>
              <w:rPr>
                <w:b/>
                <w:bCs/>
                <w:color w:val="0D0D0D" w:themeColor="text1" w:themeTint="F2"/>
                <w:sz w:val="21"/>
                <w:szCs w:val="21"/>
                <w14:textFill>
                  <w14:solidFill>
                    <w14:schemeClr w14:val="tx1">
                      <w14:lumMod w14:val="95000"/>
                      <w14:lumOff w14:val="5000"/>
                    </w14:schemeClr>
                  </w14:solidFill>
                </w14:textFill>
              </w:rPr>
            </w:pPr>
            <w:r>
              <w:rPr>
                <w:rFonts w:hint="eastAsia"/>
                <w:b/>
                <w:bCs/>
                <w:color w:val="0D0D0D" w:themeColor="text1" w:themeTint="F2"/>
                <w:sz w:val="21"/>
                <w:szCs w:val="21"/>
                <w14:textFill>
                  <w14:solidFill>
                    <w14:schemeClr w14:val="tx1">
                      <w14:lumMod w14:val="95000"/>
                      <w14:lumOff w14:val="5000"/>
                    </w14:schemeClr>
                  </w14:solidFill>
                </w14:textFill>
              </w:rPr>
              <w:t>项目场地现状</w:t>
            </w:r>
          </w:p>
        </w:tc>
      </w:tr>
    </w:tbl>
    <w:p w14:paraId="238FE9D9">
      <w:pPr>
        <w:jc w:val="center"/>
        <w:rPr>
          <w:b/>
          <w:bCs/>
          <w:color w:val="0D0D0D" w:themeColor="text1" w:themeTint="F2"/>
          <w:sz w:val="21"/>
          <w:szCs w:val="21"/>
          <w14:textFill>
            <w14:solidFill>
              <w14:schemeClr w14:val="tx1">
                <w14:lumMod w14:val="95000"/>
                <w14:lumOff w14:val="5000"/>
              </w14:schemeClr>
            </w14:solidFill>
          </w14:textFill>
        </w:rPr>
      </w:pPr>
      <w:r>
        <w:rPr>
          <w:rFonts w:hint="eastAsia"/>
          <w:b/>
          <w:bCs/>
          <w:color w:val="0D0D0D" w:themeColor="text1" w:themeTint="F2"/>
          <w:sz w:val="21"/>
          <w:szCs w:val="21"/>
          <w14:textFill>
            <w14:solidFill>
              <w14:schemeClr w14:val="tx1">
                <w14:lumMod w14:val="95000"/>
                <w14:lumOff w14:val="5000"/>
              </w14:schemeClr>
            </w14:solidFill>
          </w14:textFill>
        </w:rPr>
        <w:t>现场照片页</w:t>
      </w:r>
    </w:p>
    <w:p w14:paraId="0EFC5CF8">
      <w:pPr>
        <w:widowControl/>
        <w:spacing w:line="240" w:lineRule="auto"/>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sdt>
      <w:sdtPr>
        <w:rPr>
          <w:rFonts w:ascii="Times New Roman" w:hAnsi="Times New Roman" w:eastAsia="宋体" w:cstheme="minorBidi"/>
          <w:b w:val="0"/>
          <w:color w:val="0D0D0D" w:themeColor="text1" w:themeTint="F2"/>
          <w:kern w:val="2"/>
          <w:sz w:val="24"/>
          <w:szCs w:val="22"/>
          <w:lang w:val="zh-CN"/>
          <w14:textFill>
            <w14:solidFill>
              <w14:schemeClr w14:val="tx1">
                <w14:lumMod w14:val="95000"/>
                <w14:lumOff w14:val="5000"/>
              </w14:schemeClr>
            </w14:solidFill>
          </w14:textFill>
        </w:rPr>
        <w:id w:val="952209469"/>
        <w:docPartObj>
          <w:docPartGallery w:val="Table of Contents"/>
          <w:docPartUnique/>
        </w:docPartObj>
      </w:sdtPr>
      <w:sdtEndPr>
        <w:rPr>
          <w:rFonts w:ascii="Times New Roman" w:hAnsi="Times New Roman" w:eastAsia="宋体" w:cstheme="minorBidi"/>
          <w:b w:val="0"/>
          <w:bCs/>
          <w:color w:val="0D0D0D" w:themeColor="text1" w:themeTint="F2"/>
          <w:kern w:val="2"/>
          <w:sz w:val="24"/>
          <w:szCs w:val="22"/>
          <w:lang w:val="zh-CN"/>
          <w14:textFill>
            <w14:solidFill>
              <w14:schemeClr w14:val="tx1">
                <w14:lumMod w14:val="95000"/>
                <w14:lumOff w14:val="5000"/>
              </w14:schemeClr>
            </w14:solidFill>
          </w14:textFill>
        </w:rPr>
      </w:sdtEndPr>
      <w:sdtContent>
        <w:p w14:paraId="2FE17B6A">
          <w:pPr>
            <w:pStyle w:val="53"/>
            <w:jc w:val="center"/>
            <w:rPr>
              <w:rFonts w:ascii="Times New Roman" w:hAnsi="Times New Roman" w:eastAsia="宋体"/>
              <w:color w:val="161616" w:themeColor="text1" w:themeTint="F2"/>
              <w14:textFill>
                <w14:solidFill>
                  <w14:schemeClr w14:val="tx1">
                    <w14:lumMod w14:val="95000"/>
                    <w14:lumOff w14:val="5000"/>
                    <w14:lumMod w14:val="75000"/>
                    <w14:lumMod w14:val="95000"/>
                    <w14:lumOff w14:val="5000"/>
                  </w14:schemeClr>
                </w14:solidFill>
              </w14:textFill>
            </w:rPr>
          </w:pPr>
          <w:r>
            <w:rPr>
              <w:rFonts w:ascii="Times New Roman" w:hAnsi="Times New Roman" w:eastAsia="宋体"/>
              <w:color w:val="161616" w:themeColor="text1" w:themeTint="F2"/>
              <w:lang w:val="zh-CN"/>
              <w14:textFill>
                <w14:solidFill>
                  <w14:schemeClr w14:val="tx1">
                    <w14:lumMod w14:val="95000"/>
                    <w14:lumOff w14:val="5000"/>
                    <w14:lumMod w14:val="75000"/>
                    <w14:lumMod w14:val="95000"/>
                    <w14:lumOff w14:val="5000"/>
                  </w14:schemeClr>
                </w14:solidFill>
              </w14:textFill>
            </w:rPr>
            <w:t>目录</w:t>
          </w:r>
        </w:p>
        <w:p w14:paraId="438A64D3">
          <w:pPr>
            <w:pStyle w:val="24"/>
            <w:tabs>
              <w:tab w:val="right" w:leader="dot" w:pos="9016"/>
            </w:tabs>
            <w:rPr>
              <w:color w:val="0D0D0D" w:themeColor="text1" w:themeTint="F2"/>
              <w:sz w:val="22"/>
              <w:szCs w:val="24"/>
              <w14:textFill>
                <w14:solidFill>
                  <w14:schemeClr w14:val="tx1">
                    <w14:lumMod w14:val="95000"/>
                    <w14:lumOff w14:val="5000"/>
                  </w14:schemeClr>
                </w14:solidFill>
              </w14:textFill>
              <w14:ligatures w14:val="standardContextual"/>
            </w:rPr>
          </w:pP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 TOC \o "1-3" \h \z \u </w:instrText>
          </w:r>
          <w:r>
            <w:rPr>
              <w:color w:val="0D0D0D" w:themeColor="text1" w:themeTint="F2"/>
              <w14:textFill>
                <w14:solidFill>
                  <w14:schemeClr w14:val="tx1">
                    <w14:lumMod w14:val="95000"/>
                    <w14:lumOff w14:val="5000"/>
                  </w14:schemeClr>
                </w14:solidFill>
              </w14:textFill>
            </w:rPr>
            <w:fldChar w:fldCharType="separate"/>
          </w:r>
          <w:r>
            <w:fldChar w:fldCharType="begin"/>
          </w:r>
          <w:r>
            <w:instrText xml:space="preserve"> HYPERLINK \l "_Toc204062517"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1 概述</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_Toc204062517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2F4AD290">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"_Toc204062518"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1.1 项目由来</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_Toc204062518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647CA4F8">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"_Toc204062519"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1.2 建设项目特点</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_Toc204062519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1CD1A2F3">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"_Toc204062520"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1.3 环境影响评价工作过程</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_Toc204062520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31650A7D">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"_Toc204062521"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1.4 分析判定情况</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_Toc204062521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0C501875">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"_Toc204062522"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1.5 关注的主要环境问题及环境影响</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_Toc204062522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5</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77C6F912">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"_Toc204062523"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1.6 环境影响报告书主要结论</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_Toc204062523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6</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274E2D10">
          <w:pPr>
            <w:pStyle w:val="24"/>
            <w:tabs>
              <w:tab w:val="right" w:leader="dot" w:pos="9016"/>
            </w:tabs>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"_Toc204062524"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 总则</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_Toc204062524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7</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7D238CA9">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"_Toc204062525"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2.1 编制依据</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_Toc204062525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7</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57D82508">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"_Toc204062526"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2.1.1 国家法律、法规和规章</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_Toc204062526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7</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1A1184A4">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"_Toc204062527"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2.1.2 地方法律、法规和规章</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_Toc204062527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8</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2D1A4E29">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"_Toc204062528"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2.1.3 技术导则与技术规范</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_Toc204062528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9</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653558C7">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"_Toc204062529"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2.1.4 相关文件</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_Toc204062529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10</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4A9BBAFC">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"_Toc204062530"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2.2 环境影响因素识别及评价因子筛选</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_Toc204062530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11</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53613694">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"_Toc204062531"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2.2.1 环境影响因素识别</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_Toc204062531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11</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5377AE38">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"_Toc204062532"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2.2.2 评价因子筛选</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_Toc204062532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14</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31638E1C">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"_Toc204062533"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2.3 环境功能区划</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_Toc204062533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15</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534F9400">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"_Toc204062534"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2.3.1 环境空气功能区划</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_Toc204062534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15</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2EED96F2">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"_Toc204062535"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2.3.2 地表水功能区划</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_Toc204062535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15</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6BC49EAC">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"_Toc204062536"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2.3.3 近岸海域环境功能区划</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_Toc204062536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16</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710827BD">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"_Toc204062537"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2.3.4 海洋功能区划</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_Toc204062537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16</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60E97638">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"_Toc204062538"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2.3.5 地下水环境功能区划</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_Toc204062538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16</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77692638">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"_Toc204062539"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2.3.6 声环境功能区划</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_Toc204062539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17</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17EC376B">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"_Toc204062540"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2.3.7 生态环境功能区划</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_Toc204062540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17</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5C16CE20">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"_Toc204062541"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2.4 评价标准</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_Toc204062541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18</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71EE7BB0">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"_Toc204062542"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2.4.1 环境质量标准</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_Toc204062542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18</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650BF583">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"_Toc204062543"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2.4.2 污染物排放标准</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_Toc204062543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22</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16D6960F">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"_Toc204062544"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2.5 评价工作等级与评价范围</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_Toc204062544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25</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41476D67">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"_Toc204062545"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2.5.1 大气环境评价工作等级和评价范围</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_Toc204062545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25</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6C3CEBD8">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"_Toc204062546"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2.5.2 地表水环境评价工作等级和评价范围</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_Toc204062546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29</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7830BF17">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"_Toc204062547"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2.5.3 地下水环境评价工作等级和评价范围</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_Toc204062547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30</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011FDEDA">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"_Toc204062548"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2.5.4 声环境评价工作等级和评价范围</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_Toc204062548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31</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3EB510A9">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"_Toc204062549"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2.5.5 土壤环境评价工作等级和评价范围</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_Toc204062549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31</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434CF777">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"_Toc204062550"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2.5.6 生态环境评价工作等级和评价范围</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_Toc204062550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33</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7ABE6DE3">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"_Toc204062551"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2.5.7 环境风险评价工作等级和评价范围</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_Toc204062551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33</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768A9F9D">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"_Toc204062552"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2.5.8 环境评价工作等级和评价范围汇总</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_Toc204062552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34</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3F1A3781">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"_Toc204062553"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2.6 环境保护目标</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_Toc204062553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34</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6BD0383C">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"_Toc204062554"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2.7 规划及政策相符性分析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_Toc204062554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38</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2E0A56FA">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"_Toc204062555"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2.7.1 规划相符性分析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_Toc204062555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38</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5DB76DFD">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"_Toc204062556"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2.7.2 政策相符性分析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_Toc204062556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52</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61037373">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"_Toc204062557"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2.7.3 “三线一单”相符性分析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_Toc204062557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63</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5C70FC3C">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"_Toc204062558"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2.7.4 “三区三线”相符性分析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_Toc204062558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77</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7589747E">
          <w:pPr>
            <w:pStyle w:val="24"/>
            <w:tabs>
              <w:tab w:val="right" w:leader="dot" w:pos="9016"/>
            </w:tabs>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"_Toc204062559"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3 项目概况及工程分析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_Toc204062559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79</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3546F8CA">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"_Toc204062560"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3.1 项目概况</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_Toc204062560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79</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7EC33053">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"_Toc204062561"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3.1.1 建设项目基本情况</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_Toc204062561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79</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2121E347">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"_Toc204062562"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3.1.2 建设内容</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_Toc204062562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79</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2C18EFD7">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"_Toc204062563"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3.1.3 产品方案</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_Toc204062563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80</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53B5C4CD">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"_Toc204062564"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3.1.4 主要生产设备</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_Toc204062564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84</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7F4BC110">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"_Toc204062565"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3.1.5 原辅材料及能源消耗情况</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_Toc204062565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85</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183A85CA">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"_Toc204062566"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3.1.6 公用工程</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_Toc204062566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87</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182B5D58">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"_Toc204062567"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3.1.7 储运工程</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_Toc204062567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88</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52A8ACF8">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"_Toc204062568"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3.1.8 项目平面布置</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_Toc204062568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89</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2C00822F">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"_Toc204062569"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3.1.9 劳动定员和工作制度</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_Toc204062569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90</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2A8F019E">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"_Toc204062570"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3.1.10 依托工程</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_Toc204062570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90</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4B3DDB3F">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"_Toc204062571"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3.2 工程分析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_Toc204062571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91</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1F10D95A">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"_Toc204062572"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3.2.1 施工期工艺流程及产污环节分析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_Toc204062572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91</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646F26E3">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"_Toc204062573"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3.2.2 运营期工艺流程及产污环节分析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_Toc204062573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93</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1733C076">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"_Toc204062574"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3.2.3 物料平衡</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_Toc204062574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99</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376B3B38">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"_Toc204062575"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3.3 污染源分析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_Toc204062575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106</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27CBB0B5">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"_Toc204062576"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3.3.1 施工期污染源分析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_Toc204062576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106</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4C46CFAB">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"_Toc204062577"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3.3.2 运营期污染源分析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_Toc204062577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110</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5399AAA3">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"_Toc204062578"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3.4 清洁生产分析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_Toc204062578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141</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49340F0C">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"_Toc204062579"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3.4.1 原辅材料消耗</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_Toc204062579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141</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6D322569">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"_Toc204062580"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3.4.2 工艺先进性分析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_Toc204062580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141</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37D2161F">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"_Toc204062581"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3.4.3 设备先进性分析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_Toc204062581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142</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11A7692C">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"_Toc204062582"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3.4.4 产品指标</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_Toc204062582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142</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5E7A8284">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"_Toc204062583"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3.4.5 污染物控制措施</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_Toc204062583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142</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1CEDF160">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"_Toc204062584"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3.4.6 环境管理要求</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_Toc204062584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143</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6F51A72B">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"_Toc204062585"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3.4.7 清洁生产结论</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_Toc204062585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143</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2A871EC6">
          <w:pPr>
            <w:pStyle w:val="24"/>
            <w:tabs>
              <w:tab w:val="right" w:leader="dot" w:pos="9016"/>
            </w:tabs>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"_Toc204062586"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4 环境质量现状调查与评价</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_Toc204062586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144</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1CB4590A">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"_Toc204062587"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4.1 自然环境概况</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_Toc204062587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144</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4DC89692">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"_Toc204062588"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4.1.1 地理位置</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_Toc204062588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144</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234532E3">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"_Toc204062589"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4.1.2 地形地貌</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_Toc204062589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144</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30BDEBC2">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"_Toc204062590"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4.1.3 地质特征</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_Toc204062590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146</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010A3B49">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"_Toc204062591"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4.1.4 气象气候</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_Toc204062591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146</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00910FC7">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"_Toc204062592"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4.1.5 海洋水文</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_Toc204062592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149</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5816F7DF">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"_Toc204062593"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4.1.6 河流水系</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_Toc204062593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151</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042FFC4B">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"_Toc204062594"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4.1.7 区域水文地质</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_Toc204062594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152</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3FEE7F0C">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"_Toc204062595"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4.1.8 自然资源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_Toc204062595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153</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3B8CB2DF">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"_Toc204062596"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4.1.9 生态敏感区</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_Toc204062596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155</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1FB6E1BE">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"_Toc204062597"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4.2 环境质量现状监测与评价</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_Toc204062597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157</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45FEE980">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"_Toc204062598"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4.2.1 环境空气质量现状调查与评价</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_Toc204062598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157</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5F50A52C">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"_Toc204062599"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4.2.2 地表水环境现状调查与评价</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_Toc204062599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161</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33DD6260">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"_Toc204062600"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4.2.3 海水环境现状调查与评价</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_Toc204062600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161</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4F13CB19">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"_Toc204062601"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4.2.4 地下水环境现状调查与评价</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_Toc204062601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162</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45637033">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"_Toc204062602"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4.2.5 声环境质量现状调查与评价</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_Toc204062602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166</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12D42082">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"_Toc204062603"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4.2.6 土壤环境质量现状调查与评价</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_Toc204062603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167</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6EEFD5BE">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"_Toc204062604"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4.2.7 生态环境现状调查与评价</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_Toc204062604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171</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01E7D4E9">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"_Toc204062605"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4.3 园区概况</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_Toc204062605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171</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35DF9DED">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"_Toc204062606"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4.3.1 园区简介</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_Toc204062606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171</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5EBA582D">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"_Toc204062607"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4.3.2 规划目标</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_Toc204062607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172</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2DD5A757">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"_Toc204062608"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4.3.3 规划范围</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_Toc204062608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174</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78818B25">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"_Toc204062609"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4.3.4 总体布局规划</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_Toc204062609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174</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1CC402C7">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"_Toc204062610"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4.3.5 产业发展结构</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_Toc204062610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174</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26AB5B58">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"_Toc204062611"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4.3.6 空间分布布局规划</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_Toc204062611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175</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16DC0AA6">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"_Toc204062612"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4.3.7 供水工程</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_Toc204062612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176</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12914751">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"_Toc204062613"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4.3.8 排水工程</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_Toc204062613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177</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6A69AD10">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"_Toc204062614"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4.3.9 供热工程</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_Toc204062614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179</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73213951">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"_Toc204062615"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4.3.10 供电工程</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_Toc204062615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180</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5CA0D7F4">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"_Toc204062616"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4.3.11 公共管廊建设概况</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_Toc204062616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180</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21898B7A">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"_Toc204062617"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4.4 区域污染源调查</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_Toc204062617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181</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34B88703">
          <w:pPr>
            <w:pStyle w:val="24"/>
            <w:tabs>
              <w:tab w:val="right" w:leader="dot" w:pos="9016"/>
            </w:tabs>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"_Toc204062618"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 环境影响预测及评价</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_Toc204062618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185</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262040B4">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"_Toc204062619"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5.1 施工期环境影响分析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_Toc204062619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185</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3E5EFF39">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"_Toc204062620"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5.1.1 施工期大气环境影响分析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_Toc204062620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185</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5D7212A2">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"_Toc204062621"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5.1.2 施工期水环境影响分析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_Toc204062621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187</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7C41C463">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"_Toc204062622"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5.1.3 施工期噪声影响分析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_Toc204062622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188</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02180D9E">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"_Toc204062623"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5.1.4 施工期固体废物影响分析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_Toc204062623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190</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6FCF1F6B">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"_Toc204062624"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5.1.5 施工期环境风险识别及防控措施</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_Toc204062624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190</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77F52E7A">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"_Toc204062625"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5.2 运营期环境空气影响分析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_Toc204062625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191</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1404F0BD">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"_Toc204062626"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5.2.1 大气环境影响预测</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_Toc204062626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191</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1C94443A">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"_Toc204062627"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5.2.2 厂界达标性分析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_Toc204062627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195</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7F0A1612">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"_Toc204062628"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5.2.3 大气环境防护距离</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_Toc204062628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197</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40FDA8CD">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"_Toc204062629"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5.2.4 臭气浓度影响分析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_Toc204062629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198</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5E41887A">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"_Toc204062630"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5.2.5 排气筒设置合理性分析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_Toc204062630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199</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131D9F84">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"_Toc204062631"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5.2.6 污染物排放量核算</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_Toc204062631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200</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727D53B5">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"_Toc204062632"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5.2.7 小结</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_Toc204062632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202</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4D012EE7">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"_Toc204062633"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5.3 运营期地表水环境影响分析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_Toc204062633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202</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41714057">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"_Toc204062634"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5.3.1 水污染控制和水环境影响减缓措施有效性分析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_Toc204062634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202</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30BE1D14">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"_Toc204062635"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5.3.2 排入园区污水处理厂可行性分析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_Toc204062635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202</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086E4915">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"_Toc204062636"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5.3.3 废水污染物排放信息</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_Toc204062636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203</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09F662AE">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"_Toc204062637"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5.4 运营期地下水环境影响分析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_Toc204062637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205</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4C345B97">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"_Toc204062638"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5.4.1 地下水环境影响分析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_Toc204062638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205</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0FAA9A68">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"_Toc204062639"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5.5 运营期声环境影响分析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_Toc204062639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212</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1EF24680">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"_Toc204062640"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5.5.1 噪声源强</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_Toc204062640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212</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4F875140">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"_Toc204062641"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5.5.2 噪声环境数据</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_Toc204062641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214</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1544D94C">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"_Toc204062642"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5.5.3 预测模式</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_Toc204062642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214</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0D50F24F">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"_Toc204062643"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5.5.4 预测结果</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_Toc204062643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215</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756C6EED">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"_Toc204062644"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5.6 运营期固体废物影响分析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_Toc204062644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216</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5BE87D12">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"_Toc204062645"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5.6.1 一般工业固体废物环境影响分析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_Toc204062645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216</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011308DD">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"_Toc204062646"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5.6.2 危险废物环境影响分析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_Toc204062646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217</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5247BA49">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"_Toc204062647"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5.7 运营期土壤环境影响分析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_Toc204062647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220</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24C25E9C">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"_Toc204062648"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5.7.1 土壤环境影响识别</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_Toc204062648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220</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4FB44EAD">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"_Toc204062649"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5.7.2 土壤环境影响源及影响因子识别</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_Toc204062649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221</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533B320A">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"_Toc204062650"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5.7.3 土壤环境影响分析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_Toc204062650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221</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20FB98C1">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"_Toc204062651"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5.8 运营期生态环境影响分析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_Toc204062651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223</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6F1FE5E6">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"_Toc204062652"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5.9 环境风险评价</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_Toc204062652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224</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35C394D4">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"_Toc204062653"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5.9.1 风险源调查</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_Toc204062653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224</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2B314EA0">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"_Toc204062654"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5.9.2 环境风险潜势初判</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_Toc204062654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230</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1DA22027">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"_Toc204062655"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5.9.3 环境风险识别</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_Toc204062655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238</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6FB82B57">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"_Toc204062656"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5.9.4 风险事故情形</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_Toc204062656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239</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0763AB22">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"_Toc204062657"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5.9.5 环境风险影响与评价</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_Toc204062657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244</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15A8FB04">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"_Toc204062658"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5.9.6 环境风险防范措施</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_Toc204062658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253</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0EB27CC2">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"_Toc204062659"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5.9.7 突发环境事件应急预案</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_Toc204062659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262</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7068C9B5">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"_Toc204062660"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5.9.8 风险评价结论与建议</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_Toc204062660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263</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7F0F1D89">
          <w:pPr>
            <w:pStyle w:val="24"/>
            <w:tabs>
              <w:tab w:val="right" w:leader="dot" w:pos="9016"/>
            </w:tabs>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"_Toc204062661"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6 碳排放影响分析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_Toc204062661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264</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01ED097C">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"_Toc204062662"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6.1 评价依据</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_Toc204062662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264</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7D917F22">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"_Toc204062663"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6.2 碳排放政策符合性分析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_Toc204062663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264</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51C7382F">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"_Toc204062664"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6.3 项目碳排放分析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_Toc204062664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265</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62C34527">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"_Toc204062665"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6.4 生产工艺减污降碳措施</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_Toc204062665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268</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7840E073">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"_Toc204062666"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6.5 建筑设计减污降碳措施</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_Toc204062666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269</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6BEFA292">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"_Toc204062667"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6.6 碳排放管理与监测计划</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_Toc204062667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270</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633CB28C">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"_Toc204062668"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6.7 结论</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_Toc204062668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271</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2A9A9A46">
          <w:pPr>
            <w:pStyle w:val="24"/>
            <w:tabs>
              <w:tab w:val="right" w:leader="dot" w:pos="9016"/>
            </w:tabs>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"_Toc204062669"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7 环境保护措施及其可行性分析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_Toc204062669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273</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081D3B1C">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"_Toc204062670"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7.1 施工期环境保护措施</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_Toc204062670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273</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6471662E">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"_Toc204062671"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7.1.1 废气污染防治措施</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_Toc204062671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273</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6D69D7B6">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"_Toc204062672"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7.1.2 废水污染防治措施</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_Toc204062672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274</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10855BA1">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"_Toc204062673"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7.1.3 噪声污染防治措施</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_Toc204062673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274</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6718E25D">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"_Toc204062674"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7.1.4 固体废物污染防治措施</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_Toc204062674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275</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40B0F070">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"_Toc204062675"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7.2 运营期环境保护措施及其可行性分析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_Toc204062675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275</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5F04CCAE">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"_Toc204062676"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7.2.1 大气污染防治措施及其可行性分析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_Toc204062676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275</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562D20CD">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"_Toc204062677"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7.2.2 水污染防治措施</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_Toc204062677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284</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1C504067">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"_Toc204062678"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7.2.3 地下水污染防治措施</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_Toc204062678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288</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4DC3606C">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"_Toc204062679"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7.2.4 噪声污染防治措施</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_Toc204062679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294</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5B56E121">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"_Toc204062680"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7.2.5 固体废物污染防治措施</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_Toc204062680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295</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2F079D49">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"_Toc204062681"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7.2.6 土壤污染防治措施</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_Toc204062681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295</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5229BB61">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"_Toc204062682"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7.3 环保投资分析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_Toc204062682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296</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26066B7B">
          <w:pPr>
            <w:pStyle w:val="24"/>
            <w:tabs>
              <w:tab w:val="right" w:leader="dot" w:pos="9016"/>
            </w:tabs>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"_Toc204062683"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8 环境影响经济损益分析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_Toc204062683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298</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5F560F18">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"_Toc204062684"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8.1 社会效益分析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_Toc204062684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298</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038DFB84">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"_Toc204062685"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8.2 经济效益分析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_Toc204062685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298</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78F6AABA">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"_Toc204062686"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8.2.1 工程经济效益指标</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_Toc204062686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298</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2A008F1E">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"_Toc204062687"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8.2.2 环境保护成本</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_Toc204062687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299</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727F3AF3">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"_Toc204062688"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8.2.3 环境经济效益</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_Toc204062688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299</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1605804E">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"_Toc204062689"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8.3 环境经济损益分析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_Toc204062689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300</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6C17E5E8">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"_Toc204062690"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8.3.1 环保费用的经济效益分析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_Toc204062690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300</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6BDBF09C">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"_Toc204062691"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8.4 小结</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_Toc204062691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301</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6FAA9046">
          <w:pPr>
            <w:pStyle w:val="24"/>
            <w:tabs>
              <w:tab w:val="right" w:leader="dot" w:pos="9016"/>
            </w:tabs>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"_Toc204062692"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9 环境管理与监测计划</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_Toc204062692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302</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7D6DB427">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"_Toc204062693"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9.1 环境管理</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_Toc204062693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302</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74A53D91">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"_Toc204062694"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9.1.1 环境管理机构设置</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_Toc204062694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302</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0237D832">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"_Toc204062695"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9.1.2 环境管理制度</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_Toc204062695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302</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336D94A9">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"_Toc204062696"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9.1.3 环境管理机构职责</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_Toc204062696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303</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0DECEE78">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"_Toc204062697"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9.1.4 环境管理监督计划</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_Toc204062697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303</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55851841">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"_Toc204062698"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9.1.5 环境管理台账</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_Toc204062698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304</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6E006B53">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"_Toc204062699"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9.2 污染物排放清单与排污管理要求</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_Toc204062699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305</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212236B5">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"_Toc204062700"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9.2.1 污染物排放清单</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_Toc204062700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305</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3899726E">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"_Toc204062701"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9.2.2 污染物排放总量</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_Toc204062701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309</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71C7B409">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"_Toc204062702"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9.2.3 排污口规范化管理</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_Toc204062702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309</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1552A174">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"_Toc204062703"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9.3 排污许可与信息公开</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_Toc204062703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311</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1E088D13">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"_Toc204062704"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9.3.1 排污许可管理</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_Toc204062704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311</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4918D2A4">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"_Toc204062705"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9.3.2 社会公开信息内容</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_Toc204062705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313</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5855B505">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"_Toc204062706"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9.4 环境监测计划</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_Toc204062706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314</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6B0E59AE">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"_Toc204062707"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9.4.1 污染源监测</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_Toc204062707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314</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20935263">
          <w:pPr>
            <w:pStyle w:val="20"/>
            <w:tabs>
              <w:tab w:val="right" w:leader="dot" w:pos="9016"/>
            </w:tabs>
            <w:ind w:left="96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"_Toc204062708"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9.4.2 环境质量监测</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_Toc204062708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314</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4ECC6247">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"_Toc204062709"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9.5 环境保护竣工验收</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_Toc204062709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315</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11E30E1F">
          <w:pPr>
            <w:pStyle w:val="24"/>
            <w:tabs>
              <w:tab w:val="right" w:leader="dot" w:pos="9016"/>
            </w:tabs>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"_Toc204062710"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10 环境影响评价结论</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_Toc204062710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317</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4EA163F2">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"_Toc204062711"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10.1 项目概况</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_Toc204062711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317</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20842CF5">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"_Toc204062712"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10.2 环境质量现状</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_Toc204062712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317</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09BD7804">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"_Toc204062713"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10.3 污染物排放情况</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_Toc204062713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318</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44B1F018">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"_Toc204062714"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10.4 环境影响分析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_Toc204062714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318</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79549CDC">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"_Toc204062715"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10.5 环境保护措施</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_Toc204062715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320</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3E12A373">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"_Toc204062716"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10.6 环境损益分析</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_Toc204062716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321</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6C15529C">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"_Toc204062717"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10.7 环境管理与监测计划</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_Toc204062717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321</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090F10BA">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"_Toc204062718"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10.8 公众参与</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_Toc204062718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322</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22017255">
          <w:pPr>
            <w:pStyle w:val="27"/>
            <w:tabs>
              <w:tab w:val="right" w:leader="dot" w:pos="9016"/>
            </w:tabs>
            <w:ind w:left="480"/>
            <w:rPr>
              <w:color w:val="0D0D0D" w:themeColor="text1" w:themeTint="F2"/>
              <w:sz w:val="22"/>
              <w:szCs w:val="24"/>
              <w14:textFill>
                <w14:solidFill>
                  <w14:schemeClr w14:val="tx1">
                    <w14:lumMod w14:val="95000"/>
                    <w14:lumOff w14:val="5000"/>
                  </w14:schemeClr>
                </w14:solidFill>
              </w14:textFill>
              <w14:ligatures w14:val="standardContextual"/>
            </w:rPr>
          </w:pPr>
          <w:r>
            <w:fldChar w:fldCharType="begin"/>
          </w:r>
          <w:r>
            <w:instrText xml:space="preserve"> HYPERLINK \l "_Toc204062719" </w:instrText>
          </w:r>
          <w:r>
            <w:fldChar w:fldCharType="separate"/>
          </w:r>
          <w:r>
            <w:rPr>
              <w:rStyle w:val="33"/>
              <w:rFonts w:hint="eastAsia"/>
              <w:color w:val="0D0D0D" w:themeColor="text1" w:themeTint="F2"/>
              <w14:textFill>
                <w14:solidFill>
                  <w14:schemeClr w14:val="tx1">
                    <w14:lumMod w14:val="95000"/>
                    <w14:lumOff w14:val="5000"/>
                  </w14:schemeClr>
                </w14:solidFill>
              </w14:textFill>
            </w:rPr>
            <w:t>10.9 评价总结论</w:t>
          </w:r>
          <w:r>
            <w:rPr>
              <w:rFonts w:hint="eastAsia"/>
              <w:color w:val="0D0D0D" w:themeColor="text1" w:themeTint="F2"/>
              <w14:textFill>
                <w14:solidFill>
                  <w14:schemeClr w14:val="tx1">
                    <w14:lumMod w14:val="95000"/>
                    <w14:lumOff w14:val="5000"/>
                  </w14:schemeClr>
                </w14:solidFill>
              </w14:textFill>
            </w:rPr>
            <w:tab/>
          </w:r>
          <w:r>
            <w:rPr>
              <w:rFonts w:hint="eastAsia"/>
              <w:color w:val="0D0D0D" w:themeColor="text1" w:themeTint="F2"/>
              <w14:textFill>
                <w14:solidFill>
                  <w14:schemeClr w14:val="tx1">
                    <w14:lumMod w14:val="95000"/>
                    <w14:lumOff w14:val="5000"/>
                  </w14:schemeClr>
                </w14:solidFill>
              </w14:textFill>
            </w:rPr>
            <w:fldChar w:fldCharType="begin"/>
          </w:r>
          <w:r>
            <w:rPr>
              <w:rFonts w:hint="eastAsia"/>
              <w:color w:val="0D0D0D" w:themeColor="text1" w:themeTint="F2"/>
              <w14:textFill>
                <w14:solidFill>
                  <w14:schemeClr w14:val="tx1">
                    <w14:lumMod w14:val="95000"/>
                    <w14:lumOff w14:val="5000"/>
                  </w14:schemeClr>
                </w14:solidFill>
              </w14:textFill>
            </w:rPr>
            <w:instrText xml:space="preserve"> </w:instrText>
          </w:r>
          <w:r>
            <w:rPr>
              <w:color w:val="0D0D0D" w:themeColor="text1" w:themeTint="F2"/>
              <w14:textFill>
                <w14:solidFill>
                  <w14:schemeClr w14:val="tx1">
                    <w14:lumMod w14:val="95000"/>
                    <w14:lumOff w14:val="5000"/>
                  </w14:schemeClr>
                </w14:solidFill>
              </w14:textFill>
            </w:rPr>
            <w:instrText xml:space="preserve">PAGEREF _Toc204062719 \h</w:instrText>
          </w:r>
          <w:r>
            <w:rPr>
              <w:rFonts w:hint="eastAsia"/>
              <w:color w:val="0D0D0D" w:themeColor="text1" w:themeTint="F2"/>
              <w14:textFill>
                <w14:solidFill>
                  <w14:schemeClr w14:val="tx1">
                    <w14:lumMod w14:val="95000"/>
                    <w14:lumOff w14:val="5000"/>
                  </w14:schemeClr>
                </w14:solidFill>
              </w14:textFill>
            </w:rPr>
            <w:instrText xml:space="preserve"> </w:instrText>
          </w:r>
          <w:r>
            <w:rPr>
              <w:rFonts w:hint="eastAsia"/>
              <w:color w:val="0D0D0D" w:themeColor="text1" w:themeTint="F2"/>
              <w14:textFill>
                <w14:solidFill>
                  <w14:schemeClr w14:val="tx1">
                    <w14:lumMod w14:val="95000"/>
                    <w14:lumOff w14:val="5000"/>
                  </w14:schemeClr>
                </w14:solidFill>
              </w14:textFill>
            </w:rPr>
            <w:fldChar w:fldCharType="separate"/>
          </w:r>
          <w:r>
            <w:rPr>
              <w:color w:val="0D0D0D" w:themeColor="text1" w:themeTint="F2"/>
              <w14:textFill>
                <w14:solidFill>
                  <w14:schemeClr w14:val="tx1">
                    <w14:lumMod w14:val="95000"/>
                    <w14:lumOff w14:val="5000"/>
                  </w14:schemeClr>
                </w14:solidFill>
              </w14:textFill>
            </w:rPr>
            <w:t>322</w:t>
          </w:r>
          <w:r>
            <w:rPr>
              <w:rFonts w:hint="eastAsia"/>
              <w:color w:val="0D0D0D" w:themeColor="text1" w:themeTint="F2"/>
              <w14:textFill>
                <w14:solidFill>
                  <w14:schemeClr w14:val="tx1">
                    <w14:lumMod w14:val="95000"/>
                    <w14:lumOff w14:val="5000"/>
                  </w14:schemeClr>
                </w14:solidFill>
              </w14:textFill>
            </w:rPr>
            <w:fldChar w:fldCharType="end"/>
          </w:r>
          <w:r>
            <w:rPr>
              <w:rFonts w:hint="eastAsia"/>
              <w:color w:val="0D0D0D" w:themeColor="text1" w:themeTint="F2"/>
              <w14:textFill>
                <w14:solidFill>
                  <w14:schemeClr w14:val="tx1">
                    <w14:lumMod w14:val="95000"/>
                    <w14:lumOff w14:val="5000"/>
                  </w14:schemeClr>
                </w14:solidFill>
              </w14:textFill>
            </w:rPr>
            <w:fldChar w:fldCharType="end"/>
          </w:r>
        </w:p>
        <w:p w14:paraId="7848686C">
          <w:pPr>
            <w:rPr>
              <w:color w:val="0D0D0D" w:themeColor="text1" w:themeTint="F2"/>
              <w14:textFill>
                <w14:solidFill>
                  <w14:schemeClr w14:val="tx1">
                    <w14:lumMod w14:val="95000"/>
                    <w14:lumOff w14:val="5000"/>
                  </w14:schemeClr>
                </w14:solidFill>
              </w14:textFill>
            </w:rPr>
          </w:pPr>
          <w:r>
            <w:rPr>
              <w:b/>
              <w:bCs/>
              <w:color w:val="0D0D0D" w:themeColor="text1" w:themeTint="F2"/>
              <w:lang w:val="zh-CN"/>
              <w14:textFill>
                <w14:solidFill>
                  <w14:schemeClr w14:val="tx1">
                    <w14:lumMod w14:val="95000"/>
                    <w14:lumOff w14:val="5000"/>
                  </w14:schemeClr>
                </w14:solidFill>
              </w14:textFill>
            </w:rPr>
            <w:fldChar w:fldCharType="end"/>
          </w:r>
        </w:p>
      </w:sdtContent>
    </w:sdt>
    <w:p w14:paraId="1ABF5BFB">
      <w:pPr>
        <w:rPr>
          <w:color w:val="0D0D0D" w:themeColor="text1" w:themeTint="F2"/>
          <w14:textFill>
            <w14:solidFill>
              <w14:schemeClr w14:val="tx1">
                <w14:lumMod w14:val="95000"/>
                <w14:lumOff w14:val="5000"/>
              </w14:schemeClr>
            </w14:solidFill>
          </w14:textFill>
        </w:rPr>
      </w:pPr>
    </w:p>
    <w:p w14:paraId="64C12141">
      <w:pPr>
        <w:widowControl/>
        <w:spacing w:line="240" w:lineRule="auto"/>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14:paraId="22CB7BC4">
      <w:pPr>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附图：</w:t>
      </w:r>
    </w:p>
    <w:p w14:paraId="27C5B7EB">
      <w:pPr>
        <w:pStyle w:val="2"/>
        <w:spacing w:after="0"/>
        <w:ind w:firstLine="0" w:firstLineChars="0"/>
        <w:rPr>
          <w:rFonts w:hint="eastAsia"/>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（涉密，公示本已删除）</w:t>
      </w:r>
    </w:p>
    <w:p w14:paraId="6C029A71">
      <w:pPr>
        <w:rPr>
          <w:color w:val="0D0D0D" w:themeColor="text1" w:themeTint="F2"/>
          <w14:textFill>
            <w14:solidFill>
              <w14:schemeClr w14:val="tx1">
                <w14:lumMod w14:val="95000"/>
                <w14:lumOff w14:val="5000"/>
              </w14:schemeClr>
            </w14:solidFill>
          </w14:textFill>
        </w:rPr>
      </w:pPr>
    </w:p>
    <w:p w14:paraId="63F975C4">
      <w:pPr>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附件</w:t>
      </w:r>
    </w:p>
    <w:p w14:paraId="3BC71C4D">
      <w:pPr>
        <w:pStyle w:val="2"/>
        <w:spacing w:after="0"/>
        <w:ind w:firstLine="0" w:firstLineChars="0"/>
        <w:rPr>
          <w:rFonts w:hint="eastAsia"/>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（涉密，公示本已删除）</w:t>
      </w:r>
    </w:p>
    <w:p w14:paraId="7FCCA672">
      <w:pPr>
        <w:rPr>
          <w:color w:val="0D0D0D" w:themeColor="text1" w:themeTint="F2"/>
          <w14:textFill>
            <w14:solidFill>
              <w14:schemeClr w14:val="tx1">
                <w14:lumMod w14:val="95000"/>
                <w14:lumOff w14:val="5000"/>
              </w14:schemeClr>
            </w14:solidFill>
          </w14:textFill>
        </w:rPr>
      </w:pPr>
    </w:p>
    <w:p w14:paraId="23B2C388">
      <w:pPr>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附表：</w:t>
      </w:r>
    </w:p>
    <w:p w14:paraId="37206B44">
      <w:pPr>
        <w:pStyle w:val="2"/>
        <w:spacing w:after="0"/>
        <w:ind w:firstLine="0" w:firstLineChars="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（涉密，公示本已删除）</w:t>
      </w:r>
    </w:p>
    <w:p w14:paraId="3015E7E5">
      <w:pPr>
        <w:widowControl/>
        <w:spacing w:line="240" w:lineRule="auto"/>
        <w:jc w:val="left"/>
        <w:rPr>
          <w:color w:val="0D0D0D" w:themeColor="text1" w:themeTint="F2"/>
          <w14:textFill>
            <w14:solidFill>
              <w14:schemeClr w14:val="tx1">
                <w14:lumMod w14:val="95000"/>
                <w14:lumOff w14:val="5000"/>
              </w14:schemeClr>
            </w14:solidFill>
          </w14:textFill>
        </w:rPr>
        <w:sectPr>
          <w:pgSz w:w="11906" w:h="16838"/>
          <w:pgMar w:top="1440" w:right="1440" w:bottom="1440" w:left="1440" w:header="851" w:footer="992" w:gutter="0"/>
          <w:pgNumType w:start="1"/>
          <w:cols w:space="425" w:num="1"/>
          <w:docGrid w:type="lines" w:linePitch="312" w:charSpace="0"/>
        </w:sectPr>
      </w:pPr>
      <w:r>
        <w:rPr>
          <w:color w:val="0D0D0D" w:themeColor="text1" w:themeTint="F2"/>
          <w14:textFill>
            <w14:solidFill>
              <w14:schemeClr w14:val="tx1">
                <w14:lumMod w14:val="95000"/>
                <w14:lumOff w14:val="5000"/>
              </w14:schemeClr>
            </w14:solidFill>
          </w14:textFill>
        </w:rPr>
        <w:br w:type="page"/>
      </w:r>
    </w:p>
    <w:p w14:paraId="1134C470">
      <w:pPr>
        <w:pStyle w:val="7"/>
      </w:pPr>
      <w:bookmarkStart w:id="0" w:name="_Toc204062517"/>
      <w:r>
        <w:rPr>
          <w:rFonts w:hint="eastAsia"/>
        </w:rPr>
        <w:t>概述</w:t>
      </w:r>
      <w:bookmarkEnd w:id="0"/>
    </w:p>
    <w:p w14:paraId="2E28DFFF">
      <w:pPr>
        <w:pStyle w:val="8"/>
        <w:numPr>
          <w:ilvl w:val="1"/>
          <w:numId w:val="2"/>
        </w:numPr>
      </w:pPr>
      <w:bookmarkStart w:id="1" w:name="_Toc204062518"/>
      <w:r>
        <w:rPr>
          <w:rFonts w:hint="eastAsia"/>
        </w:rPr>
        <w:t>项目由来</w:t>
      </w:r>
      <w:bookmarkEnd w:id="1"/>
    </w:p>
    <w:p w14:paraId="7ADBE3D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随着全球能源需求的不断增长和环境问题的日益突出，传统化石燃料的不可再生性及其对环境的负面影响逐渐成为全球关注的焦点。化石燃料的燃烧不仅导致温室气体排放增加，加剧全球气候变化，还伴随着空气污染、酸雨等环境问题。因此，寻找可持续、清洁的替代能源成为各国政府和企业的重要任务。</w:t>
      </w:r>
    </w:p>
    <w:p w14:paraId="72A7F7C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生物柴油作为一种可再生、环保的燃料，因其低碳排放、可生物降解以及对传统柴油的良好替代性，逐渐成为能源领域的研究热点。生物柴油主要通过植物油、动物脂肪或废弃油脂等可再生资源经过酯交换反应制成，其燃烧过程产生的二氧化碳可以被植物吸收，从而实现碳循环的平衡，减少温室气体的净排放。</w:t>
      </w:r>
    </w:p>
    <w:p w14:paraId="21F9096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在此背景下，为响应国家关于可再生能源发展和环境保护的政策号召，推动绿色能源的应用，减少对化石燃料的依赖，广西自贸区丰之力新能源有限公司拟投资12500万元在中国（广西）自由贸易试验区钦州港片区临海大道西面、勒沟东大街北面地块建设欧德年产30万吨生物柴油生产线项目。项目占地33333.34m</w:t>
      </w:r>
      <w:r>
        <w:rPr>
          <w:rFonts w:hint="eastAsia"/>
          <w:color w:val="0D0D0D" w:themeColor="text1" w:themeTint="F2"/>
          <w:vertAlign w:val="superscript"/>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，主要建设1条生物柴油生产线、1条工业级混合油生产线和1根1.79km的</w:t>
      </w:r>
      <w:bookmarkStart w:id="2" w:name="_Hlk199042141"/>
      <w:r>
        <w:rPr>
          <w:rFonts w:hint="eastAsia"/>
          <w:color w:val="0D0D0D" w:themeColor="text1" w:themeTint="F2"/>
          <w14:textFill>
            <w14:solidFill>
              <w14:schemeClr w14:val="tx1">
                <w14:lumMod w14:val="95000"/>
                <w14:lumOff w14:val="5000"/>
              </w14:schemeClr>
            </w14:solidFill>
          </w14:textFill>
        </w:rPr>
        <w:t>生物柴油及工业级混合油管道</w:t>
      </w:r>
      <w:bookmarkEnd w:id="2"/>
      <w:r>
        <w:rPr>
          <w:rFonts w:hint="eastAsia"/>
          <w:color w:val="0D0D0D" w:themeColor="text1" w:themeTint="F2"/>
          <w14:textFill>
            <w14:solidFill>
              <w14:schemeClr w14:val="tx1">
                <w14:lumMod w14:val="95000"/>
                <w14:lumOff w14:val="5000"/>
              </w14:schemeClr>
            </w14:solidFill>
          </w14:textFill>
        </w:rPr>
        <w:t>，配套建设给排水等辅助工程，建成后，年产30万吨生物柴油（主产品）、10万吨工业级混合油（主产品）、1.5万吨精甘油（副产品）和1.2万吨重质脂肪酸（副产品）。</w:t>
      </w:r>
    </w:p>
    <w:p w14:paraId="1F9CE825">
      <w:pPr>
        <w:pStyle w:val="8"/>
      </w:pPr>
      <w:bookmarkStart w:id="3" w:name="_Toc204062519"/>
      <w:r>
        <w:rPr>
          <w:rFonts w:hint="eastAsia"/>
        </w:rPr>
        <w:t>建设项目特点</w:t>
      </w:r>
      <w:bookmarkEnd w:id="3"/>
    </w:p>
    <w:p w14:paraId="63C7FE9A">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项目外购符合</w:t>
      </w:r>
      <w:bookmarkStart w:id="4" w:name="_Hlk199088683"/>
      <w:r>
        <w:rPr>
          <w:rFonts w:hint="eastAsia"/>
          <w:color w:val="0D0D0D" w:themeColor="text1" w:themeTint="F2"/>
          <w:u w:val="single"/>
          <w14:textFill>
            <w14:solidFill>
              <w14:schemeClr w14:val="tx1">
                <w14:lumMod w14:val="95000"/>
                <w14:lumOff w14:val="5000"/>
              </w14:schemeClr>
            </w14:solidFill>
          </w14:textFill>
        </w:rPr>
        <w:t>《生物柴油（BD100）原料  废弃油脂》（NB/T13007-2021）</w:t>
      </w:r>
      <w:bookmarkEnd w:id="4"/>
      <w:r>
        <w:rPr>
          <w:rFonts w:hint="eastAsia"/>
          <w:color w:val="0D0D0D" w:themeColor="text1" w:themeTint="F2"/>
          <w:u w:val="single"/>
          <w14:textFill>
            <w14:solidFill>
              <w14:schemeClr w14:val="tx1">
                <w14:lumMod w14:val="95000"/>
                <w14:lumOff w14:val="5000"/>
              </w14:schemeClr>
            </w14:solidFill>
          </w14:textFill>
        </w:rPr>
        <w:t>的废弃动植物油脂（不包含废弃工业油脂）为原料进行深加工，不涉及废弃油脂的酸化脱乳等预处理工艺。生物柴油生产线以废弃动植物油脂为原料，甲醇为辅料，生物酶（脂肪酶）为催化剂，采用生物酶法工艺，主要经过酯化、分离、蒸馏、精制提纯等工序，年产30万吨生物柴油（主产品）、1.5万吨精甘油（副产品）和1.2万吨重质脂肪酸（副产品），其中生物柴油产品标准执行《B5柴油》（GB25199-2017），精甘油产品标准执行《甘油》（GB/T13206-2022），重质脂肪酸产品标准执行《生物重油》（NB/T10770-2021）。工业级混合油生产线以废弃动植物油脂为原料，白土和精甘油为辅料，主要经过水洗、脱水、脱色、过滤、酯化、蒸馏脱酸等工序，年产10万吨工业级混合油（主产品），工业级混合油产品标准参照执行惠州丰之力油脂有限公司企业标准《工业级混合油》（</w:t>
      </w:r>
      <w:r>
        <w:rPr>
          <w:color w:val="0D0D0D" w:themeColor="text1" w:themeTint="F2"/>
          <w:u w:val="single"/>
          <w14:textFill>
            <w14:solidFill>
              <w14:schemeClr w14:val="tx1">
                <w14:lumMod w14:val="95000"/>
                <w14:lumOff w14:val="5000"/>
              </w14:schemeClr>
            </w14:solidFill>
          </w14:textFill>
        </w:rPr>
        <w:t>Q/HZFZL01-2025</w:t>
      </w:r>
      <w:r>
        <w:rPr>
          <w:rFonts w:hint="eastAsia"/>
          <w:color w:val="0D0D0D" w:themeColor="text1" w:themeTint="F2"/>
          <w:u w:val="single"/>
          <w14:textFill>
            <w14:solidFill>
              <w14:schemeClr w14:val="tx1">
                <w14:lumMod w14:val="95000"/>
                <w14:lumOff w14:val="5000"/>
              </w14:schemeClr>
            </w14:solidFill>
          </w14:textFill>
        </w:rPr>
        <w:t>）。</w:t>
      </w:r>
    </w:p>
    <w:p w14:paraId="4DDDE160">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项目运营期</w:t>
      </w:r>
      <w:bookmarkStart w:id="5" w:name="_Hlk201050315"/>
      <w:r>
        <w:rPr>
          <w:rFonts w:hint="eastAsia"/>
          <w:color w:val="0D0D0D" w:themeColor="text1" w:themeTint="F2"/>
          <w:u w:val="single"/>
          <w14:textFill>
            <w14:solidFill>
              <w14:schemeClr w14:val="tx1">
                <w14:lumMod w14:val="95000"/>
                <w14:lumOff w14:val="5000"/>
              </w14:schemeClr>
            </w14:solidFill>
          </w14:textFill>
        </w:rPr>
        <w:t>生产线工艺废气和储罐大小呼吸废气经RCO催化燃烧装置处理后，通过30m高排气筒（DA001）排放；污水处理站废气经“二级碱液喷淋+除雾器”预处理后排入RCO催化燃烧装置处理，最后通过30m高排气筒（DA001）排放；</w:t>
      </w:r>
      <w:bookmarkStart w:id="6" w:name="_Hlk205278782"/>
      <w:r>
        <w:rPr>
          <w:rFonts w:hint="eastAsia"/>
          <w:color w:val="0D0D0D" w:themeColor="text1" w:themeTint="F2"/>
          <w:u w:val="single"/>
          <w14:textFill>
            <w14:solidFill>
              <w14:schemeClr w14:val="tx1">
                <w14:lumMod w14:val="95000"/>
                <w14:lumOff w14:val="5000"/>
              </w14:schemeClr>
            </w14:solidFill>
          </w14:textFill>
        </w:rPr>
        <w:t>沼气脱硫净化后引至1＃导热油炉燃烧处理</w:t>
      </w:r>
      <w:bookmarkEnd w:id="6"/>
      <w:r>
        <w:rPr>
          <w:rFonts w:hint="eastAsia"/>
          <w:color w:val="0D0D0D" w:themeColor="text1" w:themeTint="F2"/>
          <w:u w:val="single"/>
          <w14:textFill>
            <w14:solidFill>
              <w14:schemeClr w14:val="tx1">
                <w14:lumMod w14:val="95000"/>
                <w14:lumOff w14:val="5000"/>
              </w14:schemeClr>
            </w14:solidFill>
          </w14:textFill>
        </w:rPr>
        <w:t>；白土投料粉尘无组织排放；导热油炉燃烧废气经配套的“旋风除尘器+布袋除尘器”处理后，通过40m高排气筒（DA002）排放。</w:t>
      </w:r>
      <w:bookmarkEnd w:id="5"/>
    </w:p>
    <w:p w14:paraId="2D4BB417">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运营期初期雨水经初期雨水池收集后，泵入污水处理站与生产废水一并处理，污水处理站采用“隔油+气浮+混凝沉淀+调节+UASB厌氧反应器+MBR膜生物反应器”工艺，处理达标后排入市政污水管网；生活污水经三级化粪池处理后排入市政污水管网；外排废水统一输送至钦州胜科水务有限公司污水处理厂进行深度处理，最终通过钦州港金鼓江排污混合区（GX056DⅣ）深海排放。</w:t>
      </w:r>
    </w:p>
    <w:p w14:paraId="76B62748">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运营期噪声主要来源于生产设备运行噪声，采取选用低噪声设备、基础减振、厂房隔声等综合降噪措施。</w:t>
      </w:r>
    </w:p>
    <w:p w14:paraId="337837C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运营期固体废物包括一般固废、危险废物和生活垃圾，废包装物、废布袋、废渣、废白土、除尘器收集粉尘和炉渣外售第三方单位资源化回收利用；废脱硫剂、废MBR膜和废离子交换树脂由生产厂家回收处置；污泥交由污泥处置单位处置；废导热油、废机油、废油桶、废含油抹布、化验室废液和废催化剂委托有资质单位清运处置；生活垃圾集中分类收集后由环卫部门清运处置。</w:t>
      </w:r>
    </w:p>
    <w:p w14:paraId="23E9A6F3">
      <w:pPr>
        <w:pStyle w:val="8"/>
      </w:pPr>
      <w:bookmarkStart w:id="7" w:name="_Toc204062520"/>
      <w:r>
        <w:rPr>
          <w:rFonts w:hint="eastAsia"/>
        </w:rPr>
        <w:t>环境影响评价工作过程</w:t>
      </w:r>
      <w:bookmarkEnd w:id="7"/>
    </w:p>
    <w:p w14:paraId="4DE6C1C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中华人民共和国环境保护法》、《建设项目环境保护管理条例》（国务院第682号令）、《中华人民共和国环境影响评价法》（2018年12月29日修正）有关规定，本项目应进行环境影响评价，从环保角度论证项目建设的可行性。</w:t>
      </w:r>
    </w:p>
    <w:p w14:paraId="17490BE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建设项目环境影响评价分类管理名录（2021年版）》，生物柴油生产属于“二十二、石油、煤炭及其他燃料加工业25-43、生物质燃料加工254-生物质液体燃料生产”，应编制环境影响报告书；工业级混合油生产属于“三十九、废弃资源综合利用业42-85、非金属废料和碎屑加工处理422（不含废料为危险废物的，不含仅分拣、破碎的）-废电池、废油加工处理”，应编制环境影响报告书。根据《建设项目环境影响评价分类管理名录（2021版）》第四条“建设内容涉及本名录中两个及以上项目类别的建设项目，其环境影响评价类别按照其中单项等级最高的确定”，因此，项目应编制环境影响报告书。</w:t>
      </w:r>
    </w:p>
    <w:p w14:paraId="5261DC0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受广西自贸区丰之力新能源有限公司委托（附件1），我公司承担《欧德年产30万吨生物柴油生产线项目环境影响报告书》的编制工作。接受委托后，我公司即组织相关人员踏勘现场，收集有关资料，对工程进行初步分析，根据项目性质、规模和周围区域环境特征，组织开展了全面的环境质量现状调查和监测工作，并依据环境影响评价技术导则和相关要求，编制完成了《欧德年产30万吨生物柴油生产线项目环境影响报告书》。</w:t>
      </w:r>
    </w:p>
    <w:p w14:paraId="034BBD68">
      <w:pPr>
        <w:pStyle w:val="8"/>
      </w:pPr>
      <w:bookmarkStart w:id="8" w:name="_Toc204062521"/>
      <w:r>
        <w:rPr>
          <w:rFonts w:hint="eastAsia"/>
        </w:rPr>
        <w:t>分析判定情况</w:t>
      </w:r>
      <w:bookmarkEnd w:id="8"/>
    </w:p>
    <w:p w14:paraId="2BB7D9B4">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（1）产业政策相符性分析</w:t>
      </w:r>
    </w:p>
    <w:p w14:paraId="0B51965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根据《国民经济行业分类》（GB/T4754-2017）及其修改单，生物柴油生产属于C2541生物质液体燃料生产，工业级混合油生产属于C4220非金属废料和碎屑加工处理。</w:t>
      </w:r>
    </w:p>
    <w:p w14:paraId="30A0BD4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产业结构调整指导目录（2024年本）》，生物柴油生产属于其中的鼓励类“五、新能源：3、生物质能发电技术与应用：生物质纤维素乙醇、生物燃油（柴油、汽油、航空煤油）等非粮生物质燃料生产技术开发与应用”。工业级混合油生产属于其中的鼓励类“四十二、环境保护与资源节约综合利用：8、废弃物循环利用：废弃油脂等城市典型废弃物循环利用、技术设备开发及应用。”</w:t>
      </w:r>
      <w:r>
        <w:rPr>
          <w:rFonts w:hint="eastAsia"/>
          <w:color w:val="0D0D0D" w:themeColor="text1" w:themeTint="F2"/>
          <w:u w:val="single"/>
          <w14:textFill>
            <w14:solidFill>
              <w14:schemeClr w14:val="tx1">
                <w14:lumMod w14:val="95000"/>
                <w14:lumOff w14:val="5000"/>
              </w14:schemeClr>
            </w14:solidFill>
          </w14:textFill>
        </w:rPr>
        <w:t>项目设置2台导热油炉，其中1＃导热油炉热负荷7.0MW（折合10t/h），配备1台1t/h的余热蒸汽锅炉，2＃导热油炉热负荷4.2MW（折合6t/h），导热油炉为链条炉，不属于限制类“每小时35蒸吨及以下固定炉排式生物质锅炉”和淘汰类“每小时2蒸吨及以下生物质锅炉”。</w:t>
      </w:r>
    </w:p>
    <w:p w14:paraId="5212E12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西部地区鼓励类产业目录（2025年本）》，生物柴油生产属于其中的鼓励类产业“（十二）广西壮族自治区-38.生活垃圾焚烧发电、沼气发电、农林生物质发电，生物柴油、生物天然气生产，国六B及更高标准汽柴油、3号喷气燃料等清洁燃料生产技术开发与应用”。工业级混合油生产不在该目录中。</w:t>
      </w:r>
    </w:p>
    <w:p w14:paraId="1994271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北钦防一体化产业协同发展限制布局清单（工业类）》（桂政办函〔2021〕4号），钦州市限制布局产业包括：炼铁、炼钢、铝冶炼、平板玻璃制造；钦州港经济技术开发区限制布局产业包括：水泥制造、建筑陶瓷制品制造、制革及毛皮加工。项目生产生物柴油和工业级混合油，不属于清单中的限制产业。</w:t>
      </w:r>
    </w:p>
    <w:p w14:paraId="39552037">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国家污染防治技术指导目录》（环办科财函〔2025〕197号），VOCs（挥发性有机物）洗涤吸收净化技术、VOCs光催化及其组合净化技术、VOCs低温等离子体及其组合净化技术和VOCs光解（光氧化）及其组合净化技术属于低效类技术。项目有机废气治理工艺为RCO催化燃烧，不属于该目录中的低效类技术。</w:t>
      </w:r>
    </w:p>
    <w:p w14:paraId="11C19F8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项目已在广西投资项目在线审批监管平台备案登记，备案机关为广西自贸区钦州港片区行政审批局，项目代码为2211-450704-04-01-558104，备案证明见附件2。</w:t>
      </w:r>
    </w:p>
    <w:p w14:paraId="46E7E2F3">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广西“生态云”平台建设项目智能研判报告，该报告分析判定本项目为“两高”项目，根据项目设计资料，本项目年产30万吨生物柴油（主产品）、10万吨工业级混合油（主产品）、1.5万吨精甘油（副产品）和1.2万吨重质脂肪酸（副产品），根据《广西自贸区丰之力新能源有限公司欧德年产30万吨生物柴油生产线项目节能报告》，项目综合能源消耗量当量值为26878.68tce，等价值为30578.47tce，小于5万吨标准煤。根据《关于加强高耗能、高排放建设项目生态环境源头防控的指导意见》（环环评〔2021〕45号）、《广西壮族自治区高耗能、高排放建设项目主要污染物排放管理办法》（桂环规范〔2023〕6号）、《</w:t>
      </w:r>
      <w:r>
        <w:rPr>
          <w:rFonts w:hint="eastAsia"/>
          <w:color w:val="0D0D0D" w:themeColor="text1" w:themeTint="F2"/>
          <w:u w:val="single"/>
          <w:lang w:eastAsia="zh-CN"/>
          <w14:textFill>
            <w14:solidFill>
              <w14:schemeClr w14:val="tx1">
                <w14:lumMod w14:val="95000"/>
                <w14:lumOff w14:val="5000"/>
              </w14:schemeClr>
            </w14:solidFill>
          </w14:textFill>
        </w:rPr>
        <w:t>广西壮族自治区发展和改革委员会</w:t>
      </w:r>
      <w:r>
        <w:rPr>
          <w:rFonts w:hint="eastAsia"/>
          <w:color w:val="0D0D0D" w:themeColor="text1" w:themeTint="F2"/>
          <w:u w:val="single"/>
          <w14:textFill>
            <w14:solidFill>
              <w14:schemeClr w14:val="tx1">
                <w14:lumMod w14:val="95000"/>
                <w14:lumOff w14:val="5000"/>
              </w14:schemeClr>
            </w14:solidFill>
          </w14:textFill>
        </w:rPr>
        <w:t>关于坚决遏制高耗能高排放项目盲目建设的通知》（桂发改环资〔2021〕240号）等文件，本项目不属于“两高”项目。</w:t>
      </w:r>
    </w:p>
    <w:p w14:paraId="285AF30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综上所述，项目建设符合国家和地方产业政策要求。</w:t>
      </w:r>
    </w:p>
    <w:p w14:paraId="4329F4EC">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（2）规划相符性分析</w:t>
      </w:r>
    </w:p>
    <w:p w14:paraId="3D98E57A">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下文2.7章节，项目与《广西生态环境保护“十四五”规划》（桂政办发〔2021〕145号）、《钦州市生态环境保护“十四五”规划》（钦政办〔2022〕16号）、《钦州市国土空间总体规划（2021-2035年）》（桂政函〔2024〕17号）、《广西北部湾经济区北钦防一体化发展规划（2019-2025年）》、《广西钦州石化产业园总体发展规划（2020-2035）》（桂政函〔2021〕153号）、《广西钦州石化产业园总体发展规划（2020-2035）环境影响报告书》及其审查意见（桂环函〔2021〕388号）、《钦州市人民政府办公室关于印发钦州市石化产业高质量发展“十四五”规划的通知》（钦政办〔2022〕33号）相符合。</w:t>
      </w:r>
    </w:p>
    <w:p w14:paraId="4E30ADEF">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（3）“三线一单”相符性分析</w:t>
      </w:r>
    </w:p>
    <w:p w14:paraId="5435793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下文2.7章节，项目与《广西壮族自治区生态环境厅关于印发实施广西壮族自治区生态环境分区管控动态更新成果（2023年）的通知》（桂环规范〔2024〕3号）和《钦州市生态环境局关于印发&lt;钦州市生态环境分区管控动态更新成果（2023版）&gt;的通知》（2024年12月）相符合。</w:t>
      </w:r>
    </w:p>
    <w:p w14:paraId="081FADA9">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（4）选址合理性分析</w:t>
      </w:r>
    </w:p>
    <w:p w14:paraId="25F98136">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位于中国（广西）自由贸易试验区钦州港片区临海大道西侧、勒沟东大街北侧地块（地块编号：QZG-M12-02），用地性质为工业用地（M），规划主导用途为石油、煤炭及其他燃料加工业，选址符合园区土地利用规划。项目选址不涉及饮用水水源保护区、自然保护区、风景名胜区、生态功能保护区、基本农田保护区等生态敏感区域，符合“三线一单”生态环境分区管控要求。根据中国（广西）自由贸易试验区钦州港片区自然资源和建设局出具的选址意见（附件5），项目选址已纳入《钦州市国土空间总体规划（2021-2035年）》，符合“三区三线”管控要求，同意项目选址。</w:t>
      </w:r>
      <w:r>
        <w:rPr>
          <w:color w:val="0D0D0D" w:themeColor="text1" w:themeTint="F2"/>
          <w:u w:val="single"/>
          <w14:textFill>
            <w14:solidFill>
              <w14:schemeClr w14:val="tx1">
                <w14:lumMod w14:val="95000"/>
                <w14:lumOff w14:val="5000"/>
              </w14:schemeClr>
            </w14:solidFill>
          </w14:textFill>
        </w:rPr>
        <w:t>生物柴油及工业级混合油输送管道起点为厂区储罐区，终点为金鼓江作业区14号泊位</w:t>
      </w:r>
      <w:r>
        <w:rPr>
          <w:rFonts w:hint="eastAsia"/>
          <w:color w:val="0D0D0D" w:themeColor="text1" w:themeTint="F2"/>
          <w:u w:val="single"/>
          <w14:textFill>
            <w14:solidFill>
              <w14:schemeClr w14:val="tx1">
                <w14:lumMod w14:val="95000"/>
                <w14:lumOff w14:val="5000"/>
              </w14:schemeClr>
            </w14:solidFill>
          </w14:textFill>
        </w:rPr>
        <w:t>，管道全长1.79公里，沿园区公共管廊架空敷设，不涉及环境敏感区，已取得广西钦州临港石化产业园开发投资股份有限公司出具的同意使用公共管廊的许可文件（附件12），已与码头运营方广西自贸区逸海港务有限责任公司签署了码头合作合同意向书（附件13），明确了泊位使用意向。项目采取了切实可行的污染防治措施，在加强生产管理、确保环保设施持续稳定正常运行的条件下，各项污染物可达标排放，正常运营期间排放的污染物对周边环境影响较小。在严格执行各项环境风险防范措施的基础上，项目环境风险事故造成的影响处于可接受水平。</w:t>
      </w:r>
    </w:p>
    <w:p w14:paraId="41183C14">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综上所述，从环保角度分析，项目选址合理可行。</w:t>
      </w:r>
    </w:p>
    <w:p w14:paraId="24ADFFFD">
      <w:pPr>
        <w:pStyle w:val="8"/>
      </w:pPr>
      <w:bookmarkStart w:id="9" w:name="_Toc204062522"/>
      <w:r>
        <w:rPr>
          <w:rFonts w:hint="eastAsia"/>
        </w:rPr>
        <w:t>关注的主要环境问题及环境影响</w:t>
      </w:r>
      <w:bookmarkEnd w:id="9"/>
    </w:p>
    <w:p w14:paraId="3278200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项目实施后关注的主要环境问题及环境影响如下：</w:t>
      </w:r>
    </w:p>
    <w:p w14:paraId="1E294E3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（1）项目运营期废气对大气环境的影响以及拟采取的废气污染防治措施的可行性。</w:t>
      </w:r>
    </w:p>
    <w:p w14:paraId="5971CCC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（2）项目运营期废水处理工艺的可行性以及依托园区污水处理厂处理的可行性。</w:t>
      </w:r>
    </w:p>
    <w:p w14:paraId="15820B4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（3）项目运营期固体废物（尤其是危险废物等）产生、暂存及处置措施的可行性。</w:t>
      </w:r>
    </w:p>
    <w:p w14:paraId="55F4F50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（4）项目运营期环境风险防范措施的可行性。</w:t>
      </w:r>
    </w:p>
    <w:p w14:paraId="25952DEA">
      <w:pPr>
        <w:pStyle w:val="2"/>
        <w:ind w:firstLine="240"/>
      </w:pPr>
      <w:r>
        <w:br w:type="page"/>
      </w:r>
    </w:p>
    <w:p w14:paraId="5F0E033F">
      <w:pPr>
        <w:pStyle w:val="8"/>
      </w:pPr>
      <w:bookmarkStart w:id="10" w:name="_Toc204062523"/>
      <w:r>
        <w:rPr>
          <w:rFonts w:hint="eastAsia"/>
        </w:rPr>
        <w:t>环境影响报告书主要结论</w:t>
      </w:r>
      <w:bookmarkEnd w:id="10"/>
    </w:p>
    <w:p w14:paraId="79A5A088">
      <w:pPr>
        <w:ind w:firstLine="480" w:firstLineChars="200"/>
        <w:rPr>
          <w:color w:val="0D0D0D" w:themeColor="text1" w:themeTint="F2"/>
          <w14:textFill>
            <w14:solidFill>
              <w14:schemeClr w14:val="tx1">
                <w14:lumMod w14:val="95000"/>
                <w14:lumOff w14:val="5000"/>
              </w14:schemeClr>
            </w14:solidFill>
          </w14:textFill>
        </w:rPr>
      </w:pPr>
      <w:bookmarkStart w:id="11" w:name="_Hlk198618658"/>
      <w:r>
        <w:rPr>
          <w:rFonts w:hint="eastAsia"/>
          <w:color w:val="0D0D0D" w:themeColor="text1" w:themeTint="F2"/>
          <w14:textFill>
            <w14:solidFill>
              <w14:schemeClr w14:val="tx1">
                <w14:lumMod w14:val="95000"/>
                <w14:lumOff w14:val="5000"/>
              </w14:schemeClr>
            </w14:solidFill>
          </w14:textFill>
        </w:rPr>
        <w:t>欧德年产30万吨生物柴油生产线项目建设符合国家和地方产业政策要求，符合园区规划要求，不属于园区环境准入负面清单，项目选址位于钦州石化园区范围内，用地符合国土空间管控要求，且项目采用的生产设备和工艺技术符合清洁生产原则。针对运营期产生的废气、废水、噪声和固体废物，拟采取的污染防治措施技术可行、经济合理。在确保环保设施稳定运行的前提下，各类污染物可达标排放。</w:t>
      </w:r>
      <w:bookmarkEnd w:id="11"/>
      <w:r>
        <w:rPr>
          <w:rFonts w:hint="eastAsia"/>
          <w:color w:val="0D0D0D" w:themeColor="text1" w:themeTint="F2"/>
          <w14:textFill>
            <w14:solidFill>
              <w14:schemeClr w14:val="tx1">
                <w14:lumMod w14:val="95000"/>
                <w14:lumOff w14:val="5000"/>
              </w14:schemeClr>
            </w14:solidFill>
          </w14:textFill>
        </w:rPr>
        <w:t>只要建设单位严格执行国家和地方有关环境保护法规，认真落实本报告提出的各项环保措施和环境风险防范措施，该项目建设和运行对环境的影响可以接受，从环境保护角度看是可行的。</w:t>
      </w:r>
    </w:p>
    <w:p w14:paraId="67B9E917">
      <w:pPr>
        <w:widowControl/>
        <w:spacing w:line="240" w:lineRule="auto"/>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14:paraId="43E062D0">
      <w:pPr>
        <w:pStyle w:val="7"/>
      </w:pPr>
      <w:bookmarkStart w:id="12" w:name="_Toc204062524"/>
      <w:r>
        <w:rPr>
          <w:rFonts w:hint="eastAsia"/>
        </w:rPr>
        <w:t>总则</w:t>
      </w:r>
      <w:bookmarkEnd w:id="12"/>
    </w:p>
    <w:p w14:paraId="14FFFCDA">
      <w:pPr>
        <w:pStyle w:val="8"/>
        <w:numPr>
          <w:ilvl w:val="1"/>
          <w:numId w:val="3"/>
        </w:numPr>
      </w:pPr>
      <w:bookmarkStart w:id="13" w:name="_Toc204062525"/>
      <w:r>
        <w:rPr>
          <w:rFonts w:hint="eastAsia"/>
        </w:rPr>
        <w:t>编制依据</w:t>
      </w:r>
      <w:bookmarkEnd w:id="13"/>
    </w:p>
    <w:p w14:paraId="34765BF8">
      <w:pPr>
        <w:pStyle w:val="9"/>
        <w:numPr>
          <w:ilvl w:val="2"/>
          <w:numId w:val="4"/>
        </w:numPr>
      </w:pPr>
      <w:bookmarkStart w:id="14" w:name="_Toc204062526"/>
      <w:r>
        <w:rPr>
          <w:rFonts w:hint="eastAsia"/>
        </w:rPr>
        <w:t>国家法律、法规和规章</w:t>
      </w:r>
      <w:bookmarkEnd w:id="14"/>
    </w:p>
    <w:p w14:paraId="1501BAB2">
      <w:pPr>
        <w:pStyle w:val="46"/>
        <w:numPr>
          <w:ilvl w:val="0"/>
          <w:numId w:val="5"/>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《中华人民共和国环境保护法》（2014年修订，2015年1月1日起施行）；</w:t>
      </w:r>
    </w:p>
    <w:p w14:paraId="3F646AA6">
      <w:pPr>
        <w:pStyle w:val="46"/>
        <w:numPr>
          <w:ilvl w:val="0"/>
          <w:numId w:val="5"/>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《中华人民共和国环境影响评价法》（2018年12月29日修正施行）；</w:t>
      </w:r>
    </w:p>
    <w:p w14:paraId="236D98E4">
      <w:pPr>
        <w:pStyle w:val="46"/>
        <w:numPr>
          <w:ilvl w:val="0"/>
          <w:numId w:val="5"/>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《中华人民共和国水污染防治法》（2017年修订，2018年1月1日起施行）；</w:t>
      </w:r>
    </w:p>
    <w:p w14:paraId="30C62D50">
      <w:pPr>
        <w:pStyle w:val="46"/>
        <w:numPr>
          <w:ilvl w:val="0"/>
          <w:numId w:val="5"/>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《中华人民共和国大气污染防治法》（2018年修订施行）；</w:t>
      </w:r>
    </w:p>
    <w:p w14:paraId="50A8A656">
      <w:pPr>
        <w:pStyle w:val="46"/>
        <w:numPr>
          <w:ilvl w:val="0"/>
          <w:numId w:val="5"/>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《中华人民共和国噪声污染防治法》（2022年6月5日起实施）；</w:t>
      </w:r>
    </w:p>
    <w:p w14:paraId="36096FA4">
      <w:pPr>
        <w:pStyle w:val="46"/>
        <w:numPr>
          <w:ilvl w:val="0"/>
          <w:numId w:val="5"/>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《中华人民共和国固体废物污染环境防治法》（2020年9月1日起实施）；</w:t>
      </w:r>
    </w:p>
    <w:p w14:paraId="78BBCF4C">
      <w:pPr>
        <w:pStyle w:val="46"/>
        <w:numPr>
          <w:ilvl w:val="0"/>
          <w:numId w:val="5"/>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《中华人民共和国土壤污染防治法》（2019年1月1日起实施）；</w:t>
      </w:r>
    </w:p>
    <w:p w14:paraId="10221309">
      <w:pPr>
        <w:pStyle w:val="46"/>
        <w:numPr>
          <w:ilvl w:val="0"/>
          <w:numId w:val="5"/>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《中华人民共和国清洁生产促进法》（2012年2月29日修订）；</w:t>
      </w:r>
    </w:p>
    <w:p w14:paraId="71B74591">
      <w:pPr>
        <w:pStyle w:val="46"/>
        <w:numPr>
          <w:ilvl w:val="0"/>
          <w:numId w:val="5"/>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《建设项目环境保护管理条例》（2017年修订，2017年10月1日起施行）；</w:t>
      </w:r>
    </w:p>
    <w:p w14:paraId="566E8071">
      <w:pPr>
        <w:pStyle w:val="46"/>
        <w:numPr>
          <w:ilvl w:val="0"/>
          <w:numId w:val="5"/>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《建设项目环境影响评价分类管理名录（2021年版）》（生态环境</w:t>
      </w:r>
      <w:r>
        <w:rPr>
          <w:rFonts w:hint="eastAsia"/>
          <w:color w:val="0D0D0D" w:themeColor="text1" w:themeTint="F2"/>
          <w:lang w:eastAsia="zh-CN"/>
          <w14:textFill>
            <w14:solidFill>
              <w14:schemeClr w14:val="tx1">
                <w14:lumMod w14:val="95000"/>
                <w14:lumOff w14:val="5000"/>
              </w14:schemeClr>
            </w14:solidFill>
          </w14:textFill>
        </w:rPr>
        <w:t>部令</w:t>
      </w:r>
      <w:r>
        <w:rPr>
          <w:rFonts w:hint="eastAsia"/>
          <w:color w:val="0D0D0D" w:themeColor="text1" w:themeTint="F2"/>
          <w14:textFill>
            <w14:solidFill>
              <w14:schemeClr w14:val="tx1">
                <w14:lumMod w14:val="95000"/>
                <w14:lumOff w14:val="5000"/>
              </w14:schemeClr>
            </w14:solidFill>
          </w14:textFill>
        </w:rPr>
        <w:t>第16号）；</w:t>
      </w:r>
    </w:p>
    <w:p w14:paraId="4D686E16">
      <w:pPr>
        <w:pStyle w:val="46"/>
        <w:numPr>
          <w:ilvl w:val="0"/>
          <w:numId w:val="5"/>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《产业结构调整指导目录（2024年本）》（中华人民共和国国家发展和改革委员会令第7号）；</w:t>
      </w:r>
    </w:p>
    <w:p w14:paraId="7EBC688C">
      <w:pPr>
        <w:pStyle w:val="46"/>
        <w:numPr>
          <w:ilvl w:val="0"/>
          <w:numId w:val="5"/>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《西部地区鼓励类产业目录（2025年本）》（国家发展和改革委员会令第28号）；</w:t>
      </w:r>
    </w:p>
    <w:p w14:paraId="789ED7C9">
      <w:pPr>
        <w:pStyle w:val="46"/>
        <w:numPr>
          <w:ilvl w:val="0"/>
          <w:numId w:val="5"/>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《关于进一步加强环境影响评价管理防范环境风险的通知》（环发〔2012〕77号）；</w:t>
      </w:r>
    </w:p>
    <w:p w14:paraId="6419F350">
      <w:pPr>
        <w:pStyle w:val="46"/>
        <w:numPr>
          <w:ilvl w:val="0"/>
          <w:numId w:val="5"/>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《国家危险废物名录（2025年版）》（生态环境部、国家发展和改革委员会、公安部、交通运输部、国家卫生健康委员会令第36号）；</w:t>
      </w:r>
    </w:p>
    <w:p w14:paraId="1A32579F">
      <w:pPr>
        <w:pStyle w:val="46"/>
        <w:numPr>
          <w:ilvl w:val="0"/>
          <w:numId w:val="5"/>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《地下水管理条例》（中华人民共和国国务院令第748号，2021年12月1日起施行）；</w:t>
      </w:r>
    </w:p>
    <w:p w14:paraId="61EF7DA9">
      <w:pPr>
        <w:pStyle w:val="46"/>
        <w:numPr>
          <w:ilvl w:val="0"/>
          <w:numId w:val="5"/>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《排污许可管理条例》（中华人民共和国国务院令第736号）；</w:t>
      </w:r>
    </w:p>
    <w:p w14:paraId="35DA74E4">
      <w:pPr>
        <w:pStyle w:val="46"/>
        <w:numPr>
          <w:ilvl w:val="0"/>
          <w:numId w:val="5"/>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《排污许可管理办法》（生态环境</w:t>
      </w:r>
      <w:r>
        <w:rPr>
          <w:rFonts w:hint="eastAsia"/>
          <w:color w:val="0D0D0D" w:themeColor="text1" w:themeTint="F2"/>
          <w:lang w:eastAsia="zh-CN"/>
          <w14:textFill>
            <w14:solidFill>
              <w14:schemeClr w14:val="tx1">
                <w14:lumMod w14:val="95000"/>
                <w14:lumOff w14:val="5000"/>
              </w14:schemeClr>
            </w14:solidFill>
          </w14:textFill>
        </w:rPr>
        <w:t>部令</w:t>
      </w:r>
      <w:r>
        <w:rPr>
          <w:rFonts w:hint="eastAsia"/>
          <w:color w:val="0D0D0D" w:themeColor="text1" w:themeTint="F2"/>
          <w14:textFill>
            <w14:solidFill>
              <w14:schemeClr w14:val="tx1">
                <w14:lumMod w14:val="95000"/>
                <w14:lumOff w14:val="5000"/>
              </w14:schemeClr>
            </w14:solidFill>
          </w14:textFill>
        </w:rPr>
        <w:t>第32号）；</w:t>
      </w:r>
    </w:p>
    <w:p w14:paraId="07FDC53A">
      <w:pPr>
        <w:pStyle w:val="46"/>
        <w:numPr>
          <w:ilvl w:val="0"/>
          <w:numId w:val="5"/>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《环境影响评价公众参与办法》（2019年1月1日实施）；</w:t>
      </w:r>
    </w:p>
    <w:p w14:paraId="43EA8C5B">
      <w:pPr>
        <w:pStyle w:val="46"/>
        <w:numPr>
          <w:ilvl w:val="0"/>
          <w:numId w:val="5"/>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《国务院关于印发“十四五”节能减排综合性工作方案的通知》（国发〔2021〕33号）；</w:t>
      </w:r>
    </w:p>
    <w:p w14:paraId="3BBC4770">
      <w:pPr>
        <w:pStyle w:val="46"/>
        <w:numPr>
          <w:ilvl w:val="0"/>
          <w:numId w:val="5"/>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《重点行业挥发性有机物综合治理方案》（环大气〔2019〕53号）；</w:t>
      </w:r>
    </w:p>
    <w:p w14:paraId="51890157">
      <w:pPr>
        <w:pStyle w:val="46"/>
        <w:numPr>
          <w:ilvl w:val="0"/>
          <w:numId w:val="5"/>
        </w:num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《关于加强高耗能、高排放建设项目生态环境源头防控的指导意见》（环环评〔2021〕45号）；</w:t>
      </w:r>
    </w:p>
    <w:p w14:paraId="58D70423">
      <w:pPr>
        <w:pStyle w:val="46"/>
        <w:numPr>
          <w:ilvl w:val="0"/>
          <w:numId w:val="5"/>
        </w:num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《关于印发钢铁/焦化、现代煤化工、石化、火电四个行业建设项目环境影响评价文件审批原则的通知》（环办环评〔2022〕31号）；</w:t>
      </w:r>
    </w:p>
    <w:p w14:paraId="5F4B1EB1">
      <w:pPr>
        <w:pStyle w:val="46"/>
        <w:numPr>
          <w:ilvl w:val="0"/>
          <w:numId w:val="5"/>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《关于“十四五”推动石化化工行业高质量发展的指导意见》（工信部联原〔2022〕34号）</w:t>
      </w:r>
      <w:r>
        <w:rPr>
          <w:rFonts w:hint="eastAsia"/>
          <w:color w:val="0D0D0D" w:themeColor="text1" w:themeTint="F2"/>
          <w14:textFill>
            <w14:solidFill>
              <w14:schemeClr w14:val="tx1">
                <w14:lumMod w14:val="95000"/>
                <w14:lumOff w14:val="5000"/>
              </w14:schemeClr>
            </w14:solidFill>
          </w14:textFill>
        </w:rPr>
        <w:t>。</w:t>
      </w:r>
    </w:p>
    <w:p w14:paraId="5CFECE1F">
      <w:pPr>
        <w:pStyle w:val="9"/>
      </w:pPr>
      <w:bookmarkStart w:id="15" w:name="_Toc204062527"/>
      <w:r>
        <w:rPr>
          <w:rFonts w:hint="eastAsia"/>
        </w:rPr>
        <w:t>地方法律、法规和规章</w:t>
      </w:r>
      <w:bookmarkEnd w:id="15"/>
    </w:p>
    <w:p w14:paraId="512781C5">
      <w:pPr>
        <w:pStyle w:val="46"/>
        <w:numPr>
          <w:ilvl w:val="0"/>
          <w:numId w:val="6"/>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《广西壮族自治区水功能区划》（2016年修订）；</w:t>
      </w:r>
    </w:p>
    <w:p w14:paraId="2AEC652F">
      <w:pPr>
        <w:pStyle w:val="46"/>
        <w:numPr>
          <w:ilvl w:val="0"/>
          <w:numId w:val="6"/>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《广西壮族自治区主体功能区规划》（2012年）；</w:t>
      </w:r>
    </w:p>
    <w:p w14:paraId="06FB8F57">
      <w:pPr>
        <w:pStyle w:val="46"/>
        <w:numPr>
          <w:ilvl w:val="0"/>
          <w:numId w:val="6"/>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《广西壮族自治区生态功能区划》（2008年）；</w:t>
      </w:r>
    </w:p>
    <w:p w14:paraId="2EB79AF5">
      <w:pPr>
        <w:pStyle w:val="46"/>
        <w:numPr>
          <w:ilvl w:val="0"/>
          <w:numId w:val="6"/>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《广西壮族自治区环境保护条例》（2019年修正）；</w:t>
      </w:r>
    </w:p>
    <w:p w14:paraId="2E7C2526">
      <w:pPr>
        <w:pStyle w:val="46"/>
        <w:numPr>
          <w:ilvl w:val="0"/>
          <w:numId w:val="6"/>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《广西壮族自治区水污染防治条例》（2020年5月1日起施行）；</w:t>
      </w:r>
    </w:p>
    <w:p w14:paraId="65E1E476">
      <w:pPr>
        <w:pStyle w:val="46"/>
        <w:numPr>
          <w:ilvl w:val="0"/>
          <w:numId w:val="6"/>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《广西壮族自治区大气污染防治条例》（2019年1月1日起施行）；</w:t>
      </w:r>
    </w:p>
    <w:p w14:paraId="46A360EF">
      <w:pPr>
        <w:pStyle w:val="46"/>
        <w:numPr>
          <w:ilvl w:val="0"/>
          <w:numId w:val="6"/>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《广西壮族自治区土壤污染防治条例》（2021年9月1日起施行）；</w:t>
      </w:r>
    </w:p>
    <w:p w14:paraId="434B5611">
      <w:pPr>
        <w:pStyle w:val="46"/>
        <w:numPr>
          <w:ilvl w:val="0"/>
          <w:numId w:val="6"/>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《广西壮族自治区固体废物污染环境防治条例》（2022年7月1日起施行）；</w:t>
      </w:r>
    </w:p>
    <w:p w14:paraId="6B775E21">
      <w:pPr>
        <w:pStyle w:val="46"/>
        <w:numPr>
          <w:ilvl w:val="0"/>
          <w:numId w:val="6"/>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《广西壮族自治区生态环境厅关于印发广西2024年度水、大气、土壤污染防治工作计划的通知》（桂环发〔2024〕16号）；</w:t>
      </w:r>
    </w:p>
    <w:p w14:paraId="320D4DD9">
      <w:pPr>
        <w:pStyle w:val="46"/>
        <w:numPr>
          <w:ilvl w:val="0"/>
          <w:numId w:val="6"/>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《广西壮族自治区建设项目环境影响评价文件分级审批管理办法（2025年修订版）》（桂环规范〔2025〕2号）；</w:t>
      </w:r>
    </w:p>
    <w:p w14:paraId="3AD1FA5E">
      <w:pPr>
        <w:pStyle w:val="46"/>
        <w:numPr>
          <w:ilvl w:val="0"/>
          <w:numId w:val="6"/>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《广西生态环境保护“十四五”规划》（桂政办发〔2021〕145号）；</w:t>
      </w:r>
    </w:p>
    <w:p w14:paraId="6ACC0F7B">
      <w:pPr>
        <w:pStyle w:val="46"/>
        <w:numPr>
          <w:ilvl w:val="0"/>
          <w:numId w:val="6"/>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《广西壮族自治区人民政府办公厅关于印发〈广西生态保护红线管理办法（试行）〉的通知》（桂政办发〔2016〕152号）；</w:t>
      </w:r>
    </w:p>
    <w:p w14:paraId="4AD49E5A">
      <w:pPr>
        <w:pStyle w:val="46"/>
        <w:numPr>
          <w:ilvl w:val="0"/>
          <w:numId w:val="6"/>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《广西壮族自治区生态环境厅关于印发实施广西壮族自治区生态环境分区管控动态更新成果（2023年）的通知》（桂环规范〔2024〕3号）；</w:t>
      </w:r>
    </w:p>
    <w:p w14:paraId="724CBFF9">
      <w:pPr>
        <w:pStyle w:val="46"/>
        <w:numPr>
          <w:ilvl w:val="0"/>
          <w:numId w:val="6"/>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《广西生态保护红线监管办法（试行）》（桂自然资规〔2023〕4号）；</w:t>
      </w:r>
    </w:p>
    <w:p w14:paraId="260381CA">
      <w:pPr>
        <w:pStyle w:val="46"/>
        <w:numPr>
          <w:ilvl w:val="0"/>
          <w:numId w:val="6"/>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《广西壮族自治区自然资源厅关于印发&lt;“三区三线”划定实施方案&gt;的通知》（桂自然资发〔2022〕45号）；</w:t>
      </w:r>
    </w:p>
    <w:p w14:paraId="1190B5AC">
      <w:pPr>
        <w:pStyle w:val="46"/>
        <w:numPr>
          <w:ilvl w:val="0"/>
          <w:numId w:val="6"/>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《广西壮族自治区饮用水水源保护条例》（2017年5月1日起施行）；</w:t>
      </w:r>
    </w:p>
    <w:p w14:paraId="57DF8B68">
      <w:pPr>
        <w:pStyle w:val="46"/>
        <w:numPr>
          <w:ilvl w:val="0"/>
          <w:numId w:val="6"/>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《自治区落实主体功能区战略和制度厅际联席会议关于印发&lt;广西壮族自治区重点生态功能区县产业准入负面清单调整方案&gt;的通知》（2024年4月25日）；</w:t>
      </w:r>
    </w:p>
    <w:p w14:paraId="652989A2">
      <w:pPr>
        <w:pStyle w:val="46"/>
        <w:numPr>
          <w:ilvl w:val="0"/>
          <w:numId w:val="6"/>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《广西壮族自治区人民政府办公厅关于印发北钦防一体化产业协同发展限制布局清单（工业类2021年版）的通知》（桂政办函〔2021〕4号）；</w:t>
      </w:r>
    </w:p>
    <w:p w14:paraId="28258FCF">
      <w:pPr>
        <w:pStyle w:val="46"/>
        <w:numPr>
          <w:ilvl w:val="0"/>
          <w:numId w:val="6"/>
        </w:num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《广西新建石化和化工生产项目准入管理办法（试行）》（桂工信石化〔2021〕501号）；</w:t>
      </w:r>
    </w:p>
    <w:p w14:paraId="6EF9BD3B">
      <w:pPr>
        <w:pStyle w:val="46"/>
        <w:numPr>
          <w:ilvl w:val="0"/>
          <w:numId w:val="6"/>
        </w:num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《自治区工业和信息化厅 自治区应急厅关于公布广西化工园区（第一批）的通知》（桂工信石化〔2020〕203号）；</w:t>
      </w:r>
    </w:p>
    <w:p w14:paraId="5886A246">
      <w:pPr>
        <w:pStyle w:val="46"/>
        <w:numPr>
          <w:ilvl w:val="0"/>
          <w:numId w:val="6"/>
        </w:numPr>
        <w:ind w:firstLine="480" w:firstLineChars="200"/>
        <w:rPr>
          <w:color w:val="0D0D0D" w:themeColor="text1" w:themeTint="F2"/>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《广西壮族自治区高耗能、高排放建设项目主要污染物排放管理办法》（桂环规范〔2023〕6号）</w:t>
      </w:r>
      <w:r>
        <w:rPr>
          <w:rFonts w:hint="eastAsia"/>
          <w:color w:val="0D0D0D" w:themeColor="text1" w:themeTint="F2"/>
          <w:u w:val="single"/>
          <w14:textFill>
            <w14:solidFill>
              <w14:schemeClr w14:val="tx1">
                <w14:lumMod w14:val="95000"/>
                <w14:lumOff w14:val="5000"/>
              </w14:schemeClr>
            </w14:solidFill>
          </w14:textFill>
        </w:rPr>
        <w:t>；</w:t>
      </w:r>
    </w:p>
    <w:p w14:paraId="2FEEF612">
      <w:pPr>
        <w:pStyle w:val="46"/>
        <w:numPr>
          <w:ilvl w:val="0"/>
          <w:numId w:val="6"/>
        </w:numPr>
        <w:ind w:firstLine="480" w:firstLineChars="200"/>
        <w:rPr>
          <w:color w:val="0D0D0D" w:themeColor="text1" w:themeTint="F2"/>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w:t>
      </w:r>
      <w:r>
        <w:rPr>
          <w:rFonts w:hint="eastAsia"/>
          <w:color w:val="0D0D0D" w:themeColor="text1" w:themeTint="F2"/>
          <w:u w:val="single"/>
          <w:lang w:eastAsia="zh-CN"/>
          <w14:textFill>
            <w14:solidFill>
              <w14:schemeClr w14:val="tx1">
                <w14:lumMod w14:val="95000"/>
                <w14:lumOff w14:val="5000"/>
              </w14:schemeClr>
            </w14:solidFill>
          </w14:textFill>
        </w:rPr>
        <w:t>广西壮族自治区发展和改革委员会</w:t>
      </w:r>
      <w:r>
        <w:rPr>
          <w:color w:val="0D0D0D" w:themeColor="text1" w:themeTint="F2"/>
          <w:u w:val="single"/>
          <w14:textFill>
            <w14:solidFill>
              <w14:schemeClr w14:val="tx1">
                <w14:lumMod w14:val="95000"/>
                <w14:lumOff w14:val="5000"/>
              </w14:schemeClr>
            </w14:solidFill>
          </w14:textFill>
        </w:rPr>
        <w:t>关于坚决遏制高耗能高排放项目盲目建设的通知》（桂发改环资〔2021〕240号）</w:t>
      </w:r>
      <w:r>
        <w:rPr>
          <w:rFonts w:hint="eastAsia"/>
          <w:color w:val="0D0D0D" w:themeColor="text1" w:themeTint="F2"/>
          <w:u w:val="single"/>
          <w14:textFill>
            <w14:solidFill>
              <w14:schemeClr w14:val="tx1">
                <w14:lumMod w14:val="95000"/>
                <w14:lumOff w14:val="5000"/>
              </w14:schemeClr>
            </w14:solidFill>
          </w14:textFill>
        </w:rPr>
        <w:t>；</w:t>
      </w:r>
    </w:p>
    <w:p w14:paraId="72FE5033">
      <w:pPr>
        <w:pStyle w:val="46"/>
        <w:numPr>
          <w:ilvl w:val="0"/>
          <w:numId w:val="6"/>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《广西海洋生态红线划定方案》（桂政函〔2017〕233号）；</w:t>
      </w:r>
    </w:p>
    <w:p w14:paraId="7A083DCC">
      <w:pPr>
        <w:pStyle w:val="46"/>
        <w:numPr>
          <w:ilvl w:val="0"/>
          <w:numId w:val="6"/>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《钦州市生态环境保护“十四五”规划》（钦政办〔2022〕16号）；</w:t>
      </w:r>
    </w:p>
    <w:p w14:paraId="585D372B">
      <w:pPr>
        <w:pStyle w:val="46"/>
        <w:numPr>
          <w:ilvl w:val="0"/>
          <w:numId w:val="6"/>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《钦州市生态环境局关于印发&lt;钦州市生态环境分区管控动态更新成果（2023版）》（2024年12月）；</w:t>
      </w:r>
    </w:p>
    <w:p w14:paraId="5C1E40CD">
      <w:pPr>
        <w:pStyle w:val="46"/>
        <w:numPr>
          <w:ilvl w:val="0"/>
          <w:numId w:val="6"/>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《钦州市人民政府关于印发钦州市空气质量持续改善行动实施方案的通知》（钦政发〔2024〕11号）；</w:t>
      </w:r>
    </w:p>
    <w:p w14:paraId="31EDE6DC">
      <w:pPr>
        <w:pStyle w:val="46"/>
        <w:numPr>
          <w:ilvl w:val="0"/>
          <w:numId w:val="6"/>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《钦州市中心城区声环境功能区划》（钦政办规〔2023〕11号）。</w:t>
      </w:r>
    </w:p>
    <w:p w14:paraId="5CF2DD8C">
      <w:pPr>
        <w:pStyle w:val="9"/>
      </w:pPr>
      <w:bookmarkStart w:id="16" w:name="_Toc204062528"/>
      <w:r>
        <w:rPr>
          <w:rFonts w:hint="eastAsia"/>
        </w:rPr>
        <w:t>技术导则与技术规范</w:t>
      </w:r>
      <w:bookmarkEnd w:id="16"/>
    </w:p>
    <w:p w14:paraId="2D310BE8">
      <w:pPr>
        <w:pStyle w:val="46"/>
        <w:numPr>
          <w:ilvl w:val="0"/>
          <w:numId w:val="7"/>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《建设项目环境影响评价技术导则  总纲》（HJ2.1-2016）；</w:t>
      </w:r>
    </w:p>
    <w:p w14:paraId="48CB9478">
      <w:pPr>
        <w:pStyle w:val="46"/>
        <w:numPr>
          <w:ilvl w:val="0"/>
          <w:numId w:val="7"/>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《环境影响评价技术导则  大气环境》（HJ2.2-2018）；</w:t>
      </w:r>
    </w:p>
    <w:p w14:paraId="4BE714CF">
      <w:pPr>
        <w:pStyle w:val="46"/>
        <w:numPr>
          <w:ilvl w:val="0"/>
          <w:numId w:val="7"/>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《环境影响评价技术导则  地表水环境》（HJ2.3-2018）；</w:t>
      </w:r>
    </w:p>
    <w:p w14:paraId="02BD5672">
      <w:pPr>
        <w:pStyle w:val="46"/>
        <w:numPr>
          <w:ilvl w:val="0"/>
          <w:numId w:val="7"/>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《环境影响评价技术导则  地下水环境》（HJ610-2016）；</w:t>
      </w:r>
    </w:p>
    <w:p w14:paraId="7AFE0B3A">
      <w:pPr>
        <w:pStyle w:val="46"/>
        <w:numPr>
          <w:ilvl w:val="0"/>
          <w:numId w:val="7"/>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《环境影响评价技术导则  声环境》（HJ2.4-2021）；</w:t>
      </w:r>
    </w:p>
    <w:p w14:paraId="06AEEE55">
      <w:pPr>
        <w:pStyle w:val="46"/>
        <w:numPr>
          <w:ilvl w:val="0"/>
          <w:numId w:val="7"/>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《环境影响评价技术导则  生态影响》（HJ19-2022）；</w:t>
      </w:r>
    </w:p>
    <w:p w14:paraId="7DDFE0C1">
      <w:pPr>
        <w:pStyle w:val="46"/>
        <w:numPr>
          <w:ilvl w:val="0"/>
          <w:numId w:val="7"/>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《环境影响评价技术导则  土壤环境（试行）》（HJ964-2018）；</w:t>
      </w:r>
    </w:p>
    <w:p w14:paraId="577063BC">
      <w:pPr>
        <w:pStyle w:val="46"/>
        <w:numPr>
          <w:ilvl w:val="0"/>
          <w:numId w:val="7"/>
        </w:num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《环境影响评价技术导则  石油化工建设项目》（HJ/T89-2003）；</w:t>
      </w:r>
    </w:p>
    <w:p w14:paraId="72E446C9">
      <w:pPr>
        <w:pStyle w:val="46"/>
        <w:numPr>
          <w:ilvl w:val="0"/>
          <w:numId w:val="7"/>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《建设项目环境风险评价技术导则》（HJ169-2018）；</w:t>
      </w:r>
    </w:p>
    <w:p w14:paraId="0D8F60CE">
      <w:pPr>
        <w:pStyle w:val="46"/>
        <w:numPr>
          <w:ilvl w:val="0"/>
          <w:numId w:val="7"/>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《地表水环境质量监测技术规范》（HJ91.2-2022）；</w:t>
      </w:r>
    </w:p>
    <w:p w14:paraId="51DD16ED">
      <w:pPr>
        <w:pStyle w:val="46"/>
        <w:numPr>
          <w:ilvl w:val="0"/>
          <w:numId w:val="7"/>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《地下水环境监测技术规范》（HJ164-2020）；</w:t>
      </w:r>
    </w:p>
    <w:p w14:paraId="23DFDB73">
      <w:pPr>
        <w:pStyle w:val="46"/>
        <w:numPr>
          <w:ilvl w:val="0"/>
          <w:numId w:val="7"/>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《排污许可证申请与核发技术规范  总则》（HJ942-2018）；</w:t>
      </w:r>
    </w:p>
    <w:p w14:paraId="4C509836">
      <w:pPr>
        <w:pStyle w:val="46"/>
        <w:numPr>
          <w:ilvl w:val="0"/>
          <w:numId w:val="7"/>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《排污许可证申请与核发技术规范  锅炉》（HJ953-2018）；</w:t>
      </w:r>
    </w:p>
    <w:p w14:paraId="69595B70">
      <w:pPr>
        <w:pStyle w:val="46"/>
        <w:numPr>
          <w:ilvl w:val="0"/>
          <w:numId w:val="7"/>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《排污许可证申请与核发技术规范  工业固体废物》（HJ1200-2021）；</w:t>
      </w:r>
    </w:p>
    <w:p w14:paraId="1456BE02">
      <w:pPr>
        <w:pStyle w:val="46"/>
        <w:numPr>
          <w:ilvl w:val="0"/>
          <w:numId w:val="7"/>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《排污许可证申请与核发技术规范  工业噪声》（HJ1301-2023）；</w:t>
      </w:r>
    </w:p>
    <w:p w14:paraId="4A8FA3B6">
      <w:pPr>
        <w:pStyle w:val="46"/>
        <w:numPr>
          <w:ilvl w:val="0"/>
          <w:numId w:val="7"/>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《排污单位自行监测技术指南  火力发电及锅炉》（HJ820-2017）；</w:t>
      </w:r>
    </w:p>
    <w:p w14:paraId="5CAAD783">
      <w:pPr>
        <w:pStyle w:val="46"/>
        <w:numPr>
          <w:ilvl w:val="0"/>
          <w:numId w:val="7"/>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《排污许可证申请与核发技术规范  废弃资源加工工业》（HJ1034-2019）；</w:t>
      </w:r>
    </w:p>
    <w:p w14:paraId="4179E106">
      <w:pPr>
        <w:pStyle w:val="46"/>
        <w:numPr>
          <w:ilvl w:val="0"/>
          <w:numId w:val="7"/>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《建设项目危险废物环境影响评价指南》（环境保护部公告2017年第43号）；</w:t>
      </w:r>
    </w:p>
    <w:p w14:paraId="46B1F63B">
      <w:pPr>
        <w:pStyle w:val="46"/>
        <w:numPr>
          <w:ilvl w:val="0"/>
          <w:numId w:val="7"/>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《一般工业固体废物管理台账制定指南（试行）》（生态环境部〔2021〕第82号）；</w:t>
      </w:r>
    </w:p>
    <w:p w14:paraId="7AC2FC4A">
      <w:pPr>
        <w:pStyle w:val="46"/>
        <w:numPr>
          <w:ilvl w:val="0"/>
          <w:numId w:val="7"/>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《一般固体废物分类与代码》（GB/T39198-2020）；</w:t>
      </w:r>
    </w:p>
    <w:p w14:paraId="6356DE67">
      <w:pPr>
        <w:pStyle w:val="46"/>
        <w:numPr>
          <w:ilvl w:val="0"/>
          <w:numId w:val="7"/>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《固体废物分类与代码目录》（生态环境部公告2024年第4号）；</w:t>
      </w:r>
    </w:p>
    <w:p w14:paraId="71C72A8B">
      <w:pPr>
        <w:pStyle w:val="46"/>
        <w:numPr>
          <w:ilvl w:val="0"/>
          <w:numId w:val="7"/>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《危险废物转移管理办法》（生态环境部、公安部、交通运输</w:t>
      </w:r>
      <w:r>
        <w:rPr>
          <w:rFonts w:hint="eastAsia"/>
          <w:color w:val="0D0D0D" w:themeColor="text1" w:themeTint="F2"/>
          <w:lang w:eastAsia="zh-CN"/>
          <w14:textFill>
            <w14:solidFill>
              <w14:schemeClr w14:val="tx1">
                <w14:lumMod w14:val="95000"/>
                <w14:lumOff w14:val="5000"/>
              </w14:schemeClr>
            </w14:solidFill>
          </w14:textFill>
        </w:rPr>
        <w:t>部令</w:t>
      </w:r>
      <w:r>
        <w:rPr>
          <w:rFonts w:hint="eastAsia"/>
          <w:color w:val="0D0D0D" w:themeColor="text1" w:themeTint="F2"/>
          <w14:textFill>
            <w14:solidFill>
              <w14:schemeClr w14:val="tx1">
                <w14:lumMod w14:val="95000"/>
                <w14:lumOff w14:val="5000"/>
              </w14:schemeClr>
            </w14:solidFill>
          </w14:textFill>
        </w:rPr>
        <w:t>第23号）；</w:t>
      </w:r>
    </w:p>
    <w:p w14:paraId="41565D8B">
      <w:pPr>
        <w:pStyle w:val="46"/>
        <w:numPr>
          <w:ilvl w:val="0"/>
          <w:numId w:val="7"/>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《工业企业土壤和地下水自行监测技术指南（试行）》（HJ1209-2021）；</w:t>
      </w:r>
    </w:p>
    <w:p w14:paraId="659851A6">
      <w:pPr>
        <w:pStyle w:val="46"/>
        <w:numPr>
          <w:ilvl w:val="0"/>
          <w:numId w:val="7"/>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《危险废物贮存污染控制标准》（GB18597-2023）；</w:t>
      </w:r>
    </w:p>
    <w:p w14:paraId="7D126BC9">
      <w:pPr>
        <w:pStyle w:val="46"/>
        <w:numPr>
          <w:ilvl w:val="0"/>
          <w:numId w:val="7"/>
        </w:num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《化工建设项目环境保护设计标准》（GB/T50483-2019）；</w:t>
      </w:r>
    </w:p>
    <w:p w14:paraId="6808D17E">
      <w:pPr>
        <w:pStyle w:val="46"/>
        <w:numPr>
          <w:ilvl w:val="0"/>
          <w:numId w:val="7"/>
        </w:num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《石油化工工程防渗技术规范》（</w:t>
      </w:r>
      <w:r>
        <w:rPr>
          <w:color w:val="0D0D0D" w:themeColor="text1" w:themeTint="F2"/>
          <w:u w:val="single"/>
          <w14:textFill>
            <w14:solidFill>
              <w14:schemeClr w14:val="tx1">
                <w14:lumMod w14:val="95000"/>
                <w14:lumOff w14:val="5000"/>
              </w14:schemeClr>
            </w14:solidFill>
          </w14:textFill>
        </w:rPr>
        <w:t>GB/T50934-2013</w:t>
      </w:r>
      <w:r>
        <w:rPr>
          <w:rFonts w:hint="eastAsia"/>
          <w:color w:val="0D0D0D" w:themeColor="text1" w:themeTint="F2"/>
          <w:u w:val="single"/>
          <w14:textFill>
            <w14:solidFill>
              <w14:schemeClr w14:val="tx1">
                <w14:lumMod w14:val="95000"/>
                <w14:lumOff w14:val="5000"/>
              </w14:schemeClr>
            </w14:solidFill>
          </w14:textFill>
        </w:rPr>
        <w:t>）。</w:t>
      </w:r>
    </w:p>
    <w:p w14:paraId="29A20C98">
      <w:pPr>
        <w:pStyle w:val="9"/>
      </w:pPr>
      <w:bookmarkStart w:id="17" w:name="_Toc204062529"/>
      <w:r>
        <w:rPr>
          <w:rFonts w:hint="eastAsia"/>
        </w:rPr>
        <w:t>相关文件</w:t>
      </w:r>
      <w:bookmarkEnd w:id="17"/>
    </w:p>
    <w:p w14:paraId="64AF5CDB">
      <w:pPr>
        <w:pStyle w:val="46"/>
        <w:numPr>
          <w:ilvl w:val="0"/>
          <w:numId w:val="8"/>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委托书；</w:t>
      </w:r>
    </w:p>
    <w:p w14:paraId="30999944">
      <w:pPr>
        <w:pStyle w:val="46"/>
        <w:numPr>
          <w:ilvl w:val="0"/>
          <w:numId w:val="8"/>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备案证明；</w:t>
      </w:r>
    </w:p>
    <w:p w14:paraId="2737CE39">
      <w:pPr>
        <w:pStyle w:val="46"/>
        <w:numPr>
          <w:ilvl w:val="0"/>
          <w:numId w:val="8"/>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《广西自贸区丰之力新能源有限公司欧德年产30万吨生物柴油生产线项目可行性研究报告》（2025年3月）</w:t>
      </w:r>
      <w:r>
        <w:rPr>
          <w:rFonts w:hint="eastAsia"/>
          <w:color w:val="0D0D0D" w:themeColor="text1" w:themeTint="F2"/>
          <w14:textFill>
            <w14:solidFill>
              <w14:schemeClr w14:val="tx1">
                <w14:lumMod w14:val="95000"/>
                <w14:lumOff w14:val="5000"/>
              </w14:schemeClr>
            </w14:solidFill>
          </w14:textFill>
        </w:rPr>
        <w:t>；</w:t>
      </w:r>
    </w:p>
    <w:p w14:paraId="56F8FB91">
      <w:pPr>
        <w:pStyle w:val="46"/>
        <w:numPr>
          <w:ilvl w:val="0"/>
          <w:numId w:val="8"/>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《欧德年产30万吨生物柴油生产线项目岩土工程勘察报告》（广西三同工程勘察检测有限公司，2025年1月）；</w:t>
      </w:r>
    </w:p>
    <w:p w14:paraId="4D2F6A3A">
      <w:pPr>
        <w:pStyle w:val="46"/>
        <w:numPr>
          <w:ilvl w:val="0"/>
          <w:numId w:val="8"/>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《广西自贸区丰之力新能源有限公司欧德年产30万吨生物柴油生产线项目安全预评价报告》（中奇安环科技有限公司，2025年6月）</w:t>
      </w:r>
      <w:r>
        <w:rPr>
          <w:rFonts w:hint="eastAsia"/>
          <w:color w:val="0D0D0D" w:themeColor="text1" w:themeTint="F2"/>
          <w14:textFill>
            <w14:solidFill>
              <w14:schemeClr w14:val="tx1">
                <w14:lumMod w14:val="95000"/>
                <w14:lumOff w14:val="5000"/>
              </w14:schemeClr>
            </w14:solidFill>
          </w14:textFill>
        </w:rPr>
        <w:t>；</w:t>
      </w:r>
    </w:p>
    <w:p w14:paraId="4A496575">
      <w:pPr>
        <w:pStyle w:val="46"/>
        <w:numPr>
          <w:ilvl w:val="0"/>
          <w:numId w:val="8"/>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《广西自贸区丰之力新能源有限公司欧德年产30万吨生物柴油生产线项目节能报告》（重庆同丰工程管理咨询有限公司，2025年6月）；</w:t>
      </w:r>
    </w:p>
    <w:p w14:paraId="35FAFD29">
      <w:pPr>
        <w:pStyle w:val="46"/>
        <w:numPr>
          <w:ilvl w:val="0"/>
          <w:numId w:val="8"/>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《广西钦州石化产业园总体发展规划（2020-2035）》（桂政函〔2021〕153号）；</w:t>
      </w:r>
    </w:p>
    <w:p w14:paraId="260B6A3A">
      <w:pPr>
        <w:pStyle w:val="46"/>
        <w:numPr>
          <w:ilvl w:val="0"/>
          <w:numId w:val="8"/>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《广西钦州石化产业园总体发展规划（2020-2035）环境影响报告书》（桂环函〔2021〕388号）；</w:t>
      </w:r>
    </w:p>
    <w:p w14:paraId="19AE4205">
      <w:pPr>
        <w:pStyle w:val="46"/>
        <w:numPr>
          <w:ilvl w:val="0"/>
          <w:numId w:val="8"/>
        </w:num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建设单位提供的其他资料。</w:t>
      </w:r>
    </w:p>
    <w:p w14:paraId="05129BC0">
      <w:pPr>
        <w:pStyle w:val="8"/>
      </w:pPr>
      <w:bookmarkStart w:id="18" w:name="_Toc204062530"/>
      <w:r>
        <w:rPr>
          <w:rFonts w:hint="eastAsia"/>
        </w:rPr>
        <w:t>环境影响因素识别及评价因子筛选</w:t>
      </w:r>
      <w:bookmarkEnd w:id="18"/>
    </w:p>
    <w:p w14:paraId="6988ED89">
      <w:pPr>
        <w:pStyle w:val="9"/>
        <w:numPr>
          <w:ilvl w:val="2"/>
          <w:numId w:val="9"/>
        </w:numPr>
      </w:pPr>
      <w:bookmarkStart w:id="19" w:name="_Toc204062531"/>
      <w:r>
        <w:rPr>
          <w:rFonts w:hint="eastAsia"/>
        </w:rPr>
        <w:t>环境影响因素识别</w:t>
      </w:r>
      <w:bookmarkEnd w:id="19"/>
    </w:p>
    <w:p w14:paraId="37F954BC">
      <w:pPr>
        <w:autoSpaceDE w:val="0"/>
        <w:autoSpaceDN w:val="0"/>
        <w:adjustRightInd w:val="0"/>
        <w:ind w:firstLine="480" w:firstLineChars="200"/>
        <w:rPr>
          <w:rFonts w:cs="Times New Roman"/>
          <w:bCs/>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项目排放的污染物，凡是对空气、水体、声环境、生态环境等构成影响的因素均为影响因子。项目对环境的影响有不利与有利、长期与短期、可逆与不可逆及局部与广泛影响。不利影响主要集中表现在施工期及运营期，其中施工期影响基本上是短期与局部的，运营期影响基本上是长期与不可逆的</w:t>
      </w:r>
      <w:r>
        <w:rPr>
          <w:rFonts w:hint="eastAsia" w:cs="Times New Roman"/>
          <w:bCs/>
          <w:color w:val="0D0D0D" w:themeColor="text1" w:themeTint="F2"/>
          <w:szCs w:val="24"/>
          <w14:textFill>
            <w14:solidFill>
              <w14:schemeClr w14:val="tx1">
                <w14:lumMod w14:val="95000"/>
                <w14:lumOff w14:val="5000"/>
              </w14:schemeClr>
            </w14:solidFill>
          </w14:textFill>
        </w:rPr>
        <w:t>。</w:t>
      </w:r>
    </w:p>
    <w:p w14:paraId="1F6B7B69">
      <w:pPr>
        <w:autoSpaceDE w:val="0"/>
        <w:autoSpaceDN w:val="0"/>
        <w:adjustRightInd w:val="0"/>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项目各建设阶段主要环境影响识别结果详见表2.2-1。</w:t>
      </w:r>
    </w:p>
    <w:p w14:paraId="64FA2B3F">
      <w:pPr>
        <w:pStyle w:val="2"/>
        <w:ind w:firstLine="24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14:paraId="24800818">
      <w:pPr>
        <w:pStyle w:val="11"/>
      </w:pPr>
      <w:r>
        <w:rPr>
          <w:rFonts w:hint="eastAsia"/>
        </w:rPr>
        <w:t xml:space="preserve"> 项目各建设阶段主要环境影响识别</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1453"/>
        <w:gridCol w:w="2325"/>
        <w:gridCol w:w="4887"/>
      </w:tblGrid>
      <w:tr w14:paraId="304E4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2" w:type="pct"/>
            <w:vAlign w:val="center"/>
          </w:tcPr>
          <w:p w14:paraId="18A9C155">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工程阶段</w:t>
            </w:r>
          </w:p>
        </w:tc>
        <w:tc>
          <w:tcPr>
            <w:tcW w:w="786" w:type="pct"/>
            <w:vAlign w:val="center"/>
          </w:tcPr>
          <w:p w14:paraId="436A9C7E">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区域/设施</w:t>
            </w:r>
          </w:p>
        </w:tc>
        <w:tc>
          <w:tcPr>
            <w:tcW w:w="1258" w:type="pct"/>
            <w:vAlign w:val="center"/>
          </w:tcPr>
          <w:p w14:paraId="4DE82817">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主要活动</w:t>
            </w:r>
          </w:p>
        </w:tc>
        <w:tc>
          <w:tcPr>
            <w:tcW w:w="2644" w:type="pct"/>
            <w:vAlign w:val="center"/>
          </w:tcPr>
          <w:p w14:paraId="6C02539B">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主要环境影响因素</w:t>
            </w:r>
          </w:p>
        </w:tc>
      </w:tr>
      <w:tr w14:paraId="6A07B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2" w:type="pct"/>
            <w:vMerge w:val="restart"/>
            <w:vAlign w:val="center"/>
          </w:tcPr>
          <w:p w14:paraId="45E95F69">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施工期</w:t>
            </w:r>
          </w:p>
        </w:tc>
        <w:tc>
          <w:tcPr>
            <w:tcW w:w="786" w:type="pct"/>
            <w:vMerge w:val="restart"/>
            <w:vAlign w:val="center"/>
          </w:tcPr>
          <w:p w14:paraId="24FE2367">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生产区</w:t>
            </w:r>
          </w:p>
        </w:tc>
        <w:tc>
          <w:tcPr>
            <w:tcW w:w="1258" w:type="pct"/>
            <w:vAlign w:val="center"/>
          </w:tcPr>
          <w:p w14:paraId="43A17923">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土建施工</w:t>
            </w:r>
          </w:p>
        </w:tc>
        <w:tc>
          <w:tcPr>
            <w:tcW w:w="2644" w:type="pct"/>
            <w:vAlign w:val="center"/>
          </w:tcPr>
          <w:p w14:paraId="44A0DB3E">
            <w:pPr>
              <w:widowControl/>
              <w:spacing w:line="240" w:lineRule="auto"/>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扬尘、施工废水、施工噪声、开挖弃土、建筑垃圾、</w:t>
            </w:r>
          </w:p>
        </w:tc>
      </w:tr>
      <w:tr w14:paraId="5C208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2" w:type="pct"/>
            <w:vMerge w:val="continue"/>
            <w:vAlign w:val="center"/>
          </w:tcPr>
          <w:p w14:paraId="44CC24B5">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p>
        </w:tc>
        <w:tc>
          <w:tcPr>
            <w:tcW w:w="786" w:type="pct"/>
            <w:vMerge w:val="continue"/>
            <w:vAlign w:val="center"/>
          </w:tcPr>
          <w:p w14:paraId="66A908B8">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p>
        </w:tc>
        <w:tc>
          <w:tcPr>
            <w:tcW w:w="1258" w:type="pct"/>
            <w:vAlign w:val="center"/>
          </w:tcPr>
          <w:p w14:paraId="39A39844">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设备安装</w:t>
            </w:r>
          </w:p>
        </w:tc>
        <w:tc>
          <w:tcPr>
            <w:tcW w:w="2644" w:type="pct"/>
            <w:vAlign w:val="center"/>
          </w:tcPr>
          <w:p w14:paraId="7DC07A4B">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施工噪声等</w:t>
            </w:r>
          </w:p>
        </w:tc>
      </w:tr>
      <w:tr w14:paraId="7D14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2" w:type="pct"/>
            <w:vMerge w:val="continue"/>
            <w:vAlign w:val="center"/>
          </w:tcPr>
          <w:p w14:paraId="6800E263">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p>
        </w:tc>
        <w:tc>
          <w:tcPr>
            <w:tcW w:w="2044" w:type="pct"/>
            <w:gridSpan w:val="2"/>
            <w:vAlign w:val="center"/>
          </w:tcPr>
          <w:p w14:paraId="4B2E6821">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输油管线安装</w:t>
            </w:r>
          </w:p>
        </w:tc>
        <w:tc>
          <w:tcPr>
            <w:tcW w:w="2644" w:type="pct"/>
            <w:vAlign w:val="center"/>
          </w:tcPr>
          <w:p w14:paraId="01322DCF">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施工噪声等</w:t>
            </w:r>
          </w:p>
        </w:tc>
      </w:tr>
      <w:tr w14:paraId="7AB9A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2" w:type="pct"/>
            <w:vMerge w:val="continue"/>
            <w:vAlign w:val="center"/>
          </w:tcPr>
          <w:p w14:paraId="06054AE1">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p>
        </w:tc>
        <w:tc>
          <w:tcPr>
            <w:tcW w:w="2044" w:type="pct"/>
            <w:gridSpan w:val="2"/>
            <w:vAlign w:val="center"/>
          </w:tcPr>
          <w:p w14:paraId="780851A8">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施工人员</w:t>
            </w:r>
          </w:p>
        </w:tc>
        <w:tc>
          <w:tcPr>
            <w:tcW w:w="2644" w:type="pct"/>
            <w:vAlign w:val="center"/>
          </w:tcPr>
          <w:p w14:paraId="3532D8F3">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生活污水、生活垃圾</w:t>
            </w:r>
          </w:p>
        </w:tc>
      </w:tr>
      <w:tr w14:paraId="7AA68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2" w:type="pct"/>
            <w:vMerge w:val="restart"/>
            <w:vAlign w:val="center"/>
          </w:tcPr>
          <w:p w14:paraId="3FB53C20">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运营期</w:t>
            </w:r>
          </w:p>
        </w:tc>
        <w:tc>
          <w:tcPr>
            <w:tcW w:w="786" w:type="pct"/>
            <w:vMerge w:val="restart"/>
            <w:vAlign w:val="center"/>
          </w:tcPr>
          <w:p w14:paraId="26D07942">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生产装置</w:t>
            </w:r>
          </w:p>
        </w:tc>
        <w:tc>
          <w:tcPr>
            <w:tcW w:w="1258" w:type="pct"/>
            <w:vAlign w:val="center"/>
          </w:tcPr>
          <w:p w14:paraId="73F3E1BF">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生物柴油生产</w:t>
            </w:r>
          </w:p>
        </w:tc>
        <w:tc>
          <w:tcPr>
            <w:tcW w:w="2644" w:type="pct"/>
            <w:vAlign w:val="center"/>
          </w:tcPr>
          <w:p w14:paraId="26C8A674">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工艺废气、燃料废气、废水、噪声、固废</w:t>
            </w:r>
          </w:p>
        </w:tc>
      </w:tr>
      <w:tr w14:paraId="534BF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2" w:type="pct"/>
            <w:vMerge w:val="continue"/>
            <w:vAlign w:val="center"/>
          </w:tcPr>
          <w:p w14:paraId="6F96CE0A">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p>
        </w:tc>
        <w:tc>
          <w:tcPr>
            <w:tcW w:w="786" w:type="pct"/>
            <w:vMerge w:val="continue"/>
            <w:vAlign w:val="center"/>
          </w:tcPr>
          <w:p w14:paraId="076B51A5">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p>
        </w:tc>
        <w:tc>
          <w:tcPr>
            <w:tcW w:w="1258" w:type="pct"/>
            <w:vAlign w:val="center"/>
          </w:tcPr>
          <w:p w14:paraId="3B27CBBB">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工业级混合油生产</w:t>
            </w:r>
          </w:p>
        </w:tc>
        <w:tc>
          <w:tcPr>
            <w:tcW w:w="2644" w:type="pct"/>
            <w:vAlign w:val="center"/>
          </w:tcPr>
          <w:p w14:paraId="00BFA5E5">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工艺废气、燃料废气、废水、噪声、固废</w:t>
            </w:r>
          </w:p>
        </w:tc>
      </w:tr>
      <w:tr w14:paraId="5D199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2" w:type="pct"/>
            <w:vMerge w:val="continue"/>
            <w:vAlign w:val="center"/>
          </w:tcPr>
          <w:p w14:paraId="0932AAEA">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p>
        </w:tc>
        <w:tc>
          <w:tcPr>
            <w:tcW w:w="786" w:type="pct"/>
            <w:vMerge w:val="restart"/>
            <w:vAlign w:val="center"/>
          </w:tcPr>
          <w:p w14:paraId="77D38DE6">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罐区</w:t>
            </w:r>
          </w:p>
        </w:tc>
        <w:tc>
          <w:tcPr>
            <w:tcW w:w="1258" w:type="pct"/>
            <w:vAlign w:val="center"/>
          </w:tcPr>
          <w:p w14:paraId="09F7A7EB">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甲醇储存</w:t>
            </w:r>
          </w:p>
        </w:tc>
        <w:tc>
          <w:tcPr>
            <w:tcW w:w="2644" w:type="pct"/>
            <w:vAlign w:val="center"/>
          </w:tcPr>
          <w:p w14:paraId="7CF1A37B">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储罐大小呼吸废气</w:t>
            </w:r>
          </w:p>
        </w:tc>
      </w:tr>
      <w:tr w14:paraId="69B8B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2" w:type="pct"/>
            <w:vMerge w:val="continue"/>
            <w:vAlign w:val="center"/>
          </w:tcPr>
          <w:p w14:paraId="3F3B3C86">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p>
        </w:tc>
        <w:tc>
          <w:tcPr>
            <w:tcW w:w="786" w:type="pct"/>
            <w:vMerge w:val="continue"/>
            <w:vAlign w:val="center"/>
          </w:tcPr>
          <w:p w14:paraId="5E8DA949">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p>
        </w:tc>
        <w:tc>
          <w:tcPr>
            <w:tcW w:w="1258" w:type="pct"/>
            <w:vAlign w:val="center"/>
          </w:tcPr>
          <w:p w14:paraId="7BA42FBB">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生物柴油储存</w:t>
            </w:r>
          </w:p>
        </w:tc>
        <w:tc>
          <w:tcPr>
            <w:tcW w:w="2644" w:type="pct"/>
            <w:vAlign w:val="center"/>
          </w:tcPr>
          <w:p w14:paraId="64C80D72">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储罐大小呼吸废气</w:t>
            </w:r>
          </w:p>
        </w:tc>
      </w:tr>
      <w:tr w14:paraId="01F16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2" w:type="pct"/>
            <w:vMerge w:val="continue"/>
            <w:vAlign w:val="center"/>
          </w:tcPr>
          <w:p w14:paraId="63D8A0F2">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p>
        </w:tc>
        <w:tc>
          <w:tcPr>
            <w:tcW w:w="786" w:type="pct"/>
            <w:vMerge w:val="continue"/>
            <w:vAlign w:val="center"/>
          </w:tcPr>
          <w:p w14:paraId="08A35AFB">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p>
        </w:tc>
        <w:tc>
          <w:tcPr>
            <w:tcW w:w="1258" w:type="pct"/>
            <w:vAlign w:val="center"/>
          </w:tcPr>
          <w:p w14:paraId="7DE5F458">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重质脂肪酸储存</w:t>
            </w:r>
          </w:p>
        </w:tc>
        <w:tc>
          <w:tcPr>
            <w:tcW w:w="2644" w:type="pct"/>
            <w:vAlign w:val="center"/>
          </w:tcPr>
          <w:p w14:paraId="79DBD7C4">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储罐大小呼吸废气</w:t>
            </w:r>
          </w:p>
        </w:tc>
      </w:tr>
      <w:tr w14:paraId="184BF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2" w:type="pct"/>
            <w:vMerge w:val="continue"/>
            <w:vAlign w:val="center"/>
          </w:tcPr>
          <w:p w14:paraId="213A6668">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p>
        </w:tc>
        <w:tc>
          <w:tcPr>
            <w:tcW w:w="786" w:type="pct"/>
            <w:vMerge w:val="continue"/>
            <w:vAlign w:val="center"/>
          </w:tcPr>
          <w:p w14:paraId="587775FA">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p>
        </w:tc>
        <w:tc>
          <w:tcPr>
            <w:tcW w:w="1258" w:type="pct"/>
            <w:vAlign w:val="center"/>
          </w:tcPr>
          <w:p w14:paraId="79F5DB9F">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工业级混合油储存</w:t>
            </w:r>
          </w:p>
        </w:tc>
        <w:tc>
          <w:tcPr>
            <w:tcW w:w="2644" w:type="pct"/>
            <w:vAlign w:val="center"/>
          </w:tcPr>
          <w:p w14:paraId="67F760DD">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储罐大小呼吸废气</w:t>
            </w:r>
          </w:p>
        </w:tc>
      </w:tr>
      <w:tr w14:paraId="71A20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2" w:type="pct"/>
            <w:vMerge w:val="continue"/>
            <w:vAlign w:val="center"/>
          </w:tcPr>
          <w:p w14:paraId="4CB5E1D9">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p>
        </w:tc>
        <w:tc>
          <w:tcPr>
            <w:tcW w:w="786" w:type="pct"/>
            <w:vAlign w:val="center"/>
          </w:tcPr>
          <w:p w14:paraId="78A61393">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公用工程</w:t>
            </w:r>
          </w:p>
        </w:tc>
        <w:tc>
          <w:tcPr>
            <w:tcW w:w="1258" w:type="pct"/>
            <w:vAlign w:val="center"/>
          </w:tcPr>
          <w:p w14:paraId="1649F520">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纯水制备等</w:t>
            </w:r>
          </w:p>
        </w:tc>
        <w:tc>
          <w:tcPr>
            <w:tcW w:w="2644" w:type="pct"/>
            <w:vAlign w:val="center"/>
          </w:tcPr>
          <w:p w14:paraId="2E4D96E1">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废水、设备噪声、固体废物</w:t>
            </w:r>
          </w:p>
        </w:tc>
      </w:tr>
      <w:tr w14:paraId="110EF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2" w:type="pct"/>
            <w:vMerge w:val="continue"/>
            <w:vAlign w:val="center"/>
          </w:tcPr>
          <w:p w14:paraId="07DEB26E">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p>
        </w:tc>
        <w:tc>
          <w:tcPr>
            <w:tcW w:w="786" w:type="pct"/>
            <w:vAlign w:val="center"/>
          </w:tcPr>
          <w:p w14:paraId="056FE0DC">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环保工程</w:t>
            </w:r>
          </w:p>
        </w:tc>
        <w:tc>
          <w:tcPr>
            <w:tcW w:w="1258" w:type="pct"/>
            <w:vAlign w:val="center"/>
          </w:tcPr>
          <w:p w14:paraId="3012028F">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废气处理、废水处理</w:t>
            </w:r>
          </w:p>
        </w:tc>
        <w:tc>
          <w:tcPr>
            <w:tcW w:w="2644" w:type="pct"/>
            <w:vAlign w:val="center"/>
          </w:tcPr>
          <w:p w14:paraId="3DF8E8FD">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废气、废水、噪声、固废</w:t>
            </w:r>
          </w:p>
        </w:tc>
      </w:tr>
      <w:tr w14:paraId="56824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2" w:type="pct"/>
            <w:vMerge w:val="continue"/>
            <w:vAlign w:val="center"/>
          </w:tcPr>
          <w:p w14:paraId="4DB97B8F">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p>
        </w:tc>
        <w:tc>
          <w:tcPr>
            <w:tcW w:w="2044" w:type="pct"/>
            <w:gridSpan w:val="2"/>
            <w:vAlign w:val="center"/>
          </w:tcPr>
          <w:p w14:paraId="4BBB70F9">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设备动静密封点泄漏</w:t>
            </w:r>
          </w:p>
        </w:tc>
        <w:tc>
          <w:tcPr>
            <w:tcW w:w="2644" w:type="pct"/>
            <w:vAlign w:val="center"/>
          </w:tcPr>
          <w:p w14:paraId="70E9DAF8">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废气</w:t>
            </w:r>
          </w:p>
        </w:tc>
      </w:tr>
      <w:tr w14:paraId="04A8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2" w:type="pct"/>
            <w:vMerge w:val="continue"/>
            <w:vAlign w:val="center"/>
          </w:tcPr>
          <w:p w14:paraId="5177C8CF">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p>
        </w:tc>
        <w:tc>
          <w:tcPr>
            <w:tcW w:w="2044" w:type="pct"/>
            <w:gridSpan w:val="2"/>
            <w:vAlign w:val="center"/>
          </w:tcPr>
          <w:p w14:paraId="1CDD4483">
            <w:pPr>
              <w:widowControl/>
              <w:spacing w:line="240" w:lineRule="auto"/>
              <w:jc w:val="center"/>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物料泄漏</w:t>
            </w:r>
          </w:p>
        </w:tc>
        <w:tc>
          <w:tcPr>
            <w:tcW w:w="2644" w:type="pct"/>
            <w:vAlign w:val="center"/>
          </w:tcPr>
          <w:p w14:paraId="6F9A11C1">
            <w:pPr>
              <w:widowControl/>
              <w:spacing w:line="240" w:lineRule="auto"/>
              <w:rPr>
                <w:rFonts w:cs="Times New Roman"/>
                <w:bCs/>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z w:val="21"/>
                <w:szCs w:val="21"/>
                <w:u w:val="single"/>
                <w14:textFill>
                  <w14:solidFill>
                    <w14:schemeClr w14:val="tx1">
                      <w14:lumMod w14:val="95000"/>
                      <w14:lumOff w14:val="5000"/>
                    </w14:schemeClr>
                  </w14:solidFill>
                </w14:textFill>
              </w:rPr>
              <w:t>事故时泄漏挥发的危险物质，事故废水，泄漏物料污染土壤、地下水；泄漏、火灾次生污染物</w:t>
            </w:r>
          </w:p>
        </w:tc>
      </w:tr>
    </w:tbl>
    <w:p w14:paraId="73FEA14A">
      <w:pPr>
        <w:pStyle w:val="2"/>
        <w:ind w:firstLine="240"/>
      </w:pPr>
      <w:r>
        <w:br w:type="page"/>
      </w:r>
    </w:p>
    <w:p w14:paraId="41E9E7B2">
      <w:pPr>
        <w:pStyle w:val="2"/>
        <w:spacing w:after="0"/>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项目环境影响程度识别结果详见表2.2-2。</w:t>
      </w:r>
    </w:p>
    <w:p w14:paraId="1B779447">
      <w:pPr>
        <w:pStyle w:val="11"/>
      </w:pPr>
      <w:r>
        <w:rPr>
          <w:rFonts w:hint="eastAsia"/>
        </w:rPr>
        <w:t xml:space="preserve"> 环境影响程度识别一览</w:t>
      </w:r>
      <w:r>
        <w:t>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2"/>
        <w:gridCol w:w="1442"/>
        <w:gridCol w:w="725"/>
        <w:gridCol w:w="963"/>
        <w:gridCol w:w="725"/>
        <w:gridCol w:w="725"/>
        <w:gridCol w:w="963"/>
        <w:gridCol w:w="963"/>
        <w:gridCol w:w="484"/>
        <w:gridCol w:w="484"/>
        <w:gridCol w:w="486"/>
      </w:tblGrid>
      <w:tr w14:paraId="731FE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694" w:type="pct"/>
            <w:vMerge w:val="restart"/>
            <w:vAlign w:val="center"/>
          </w:tcPr>
          <w:p w14:paraId="55803112">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时段</w:t>
            </w:r>
          </w:p>
        </w:tc>
        <w:tc>
          <w:tcPr>
            <w:tcW w:w="780" w:type="pct"/>
            <w:vMerge w:val="restart"/>
            <w:vAlign w:val="center"/>
          </w:tcPr>
          <w:p w14:paraId="1711453C">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环境影响</w:t>
            </w:r>
          </w:p>
        </w:tc>
        <w:tc>
          <w:tcPr>
            <w:tcW w:w="1697" w:type="pct"/>
            <w:gridSpan w:val="4"/>
            <w:vAlign w:val="center"/>
          </w:tcPr>
          <w:p w14:paraId="0C99D6F5">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影响类型</w:t>
            </w:r>
          </w:p>
        </w:tc>
        <w:tc>
          <w:tcPr>
            <w:tcW w:w="1830" w:type="pct"/>
            <w:gridSpan w:val="5"/>
            <w:vAlign w:val="center"/>
          </w:tcPr>
          <w:p w14:paraId="04D82569">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影响程度</w:t>
            </w:r>
          </w:p>
        </w:tc>
      </w:tr>
      <w:tr w14:paraId="18255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694" w:type="pct"/>
            <w:vMerge w:val="continue"/>
            <w:vAlign w:val="center"/>
          </w:tcPr>
          <w:p w14:paraId="2AED2EEF">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80" w:type="pct"/>
            <w:vMerge w:val="continue"/>
            <w:vAlign w:val="center"/>
          </w:tcPr>
          <w:p w14:paraId="523459FC">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392" w:type="pct"/>
            <w:vMerge w:val="restart"/>
            <w:vAlign w:val="center"/>
          </w:tcPr>
          <w:p w14:paraId="3D6D0BB6">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可逆</w:t>
            </w:r>
          </w:p>
        </w:tc>
        <w:tc>
          <w:tcPr>
            <w:tcW w:w="521" w:type="pct"/>
            <w:vMerge w:val="restart"/>
            <w:vAlign w:val="center"/>
          </w:tcPr>
          <w:p w14:paraId="1B6725ED">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不可逆</w:t>
            </w:r>
          </w:p>
        </w:tc>
        <w:tc>
          <w:tcPr>
            <w:tcW w:w="392" w:type="pct"/>
            <w:vMerge w:val="restart"/>
            <w:vAlign w:val="center"/>
          </w:tcPr>
          <w:p w14:paraId="5F26C2A6">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长期</w:t>
            </w:r>
          </w:p>
        </w:tc>
        <w:tc>
          <w:tcPr>
            <w:tcW w:w="392" w:type="pct"/>
            <w:vMerge w:val="restart"/>
            <w:vAlign w:val="center"/>
          </w:tcPr>
          <w:p w14:paraId="6D063411">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短期</w:t>
            </w:r>
          </w:p>
        </w:tc>
        <w:tc>
          <w:tcPr>
            <w:tcW w:w="521" w:type="pct"/>
            <w:vMerge w:val="restart"/>
            <w:vAlign w:val="center"/>
          </w:tcPr>
          <w:p w14:paraId="2208613F">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不明显</w:t>
            </w:r>
          </w:p>
        </w:tc>
        <w:tc>
          <w:tcPr>
            <w:tcW w:w="521" w:type="pct"/>
            <w:vMerge w:val="restart"/>
            <w:vAlign w:val="center"/>
          </w:tcPr>
          <w:p w14:paraId="3687651C">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不确定</w:t>
            </w:r>
          </w:p>
        </w:tc>
        <w:tc>
          <w:tcPr>
            <w:tcW w:w="787" w:type="pct"/>
            <w:gridSpan w:val="3"/>
            <w:vAlign w:val="center"/>
          </w:tcPr>
          <w:p w14:paraId="033EB7FF">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显著影响</w:t>
            </w:r>
          </w:p>
        </w:tc>
      </w:tr>
      <w:tr w14:paraId="376FE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694" w:type="pct"/>
            <w:vMerge w:val="continue"/>
            <w:vAlign w:val="center"/>
          </w:tcPr>
          <w:p w14:paraId="6B71748E">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80" w:type="pct"/>
            <w:vMerge w:val="continue"/>
            <w:vAlign w:val="center"/>
          </w:tcPr>
          <w:p w14:paraId="35D2EDB9">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392" w:type="pct"/>
            <w:vMerge w:val="continue"/>
            <w:vAlign w:val="center"/>
          </w:tcPr>
          <w:p w14:paraId="77F69E8E">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1" w:type="pct"/>
            <w:vMerge w:val="continue"/>
            <w:vAlign w:val="center"/>
          </w:tcPr>
          <w:p w14:paraId="4B2DB14F">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392" w:type="pct"/>
            <w:vMerge w:val="continue"/>
            <w:vAlign w:val="center"/>
          </w:tcPr>
          <w:p w14:paraId="32F80A21">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392" w:type="pct"/>
            <w:vMerge w:val="continue"/>
            <w:vAlign w:val="center"/>
          </w:tcPr>
          <w:p w14:paraId="70A95313">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1" w:type="pct"/>
            <w:vMerge w:val="continue"/>
            <w:vAlign w:val="center"/>
          </w:tcPr>
          <w:p w14:paraId="2AE4FDDC">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1" w:type="pct"/>
            <w:vMerge w:val="continue"/>
            <w:vAlign w:val="center"/>
          </w:tcPr>
          <w:p w14:paraId="2DEBA170">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262" w:type="pct"/>
            <w:vAlign w:val="center"/>
          </w:tcPr>
          <w:p w14:paraId="439D0839">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小</w:t>
            </w:r>
          </w:p>
        </w:tc>
        <w:tc>
          <w:tcPr>
            <w:tcW w:w="262" w:type="pct"/>
            <w:vAlign w:val="center"/>
          </w:tcPr>
          <w:p w14:paraId="7A5157EF">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中</w:t>
            </w:r>
          </w:p>
        </w:tc>
        <w:tc>
          <w:tcPr>
            <w:tcW w:w="262" w:type="pct"/>
            <w:vAlign w:val="center"/>
          </w:tcPr>
          <w:p w14:paraId="1DA754E0">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大</w:t>
            </w:r>
          </w:p>
        </w:tc>
      </w:tr>
      <w:tr w14:paraId="5DCA0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4" w:type="pct"/>
            <w:vMerge w:val="restart"/>
            <w:vAlign w:val="center"/>
          </w:tcPr>
          <w:p w14:paraId="5A4A78E5">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施工期</w:t>
            </w:r>
          </w:p>
        </w:tc>
        <w:tc>
          <w:tcPr>
            <w:tcW w:w="780" w:type="pct"/>
            <w:vAlign w:val="center"/>
          </w:tcPr>
          <w:p w14:paraId="654EFCCC">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大气环境</w:t>
            </w:r>
          </w:p>
        </w:tc>
        <w:tc>
          <w:tcPr>
            <w:tcW w:w="392" w:type="pct"/>
            <w:vAlign w:val="center"/>
          </w:tcPr>
          <w:p w14:paraId="22450823">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21" w:type="pct"/>
            <w:vAlign w:val="center"/>
          </w:tcPr>
          <w:p w14:paraId="4D55DB04">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392" w:type="pct"/>
            <w:vAlign w:val="center"/>
          </w:tcPr>
          <w:p w14:paraId="71BFFA0C">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392" w:type="pct"/>
            <w:vAlign w:val="center"/>
          </w:tcPr>
          <w:p w14:paraId="6CE89724">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21" w:type="pct"/>
            <w:vAlign w:val="center"/>
          </w:tcPr>
          <w:p w14:paraId="31FB38CA">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21" w:type="pct"/>
            <w:vAlign w:val="center"/>
          </w:tcPr>
          <w:p w14:paraId="0DBE68D7">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262" w:type="pct"/>
            <w:vAlign w:val="center"/>
          </w:tcPr>
          <w:p w14:paraId="5CC8B035">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62" w:type="pct"/>
            <w:vAlign w:val="center"/>
          </w:tcPr>
          <w:p w14:paraId="1A1CD2A0">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262" w:type="pct"/>
            <w:vAlign w:val="center"/>
          </w:tcPr>
          <w:p w14:paraId="5EC8F0C8">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01110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4" w:type="pct"/>
            <w:vMerge w:val="continue"/>
            <w:vAlign w:val="center"/>
          </w:tcPr>
          <w:p w14:paraId="2B4A02BD">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80" w:type="pct"/>
            <w:vAlign w:val="center"/>
          </w:tcPr>
          <w:p w14:paraId="3318DAD9">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地表水环境</w:t>
            </w:r>
          </w:p>
        </w:tc>
        <w:tc>
          <w:tcPr>
            <w:tcW w:w="392" w:type="pct"/>
            <w:vAlign w:val="center"/>
          </w:tcPr>
          <w:p w14:paraId="5B907E16">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21" w:type="pct"/>
            <w:vAlign w:val="center"/>
          </w:tcPr>
          <w:p w14:paraId="5142083A">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392" w:type="pct"/>
            <w:vAlign w:val="center"/>
          </w:tcPr>
          <w:p w14:paraId="6D428B09">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392" w:type="pct"/>
            <w:vAlign w:val="center"/>
          </w:tcPr>
          <w:p w14:paraId="2CDCBCAD">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21" w:type="pct"/>
            <w:vAlign w:val="center"/>
          </w:tcPr>
          <w:p w14:paraId="2B3EFB9C">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21" w:type="pct"/>
            <w:vAlign w:val="center"/>
          </w:tcPr>
          <w:p w14:paraId="2A476371">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262" w:type="pct"/>
            <w:vAlign w:val="center"/>
          </w:tcPr>
          <w:p w14:paraId="0FBEC2BE">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62" w:type="pct"/>
            <w:vAlign w:val="center"/>
          </w:tcPr>
          <w:p w14:paraId="24419A96">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262" w:type="pct"/>
            <w:vAlign w:val="center"/>
          </w:tcPr>
          <w:p w14:paraId="03D442BD">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7F3C5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4" w:type="pct"/>
            <w:vMerge w:val="continue"/>
            <w:vAlign w:val="center"/>
          </w:tcPr>
          <w:p w14:paraId="1D45CCAA">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80" w:type="pct"/>
            <w:vAlign w:val="center"/>
          </w:tcPr>
          <w:p w14:paraId="19C95620">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海水环境</w:t>
            </w:r>
          </w:p>
        </w:tc>
        <w:tc>
          <w:tcPr>
            <w:tcW w:w="392" w:type="pct"/>
            <w:vAlign w:val="center"/>
          </w:tcPr>
          <w:p w14:paraId="5BF9BE39">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21" w:type="pct"/>
            <w:vAlign w:val="center"/>
          </w:tcPr>
          <w:p w14:paraId="17037E2E">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392" w:type="pct"/>
            <w:vAlign w:val="center"/>
          </w:tcPr>
          <w:p w14:paraId="7C0C6CA5">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392" w:type="pct"/>
            <w:vAlign w:val="center"/>
          </w:tcPr>
          <w:p w14:paraId="03B0F027">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21" w:type="pct"/>
            <w:vAlign w:val="center"/>
          </w:tcPr>
          <w:p w14:paraId="35F9C589">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21" w:type="pct"/>
            <w:vAlign w:val="center"/>
          </w:tcPr>
          <w:p w14:paraId="4A1BE98B">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262" w:type="pct"/>
            <w:vAlign w:val="center"/>
          </w:tcPr>
          <w:p w14:paraId="2BDB4BFE">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62" w:type="pct"/>
            <w:vAlign w:val="center"/>
          </w:tcPr>
          <w:p w14:paraId="16FF2897">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262" w:type="pct"/>
            <w:vAlign w:val="center"/>
          </w:tcPr>
          <w:p w14:paraId="55C4F01C">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6955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4" w:type="pct"/>
            <w:vMerge w:val="continue"/>
            <w:vAlign w:val="center"/>
          </w:tcPr>
          <w:p w14:paraId="67816954">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80" w:type="pct"/>
            <w:vAlign w:val="center"/>
          </w:tcPr>
          <w:p w14:paraId="6AB29BB9">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地下水环境</w:t>
            </w:r>
          </w:p>
        </w:tc>
        <w:tc>
          <w:tcPr>
            <w:tcW w:w="392" w:type="pct"/>
            <w:vAlign w:val="center"/>
          </w:tcPr>
          <w:p w14:paraId="610CEABC">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1" w:type="pct"/>
            <w:vAlign w:val="center"/>
          </w:tcPr>
          <w:p w14:paraId="47962907">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392" w:type="pct"/>
            <w:vAlign w:val="center"/>
          </w:tcPr>
          <w:p w14:paraId="66B0DF9C">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392" w:type="pct"/>
            <w:vAlign w:val="center"/>
          </w:tcPr>
          <w:p w14:paraId="2A7F5D5B">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21" w:type="pct"/>
            <w:vAlign w:val="center"/>
          </w:tcPr>
          <w:p w14:paraId="732D454C">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21" w:type="pct"/>
            <w:vAlign w:val="center"/>
          </w:tcPr>
          <w:p w14:paraId="2AC85B43">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262" w:type="pct"/>
            <w:vAlign w:val="center"/>
          </w:tcPr>
          <w:p w14:paraId="6361ED7C">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62" w:type="pct"/>
            <w:vAlign w:val="center"/>
          </w:tcPr>
          <w:p w14:paraId="3EE08736">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262" w:type="pct"/>
            <w:vAlign w:val="center"/>
          </w:tcPr>
          <w:p w14:paraId="46B0024D">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00F61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4" w:type="pct"/>
            <w:vMerge w:val="continue"/>
            <w:vAlign w:val="center"/>
          </w:tcPr>
          <w:p w14:paraId="04A3ABDD">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80" w:type="pct"/>
            <w:vAlign w:val="center"/>
          </w:tcPr>
          <w:p w14:paraId="57E596E0">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声环境</w:t>
            </w:r>
          </w:p>
        </w:tc>
        <w:tc>
          <w:tcPr>
            <w:tcW w:w="392" w:type="pct"/>
            <w:vAlign w:val="center"/>
          </w:tcPr>
          <w:p w14:paraId="1DDA005A">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21" w:type="pct"/>
            <w:vAlign w:val="center"/>
          </w:tcPr>
          <w:p w14:paraId="4F4C34BE">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392" w:type="pct"/>
            <w:vAlign w:val="center"/>
          </w:tcPr>
          <w:p w14:paraId="399031C5">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392" w:type="pct"/>
            <w:vAlign w:val="center"/>
          </w:tcPr>
          <w:p w14:paraId="6BD216C0">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21" w:type="pct"/>
            <w:vAlign w:val="center"/>
          </w:tcPr>
          <w:p w14:paraId="75BFA8D3">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21" w:type="pct"/>
            <w:vAlign w:val="center"/>
          </w:tcPr>
          <w:p w14:paraId="54BCA834">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262" w:type="pct"/>
            <w:vAlign w:val="center"/>
          </w:tcPr>
          <w:p w14:paraId="648DAEFA">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62" w:type="pct"/>
            <w:vAlign w:val="center"/>
          </w:tcPr>
          <w:p w14:paraId="2A7E8FBA">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262" w:type="pct"/>
            <w:vAlign w:val="center"/>
          </w:tcPr>
          <w:p w14:paraId="545CA36B">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0515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4" w:type="pct"/>
            <w:vMerge w:val="continue"/>
            <w:vAlign w:val="center"/>
          </w:tcPr>
          <w:p w14:paraId="7C36CD6F">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80" w:type="pct"/>
            <w:vAlign w:val="center"/>
          </w:tcPr>
          <w:p w14:paraId="479666AE">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土壤环境</w:t>
            </w:r>
          </w:p>
        </w:tc>
        <w:tc>
          <w:tcPr>
            <w:tcW w:w="392" w:type="pct"/>
            <w:vAlign w:val="center"/>
          </w:tcPr>
          <w:p w14:paraId="6FEDFD85">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1" w:type="pct"/>
            <w:vAlign w:val="center"/>
          </w:tcPr>
          <w:p w14:paraId="1823CF21">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392" w:type="pct"/>
            <w:vAlign w:val="center"/>
          </w:tcPr>
          <w:p w14:paraId="30CDE98D">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392" w:type="pct"/>
            <w:vAlign w:val="center"/>
          </w:tcPr>
          <w:p w14:paraId="6685816A">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21" w:type="pct"/>
            <w:vAlign w:val="center"/>
          </w:tcPr>
          <w:p w14:paraId="2AC2AC61">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21" w:type="pct"/>
            <w:vAlign w:val="center"/>
          </w:tcPr>
          <w:p w14:paraId="095BDC29">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262" w:type="pct"/>
            <w:vAlign w:val="center"/>
          </w:tcPr>
          <w:p w14:paraId="2419B8FC">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62" w:type="pct"/>
            <w:vAlign w:val="center"/>
          </w:tcPr>
          <w:p w14:paraId="09DA55D8">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262" w:type="pct"/>
            <w:vAlign w:val="center"/>
          </w:tcPr>
          <w:p w14:paraId="181BFF16">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6D8F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4" w:type="pct"/>
            <w:vMerge w:val="continue"/>
            <w:vAlign w:val="center"/>
          </w:tcPr>
          <w:p w14:paraId="5B7C7DF3">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80" w:type="pct"/>
            <w:vAlign w:val="center"/>
          </w:tcPr>
          <w:p w14:paraId="51F8C432">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生态环境</w:t>
            </w:r>
          </w:p>
        </w:tc>
        <w:tc>
          <w:tcPr>
            <w:tcW w:w="392" w:type="pct"/>
            <w:vAlign w:val="center"/>
          </w:tcPr>
          <w:p w14:paraId="4F8B81BD">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21" w:type="pct"/>
            <w:vAlign w:val="center"/>
          </w:tcPr>
          <w:p w14:paraId="35FD05C1">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392" w:type="pct"/>
            <w:vAlign w:val="center"/>
          </w:tcPr>
          <w:p w14:paraId="46D28BA3">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392" w:type="pct"/>
            <w:vAlign w:val="center"/>
          </w:tcPr>
          <w:p w14:paraId="1643D3D8">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21" w:type="pct"/>
            <w:vAlign w:val="center"/>
          </w:tcPr>
          <w:p w14:paraId="4322C0F6">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21" w:type="pct"/>
            <w:vAlign w:val="center"/>
          </w:tcPr>
          <w:p w14:paraId="27517FC0">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262" w:type="pct"/>
            <w:vAlign w:val="center"/>
          </w:tcPr>
          <w:p w14:paraId="7C9EAF2E">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62" w:type="pct"/>
            <w:vAlign w:val="center"/>
          </w:tcPr>
          <w:p w14:paraId="6EB36E05">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262" w:type="pct"/>
            <w:vAlign w:val="center"/>
          </w:tcPr>
          <w:p w14:paraId="7490AED3">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23C91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4" w:type="pct"/>
            <w:vMerge w:val="restart"/>
            <w:vAlign w:val="center"/>
          </w:tcPr>
          <w:p w14:paraId="2B3FF92C">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运营期</w:t>
            </w:r>
          </w:p>
        </w:tc>
        <w:tc>
          <w:tcPr>
            <w:tcW w:w="780" w:type="pct"/>
            <w:vAlign w:val="center"/>
          </w:tcPr>
          <w:p w14:paraId="46ED4E0C">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大气环境</w:t>
            </w:r>
          </w:p>
        </w:tc>
        <w:tc>
          <w:tcPr>
            <w:tcW w:w="392" w:type="pct"/>
            <w:vAlign w:val="center"/>
          </w:tcPr>
          <w:p w14:paraId="18D7EDE4">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1" w:type="pct"/>
            <w:vAlign w:val="center"/>
          </w:tcPr>
          <w:p w14:paraId="2ECDFAE7">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392" w:type="pct"/>
            <w:vAlign w:val="center"/>
          </w:tcPr>
          <w:p w14:paraId="2F1F36CD">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392" w:type="pct"/>
            <w:vAlign w:val="center"/>
          </w:tcPr>
          <w:p w14:paraId="5B8629DE">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1" w:type="pct"/>
            <w:vAlign w:val="center"/>
          </w:tcPr>
          <w:p w14:paraId="450109DB">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21" w:type="pct"/>
            <w:vAlign w:val="center"/>
          </w:tcPr>
          <w:p w14:paraId="53E3F917">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262" w:type="pct"/>
            <w:vAlign w:val="center"/>
          </w:tcPr>
          <w:p w14:paraId="6BD7BBB9">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62" w:type="pct"/>
            <w:vAlign w:val="center"/>
          </w:tcPr>
          <w:p w14:paraId="4E499647">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262" w:type="pct"/>
            <w:vAlign w:val="center"/>
          </w:tcPr>
          <w:p w14:paraId="7816F52F">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19A2A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4" w:type="pct"/>
            <w:vMerge w:val="continue"/>
            <w:vAlign w:val="center"/>
          </w:tcPr>
          <w:p w14:paraId="73DD2678">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80" w:type="pct"/>
            <w:vAlign w:val="center"/>
          </w:tcPr>
          <w:p w14:paraId="258D9260">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地表水环境</w:t>
            </w:r>
          </w:p>
        </w:tc>
        <w:tc>
          <w:tcPr>
            <w:tcW w:w="392" w:type="pct"/>
            <w:vAlign w:val="center"/>
          </w:tcPr>
          <w:p w14:paraId="433527C5">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1" w:type="pct"/>
            <w:vAlign w:val="center"/>
          </w:tcPr>
          <w:p w14:paraId="69438190">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392" w:type="pct"/>
            <w:vAlign w:val="center"/>
          </w:tcPr>
          <w:p w14:paraId="5DCE58B6">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392" w:type="pct"/>
            <w:vAlign w:val="center"/>
          </w:tcPr>
          <w:p w14:paraId="502E316E">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1" w:type="pct"/>
            <w:vAlign w:val="center"/>
          </w:tcPr>
          <w:p w14:paraId="172B37B5">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21" w:type="pct"/>
            <w:vAlign w:val="center"/>
          </w:tcPr>
          <w:p w14:paraId="7004E00F">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262" w:type="pct"/>
            <w:vAlign w:val="center"/>
          </w:tcPr>
          <w:p w14:paraId="0614A054">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62" w:type="pct"/>
            <w:vAlign w:val="center"/>
          </w:tcPr>
          <w:p w14:paraId="60577A2D">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262" w:type="pct"/>
            <w:vAlign w:val="center"/>
          </w:tcPr>
          <w:p w14:paraId="16F6EB04">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652F7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4" w:type="pct"/>
            <w:vMerge w:val="continue"/>
            <w:vAlign w:val="center"/>
          </w:tcPr>
          <w:p w14:paraId="0F6E695D">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80" w:type="pct"/>
            <w:vAlign w:val="center"/>
          </w:tcPr>
          <w:p w14:paraId="5F0C10F1">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海水环境</w:t>
            </w:r>
          </w:p>
        </w:tc>
        <w:tc>
          <w:tcPr>
            <w:tcW w:w="392" w:type="pct"/>
            <w:vAlign w:val="center"/>
          </w:tcPr>
          <w:p w14:paraId="6CF2E369">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1" w:type="pct"/>
            <w:vAlign w:val="center"/>
          </w:tcPr>
          <w:p w14:paraId="3D0B28A2">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392" w:type="pct"/>
            <w:vAlign w:val="center"/>
          </w:tcPr>
          <w:p w14:paraId="7022A17F">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392" w:type="pct"/>
            <w:vAlign w:val="center"/>
          </w:tcPr>
          <w:p w14:paraId="7B9A6C62">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21" w:type="pct"/>
            <w:vAlign w:val="center"/>
          </w:tcPr>
          <w:p w14:paraId="6E3CF77D">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21" w:type="pct"/>
            <w:vAlign w:val="center"/>
          </w:tcPr>
          <w:p w14:paraId="33EF7B69">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262" w:type="pct"/>
            <w:vAlign w:val="center"/>
          </w:tcPr>
          <w:p w14:paraId="055E2E82">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62" w:type="pct"/>
            <w:vAlign w:val="center"/>
          </w:tcPr>
          <w:p w14:paraId="092AF005">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262" w:type="pct"/>
            <w:vAlign w:val="center"/>
          </w:tcPr>
          <w:p w14:paraId="4F46AB89">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54976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4" w:type="pct"/>
            <w:vMerge w:val="continue"/>
            <w:vAlign w:val="center"/>
          </w:tcPr>
          <w:p w14:paraId="359BDF68">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80" w:type="pct"/>
            <w:vAlign w:val="center"/>
          </w:tcPr>
          <w:p w14:paraId="37D65DCB">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地下水环境</w:t>
            </w:r>
          </w:p>
        </w:tc>
        <w:tc>
          <w:tcPr>
            <w:tcW w:w="392" w:type="pct"/>
            <w:vAlign w:val="center"/>
          </w:tcPr>
          <w:p w14:paraId="35D8F363">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1" w:type="pct"/>
            <w:vAlign w:val="center"/>
          </w:tcPr>
          <w:p w14:paraId="5EFDF11C">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392" w:type="pct"/>
            <w:vAlign w:val="center"/>
          </w:tcPr>
          <w:p w14:paraId="4F179856">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392" w:type="pct"/>
            <w:vAlign w:val="center"/>
          </w:tcPr>
          <w:p w14:paraId="573BFAED">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1" w:type="pct"/>
            <w:vAlign w:val="center"/>
          </w:tcPr>
          <w:p w14:paraId="33162E37">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21" w:type="pct"/>
            <w:vAlign w:val="center"/>
          </w:tcPr>
          <w:p w14:paraId="74F7BED5">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262" w:type="pct"/>
            <w:vAlign w:val="center"/>
          </w:tcPr>
          <w:p w14:paraId="5F60DCD3">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62" w:type="pct"/>
            <w:vAlign w:val="center"/>
          </w:tcPr>
          <w:p w14:paraId="220476C7">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262" w:type="pct"/>
            <w:vAlign w:val="center"/>
          </w:tcPr>
          <w:p w14:paraId="204D67E4">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4645B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4" w:type="pct"/>
            <w:vMerge w:val="continue"/>
            <w:vAlign w:val="center"/>
          </w:tcPr>
          <w:p w14:paraId="690FA1BB">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80" w:type="pct"/>
            <w:vAlign w:val="center"/>
          </w:tcPr>
          <w:p w14:paraId="4596F526">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声环境</w:t>
            </w:r>
          </w:p>
        </w:tc>
        <w:tc>
          <w:tcPr>
            <w:tcW w:w="392" w:type="pct"/>
            <w:vAlign w:val="center"/>
          </w:tcPr>
          <w:p w14:paraId="4B477B8F">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21" w:type="pct"/>
            <w:vAlign w:val="center"/>
          </w:tcPr>
          <w:p w14:paraId="105C051A">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392" w:type="pct"/>
            <w:vAlign w:val="center"/>
          </w:tcPr>
          <w:p w14:paraId="353C7C5B">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392" w:type="pct"/>
            <w:vAlign w:val="center"/>
          </w:tcPr>
          <w:p w14:paraId="6C7B7497">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1" w:type="pct"/>
            <w:vAlign w:val="center"/>
          </w:tcPr>
          <w:p w14:paraId="5734B446">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21" w:type="pct"/>
            <w:vAlign w:val="center"/>
          </w:tcPr>
          <w:p w14:paraId="1BF4BF2B">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262" w:type="pct"/>
            <w:vAlign w:val="center"/>
          </w:tcPr>
          <w:p w14:paraId="17569104">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62" w:type="pct"/>
            <w:vAlign w:val="center"/>
          </w:tcPr>
          <w:p w14:paraId="6F06095D">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262" w:type="pct"/>
            <w:vAlign w:val="center"/>
          </w:tcPr>
          <w:p w14:paraId="55A2167E">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6B850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4" w:type="pct"/>
            <w:vMerge w:val="continue"/>
            <w:vAlign w:val="center"/>
          </w:tcPr>
          <w:p w14:paraId="4910981D">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80" w:type="pct"/>
            <w:vAlign w:val="center"/>
          </w:tcPr>
          <w:p w14:paraId="019E923A">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土壤环境</w:t>
            </w:r>
          </w:p>
        </w:tc>
        <w:tc>
          <w:tcPr>
            <w:tcW w:w="392" w:type="pct"/>
            <w:vAlign w:val="center"/>
          </w:tcPr>
          <w:p w14:paraId="3B5C6DA6">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1" w:type="pct"/>
            <w:vAlign w:val="center"/>
          </w:tcPr>
          <w:p w14:paraId="63E74415">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392" w:type="pct"/>
            <w:vAlign w:val="center"/>
          </w:tcPr>
          <w:p w14:paraId="3A2BC993">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392" w:type="pct"/>
            <w:vAlign w:val="center"/>
          </w:tcPr>
          <w:p w14:paraId="3CE0CE1D">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1" w:type="pct"/>
            <w:vAlign w:val="center"/>
          </w:tcPr>
          <w:p w14:paraId="175013D7">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21" w:type="pct"/>
            <w:vAlign w:val="center"/>
          </w:tcPr>
          <w:p w14:paraId="7615E8C2">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262" w:type="pct"/>
            <w:vAlign w:val="center"/>
          </w:tcPr>
          <w:p w14:paraId="418F4985">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62" w:type="pct"/>
            <w:vAlign w:val="center"/>
          </w:tcPr>
          <w:p w14:paraId="310454A6">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262" w:type="pct"/>
            <w:vAlign w:val="center"/>
          </w:tcPr>
          <w:p w14:paraId="0E303C46">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0588E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4" w:type="pct"/>
            <w:vMerge w:val="continue"/>
            <w:vAlign w:val="center"/>
          </w:tcPr>
          <w:p w14:paraId="2802F312">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80" w:type="pct"/>
            <w:vAlign w:val="center"/>
          </w:tcPr>
          <w:p w14:paraId="1E83F87D">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生态环境</w:t>
            </w:r>
          </w:p>
        </w:tc>
        <w:tc>
          <w:tcPr>
            <w:tcW w:w="392" w:type="pct"/>
            <w:vAlign w:val="center"/>
          </w:tcPr>
          <w:p w14:paraId="47E0932D">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1" w:type="pct"/>
            <w:vAlign w:val="center"/>
          </w:tcPr>
          <w:p w14:paraId="0D7AEEEE">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392" w:type="pct"/>
            <w:vAlign w:val="center"/>
          </w:tcPr>
          <w:p w14:paraId="402CE22C">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392" w:type="pct"/>
            <w:vAlign w:val="center"/>
          </w:tcPr>
          <w:p w14:paraId="14ED974A">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1" w:type="pct"/>
            <w:vAlign w:val="center"/>
          </w:tcPr>
          <w:p w14:paraId="79D1BB89">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21" w:type="pct"/>
            <w:vAlign w:val="center"/>
          </w:tcPr>
          <w:p w14:paraId="7E1465CF">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262" w:type="pct"/>
            <w:vAlign w:val="center"/>
          </w:tcPr>
          <w:p w14:paraId="6F92BDE4">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62" w:type="pct"/>
            <w:vAlign w:val="center"/>
          </w:tcPr>
          <w:p w14:paraId="6B8BD23B">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262" w:type="pct"/>
            <w:vAlign w:val="center"/>
          </w:tcPr>
          <w:p w14:paraId="6E0D0BC1">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bl>
    <w:p w14:paraId="6809D067">
      <w:pPr>
        <w:pStyle w:val="2"/>
        <w:ind w:firstLine="240"/>
        <w:rPr>
          <w:rFonts w:cstheme="majorBidi"/>
          <w:color w:val="0D0D0D" w:themeColor="text1" w:themeTint="F2"/>
          <w:sz w:val="28"/>
          <w:szCs w:val="32"/>
          <w14:textFill>
            <w14:solidFill>
              <w14:schemeClr w14:val="tx1">
                <w14:lumMod w14:val="95000"/>
                <w14:lumOff w14:val="5000"/>
              </w14:schemeClr>
            </w14:solidFill>
          </w14:textFill>
        </w:rPr>
      </w:pPr>
      <w:bookmarkStart w:id="20" w:name="_Toc204062532"/>
      <w:r>
        <w:br w:type="page"/>
      </w:r>
    </w:p>
    <w:p w14:paraId="7DAE702C">
      <w:pPr>
        <w:pStyle w:val="9"/>
      </w:pPr>
      <w:r>
        <w:rPr>
          <w:rFonts w:hint="eastAsia"/>
        </w:rPr>
        <w:t>评价因子筛选</w:t>
      </w:r>
      <w:bookmarkEnd w:id="20"/>
    </w:p>
    <w:p w14:paraId="4B6F4FC3">
      <w:pPr>
        <w:ind w:firstLine="480"/>
        <w:rPr>
          <w:rFonts w:cs="Times New Roman"/>
          <w:bCs/>
          <w:color w:val="0D0D0D" w:themeColor="text1" w:themeTint="F2"/>
          <w:szCs w:val="24"/>
          <w14:textFill>
            <w14:solidFill>
              <w14:schemeClr w14:val="tx1">
                <w14:lumMod w14:val="95000"/>
                <w14:lumOff w14:val="5000"/>
              </w14:schemeClr>
            </w14:solidFill>
          </w14:textFill>
        </w:rPr>
      </w:pPr>
      <w:r>
        <w:rPr>
          <w:rFonts w:hint="eastAsia" w:cs="Times New Roman"/>
          <w:bCs/>
          <w:color w:val="0D0D0D" w:themeColor="text1" w:themeTint="F2"/>
          <w:szCs w:val="24"/>
          <w14:textFill>
            <w14:solidFill>
              <w14:schemeClr w14:val="tx1">
                <w14:lumMod w14:val="95000"/>
                <w14:lumOff w14:val="5000"/>
              </w14:schemeClr>
            </w14:solidFill>
          </w14:textFill>
        </w:rPr>
        <w:t>项目评价因子筛选结果详</w:t>
      </w:r>
      <w:r>
        <w:rPr>
          <w:rFonts w:cs="Times New Roman"/>
          <w:bCs/>
          <w:color w:val="0D0D0D" w:themeColor="text1" w:themeTint="F2"/>
          <w:szCs w:val="24"/>
          <w14:textFill>
            <w14:solidFill>
              <w14:schemeClr w14:val="tx1">
                <w14:lumMod w14:val="95000"/>
                <w14:lumOff w14:val="5000"/>
              </w14:schemeClr>
            </w14:solidFill>
          </w14:textFill>
        </w:rPr>
        <w:t>见表</w:t>
      </w:r>
      <w:r>
        <w:rPr>
          <w:rFonts w:hint="eastAsia" w:cs="Times New Roman"/>
          <w:bCs/>
          <w:color w:val="0D0D0D" w:themeColor="text1" w:themeTint="F2"/>
          <w:szCs w:val="24"/>
          <w14:textFill>
            <w14:solidFill>
              <w14:schemeClr w14:val="tx1">
                <w14:lumMod w14:val="95000"/>
                <w14:lumOff w14:val="5000"/>
              </w14:schemeClr>
            </w14:solidFill>
          </w14:textFill>
        </w:rPr>
        <w:t>2.2-3</w:t>
      </w:r>
      <w:r>
        <w:rPr>
          <w:rFonts w:cs="Times New Roman"/>
          <w:bCs/>
          <w:color w:val="0D0D0D" w:themeColor="text1" w:themeTint="F2"/>
          <w:szCs w:val="24"/>
          <w14:textFill>
            <w14:solidFill>
              <w14:schemeClr w14:val="tx1">
                <w14:lumMod w14:val="95000"/>
                <w14:lumOff w14:val="5000"/>
              </w14:schemeClr>
            </w14:solidFill>
          </w14:textFill>
        </w:rPr>
        <w:t>。</w:t>
      </w:r>
    </w:p>
    <w:p w14:paraId="27B2EBFB">
      <w:pPr>
        <w:pStyle w:val="11"/>
      </w:pPr>
      <w:r>
        <w:rPr>
          <w:rFonts w:hint="eastAsia"/>
        </w:rPr>
        <w:t xml:space="preserve"> </w:t>
      </w:r>
      <w:r>
        <w:t>环境影响评价因子</w:t>
      </w:r>
      <w:r>
        <w:rPr>
          <w:rFonts w:hint="eastAsia"/>
        </w:rPr>
        <w:t>一览</w:t>
      </w:r>
      <w:r>
        <w:t>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2"/>
        <w:gridCol w:w="1466"/>
        <w:gridCol w:w="3963"/>
        <w:gridCol w:w="1763"/>
        <w:gridCol w:w="1608"/>
      </w:tblGrid>
      <w:tr w14:paraId="61138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39" w:type="pct"/>
            <w:vAlign w:val="center"/>
          </w:tcPr>
          <w:p w14:paraId="7CF56AC0">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序号</w:t>
            </w:r>
          </w:p>
        </w:tc>
        <w:tc>
          <w:tcPr>
            <w:tcW w:w="793" w:type="pct"/>
            <w:vAlign w:val="center"/>
          </w:tcPr>
          <w:p w14:paraId="6E0D35E4">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bookmarkStart w:id="21" w:name="_Hlk166949332"/>
            <w:r>
              <w:rPr>
                <w:rFonts w:hint="eastAsia" w:cs="Times New Roman"/>
                <w:color w:val="0D0D0D" w:themeColor="text1" w:themeTint="F2"/>
                <w:sz w:val="21"/>
                <w14:textFill>
                  <w14:solidFill>
                    <w14:schemeClr w14:val="tx1">
                      <w14:lumMod w14:val="95000"/>
                      <w14:lumOff w14:val="5000"/>
                    </w14:schemeClr>
                  </w14:solidFill>
                </w14:textFill>
              </w:rPr>
              <w:t>环境要素</w:t>
            </w:r>
          </w:p>
        </w:tc>
        <w:tc>
          <w:tcPr>
            <w:tcW w:w="2144" w:type="pct"/>
            <w:vAlign w:val="center"/>
          </w:tcPr>
          <w:p w14:paraId="0BD96CA2">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现状评价</w:t>
            </w:r>
            <w:r>
              <w:rPr>
                <w:rFonts w:hint="eastAsia" w:cs="Times New Roman"/>
                <w:color w:val="0D0D0D" w:themeColor="text1" w:themeTint="F2"/>
                <w:sz w:val="21"/>
                <w14:textFill>
                  <w14:solidFill>
                    <w14:schemeClr w14:val="tx1">
                      <w14:lumMod w14:val="95000"/>
                      <w14:lumOff w14:val="5000"/>
                    </w14:schemeClr>
                  </w14:solidFill>
                </w14:textFill>
              </w:rPr>
              <w:t>因子</w:t>
            </w:r>
          </w:p>
        </w:tc>
        <w:tc>
          <w:tcPr>
            <w:tcW w:w="954" w:type="pct"/>
            <w:vAlign w:val="center"/>
          </w:tcPr>
          <w:p w14:paraId="2F293F9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预测</w:t>
            </w:r>
            <w:r>
              <w:rPr>
                <w:rFonts w:hint="eastAsia" w:cs="Times New Roman"/>
                <w:color w:val="0D0D0D" w:themeColor="text1" w:themeTint="F2"/>
                <w:sz w:val="21"/>
                <w14:textFill>
                  <w14:solidFill>
                    <w14:schemeClr w14:val="tx1">
                      <w14:lumMod w14:val="95000"/>
                      <w14:lumOff w14:val="5000"/>
                    </w14:schemeClr>
                  </w14:solidFill>
                </w14:textFill>
              </w:rPr>
              <w:t>因子</w:t>
            </w:r>
          </w:p>
        </w:tc>
        <w:tc>
          <w:tcPr>
            <w:tcW w:w="870" w:type="pct"/>
            <w:vAlign w:val="center"/>
          </w:tcPr>
          <w:p w14:paraId="5C7A7626">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总量控制因子</w:t>
            </w:r>
          </w:p>
        </w:tc>
      </w:tr>
      <w:tr w14:paraId="39001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9" w:type="pct"/>
            <w:vAlign w:val="center"/>
          </w:tcPr>
          <w:p w14:paraId="449FC462">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1</w:t>
            </w:r>
          </w:p>
        </w:tc>
        <w:tc>
          <w:tcPr>
            <w:tcW w:w="793" w:type="pct"/>
            <w:vAlign w:val="center"/>
          </w:tcPr>
          <w:p w14:paraId="403DC708">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环境空气</w:t>
            </w:r>
          </w:p>
        </w:tc>
        <w:tc>
          <w:tcPr>
            <w:tcW w:w="2144" w:type="pct"/>
            <w:vAlign w:val="center"/>
          </w:tcPr>
          <w:p w14:paraId="1D09592C">
            <w:pPr>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SO</w:t>
            </w:r>
            <w:r>
              <w:rPr>
                <w:rFonts w:cs="Times New Roman"/>
                <w:color w:val="0D0D0D" w:themeColor="text1" w:themeTint="F2"/>
                <w:sz w:val="21"/>
                <w:u w:val="single"/>
                <w:vertAlign w:val="subscript"/>
                <w14:textFill>
                  <w14:solidFill>
                    <w14:schemeClr w14:val="tx1">
                      <w14:lumMod w14:val="95000"/>
                      <w14:lumOff w14:val="5000"/>
                    </w14:schemeClr>
                  </w14:solidFill>
                </w14:textFill>
              </w:rPr>
              <w:t>2</w:t>
            </w:r>
            <w:r>
              <w:rPr>
                <w:rFonts w:cs="Times New Roman"/>
                <w:color w:val="0D0D0D" w:themeColor="text1" w:themeTint="F2"/>
                <w:sz w:val="21"/>
                <w:u w:val="single"/>
                <w14:textFill>
                  <w14:solidFill>
                    <w14:schemeClr w14:val="tx1">
                      <w14:lumMod w14:val="95000"/>
                      <w14:lumOff w14:val="5000"/>
                    </w14:schemeClr>
                  </w14:solidFill>
                </w14:textFill>
              </w:rPr>
              <w:t>、NO</w:t>
            </w:r>
            <w:r>
              <w:rPr>
                <w:rFonts w:cs="Times New Roman"/>
                <w:color w:val="0D0D0D" w:themeColor="text1" w:themeTint="F2"/>
                <w:sz w:val="21"/>
                <w:u w:val="single"/>
                <w:vertAlign w:val="subscript"/>
                <w14:textFill>
                  <w14:solidFill>
                    <w14:schemeClr w14:val="tx1">
                      <w14:lumMod w14:val="95000"/>
                      <w14:lumOff w14:val="5000"/>
                    </w14:schemeClr>
                  </w14:solidFill>
                </w14:textFill>
              </w:rPr>
              <w:t>2</w:t>
            </w:r>
            <w:r>
              <w:rPr>
                <w:rFonts w:cs="Times New Roman"/>
                <w:color w:val="0D0D0D" w:themeColor="text1" w:themeTint="F2"/>
                <w:sz w:val="21"/>
                <w:u w:val="single"/>
                <w14:textFill>
                  <w14:solidFill>
                    <w14:schemeClr w14:val="tx1">
                      <w14:lumMod w14:val="95000"/>
                      <w14:lumOff w14:val="5000"/>
                    </w14:schemeClr>
                  </w14:solidFill>
                </w14:textFill>
              </w:rPr>
              <w:t>、PM</w:t>
            </w:r>
            <w:r>
              <w:rPr>
                <w:rFonts w:cs="Times New Roman"/>
                <w:color w:val="0D0D0D" w:themeColor="text1" w:themeTint="F2"/>
                <w:sz w:val="21"/>
                <w:u w:val="single"/>
                <w:vertAlign w:val="subscript"/>
                <w14:textFill>
                  <w14:solidFill>
                    <w14:schemeClr w14:val="tx1">
                      <w14:lumMod w14:val="95000"/>
                      <w14:lumOff w14:val="5000"/>
                    </w14:schemeClr>
                  </w14:solidFill>
                </w14:textFill>
              </w:rPr>
              <w:t>10</w:t>
            </w:r>
            <w:r>
              <w:rPr>
                <w:rFonts w:cs="Times New Roman"/>
                <w:color w:val="0D0D0D" w:themeColor="text1" w:themeTint="F2"/>
                <w:sz w:val="21"/>
                <w:u w:val="single"/>
                <w14:textFill>
                  <w14:solidFill>
                    <w14:schemeClr w14:val="tx1">
                      <w14:lumMod w14:val="95000"/>
                      <w14:lumOff w14:val="5000"/>
                    </w14:schemeClr>
                  </w14:solidFill>
                </w14:textFill>
              </w:rPr>
              <w:t>、PM</w:t>
            </w:r>
            <w:r>
              <w:rPr>
                <w:rFonts w:cs="Times New Roman"/>
                <w:color w:val="0D0D0D" w:themeColor="text1" w:themeTint="F2"/>
                <w:sz w:val="21"/>
                <w:u w:val="single"/>
                <w:vertAlign w:val="subscript"/>
                <w14:textFill>
                  <w14:solidFill>
                    <w14:schemeClr w14:val="tx1">
                      <w14:lumMod w14:val="95000"/>
                      <w14:lumOff w14:val="5000"/>
                    </w14:schemeClr>
                  </w14:solidFill>
                </w14:textFill>
              </w:rPr>
              <w:t>2.5</w:t>
            </w:r>
            <w:r>
              <w:rPr>
                <w:rFonts w:cs="Times New Roman"/>
                <w:color w:val="0D0D0D" w:themeColor="text1" w:themeTint="F2"/>
                <w:sz w:val="21"/>
                <w:u w:val="single"/>
                <w14:textFill>
                  <w14:solidFill>
                    <w14:schemeClr w14:val="tx1">
                      <w14:lumMod w14:val="95000"/>
                      <w14:lumOff w14:val="5000"/>
                    </w14:schemeClr>
                  </w14:solidFill>
                </w14:textFill>
              </w:rPr>
              <w:t>、CO、O</w:t>
            </w:r>
            <w:r>
              <w:rPr>
                <w:rFonts w:cs="Times New Roman"/>
                <w:color w:val="0D0D0D" w:themeColor="text1" w:themeTint="F2"/>
                <w:sz w:val="21"/>
                <w:u w:val="single"/>
                <w:vertAlign w:val="subscript"/>
                <w14:textFill>
                  <w14:solidFill>
                    <w14:schemeClr w14:val="tx1">
                      <w14:lumMod w14:val="95000"/>
                      <w14:lumOff w14:val="5000"/>
                    </w14:schemeClr>
                  </w14:solidFill>
                </w14:textFill>
              </w:rPr>
              <w:t>3</w:t>
            </w:r>
            <w:r>
              <w:rPr>
                <w:rFonts w:cs="Times New Roman"/>
                <w:color w:val="0D0D0D" w:themeColor="text1" w:themeTint="F2"/>
                <w:sz w:val="21"/>
                <w:u w:val="single"/>
                <w14:textFill>
                  <w14:solidFill>
                    <w14:schemeClr w14:val="tx1">
                      <w14:lumMod w14:val="95000"/>
                      <w14:lumOff w14:val="5000"/>
                    </w14:schemeClr>
                  </w14:solidFill>
                </w14:textFill>
              </w:rPr>
              <w:t>、NH</w:t>
            </w:r>
            <w:r>
              <w:rPr>
                <w:rFonts w:cs="Times New Roman"/>
                <w:color w:val="0D0D0D" w:themeColor="text1" w:themeTint="F2"/>
                <w:sz w:val="21"/>
                <w:u w:val="single"/>
                <w:vertAlign w:val="subscript"/>
                <w14:textFill>
                  <w14:solidFill>
                    <w14:schemeClr w14:val="tx1">
                      <w14:lumMod w14:val="95000"/>
                      <w14:lumOff w14:val="5000"/>
                    </w14:schemeClr>
                  </w14:solidFill>
                </w14:textFill>
              </w:rPr>
              <w:t>3</w:t>
            </w:r>
            <w:r>
              <w:rPr>
                <w:rFonts w:cs="Times New Roman"/>
                <w:color w:val="0D0D0D" w:themeColor="text1" w:themeTint="F2"/>
                <w:sz w:val="21"/>
                <w:u w:val="single"/>
                <w14:textFill>
                  <w14:solidFill>
                    <w14:schemeClr w14:val="tx1">
                      <w14:lumMod w14:val="95000"/>
                      <w14:lumOff w14:val="5000"/>
                    </w14:schemeClr>
                  </w14:solidFill>
                </w14:textFill>
              </w:rPr>
              <w:t>、H</w:t>
            </w:r>
            <w:r>
              <w:rPr>
                <w:rFonts w:cs="Times New Roman"/>
                <w:color w:val="0D0D0D" w:themeColor="text1" w:themeTint="F2"/>
                <w:sz w:val="21"/>
                <w:u w:val="single"/>
                <w:vertAlign w:val="subscript"/>
                <w14:textFill>
                  <w14:solidFill>
                    <w14:schemeClr w14:val="tx1">
                      <w14:lumMod w14:val="95000"/>
                      <w14:lumOff w14:val="5000"/>
                    </w14:schemeClr>
                  </w14:solidFill>
                </w14:textFill>
              </w:rPr>
              <w:t>2</w:t>
            </w:r>
            <w:r>
              <w:rPr>
                <w:rFonts w:cs="Times New Roman"/>
                <w:color w:val="0D0D0D" w:themeColor="text1" w:themeTint="F2"/>
                <w:sz w:val="21"/>
                <w:u w:val="single"/>
                <w14:textFill>
                  <w14:solidFill>
                    <w14:schemeClr w14:val="tx1">
                      <w14:lumMod w14:val="95000"/>
                      <w14:lumOff w14:val="5000"/>
                    </w14:schemeClr>
                  </w14:solidFill>
                </w14:textFill>
              </w:rPr>
              <w:t>S、臭气浓度</w:t>
            </w:r>
            <w:r>
              <w:rPr>
                <w:rFonts w:hint="eastAsia" w:cs="Times New Roman"/>
                <w:color w:val="0D0D0D" w:themeColor="text1" w:themeTint="F2"/>
                <w:sz w:val="21"/>
                <w:u w:val="single"/>
                <w14:textFill>
                  <w14:solidFill>
                    <w14:schemeClr w14:val="tx1">
                      <w14:lumMod w14:val="95000"/>
                      <w14:lumOff w14:val="5000"/>
                    </w14:schemeClr>
                  </w14:solidFill>
                </w14:textFill>
              </w:rPr>
              <w:t>、非甲烷总烃、甲醇、</w:t>
            </w:r>
            <w:r>
              <w:rPr>
                <w:rFonts w:cs="Times New Roman"/>
                <w:color w:val="0D0D0D" w:themeColor="text1" w:themeTint="F2"/>
                <w:sz w:val="21"/>
                <w:u w:val="single"/>
                <w14:textFill>
                  <w14:solidFill>
                    <w14:schemeClr w14:val="tx1">
                      <w14:lumMod w14:val="95000"/>
                      <w14:lumOff w14:val="5000"/>
                    </w14:schemeClr>
                  </w14:solidFill>
                </w14:textFill>
              </w:rPr>
              <w:t>TVOC</w:t>
            </w:r>
          </w:p>
        </w:tc>
        <w:tc>
          <w:tcPr>
            <w:tcW w:w="954" w:type="pct"/>
            <w:vAlign w:val="center"/>
          </w:tcPr>
          <w:p w14:paraId="0AAEA99B">
            <w:pPr>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SO</w:t>
            </w:r>
            <w:r>
              <w:rPr>
                <w:rFonts w:cs="Times New Roman"/>
                <w:color w:val="0D0D0D" w:themeColor="text1" w:themeTint="F2"/>
                <w:sz w:val="21"/>
                <w:u w:val="single"/>
                <w:vertAlign w:val="subscript"/>
                <w14:textFill>
                  <w14:solidFill>
                    <w14:schemeClr w14:val="tx1">
                      <w14:lumMod w14:val="95000"/>
                      <w14:lumOff w14:val="5000"/>
                    </w14:schemeClr>
                  </w14:solidFill>
                </w14:textFill>
              </w:rPr>
              <w:t>2</w:t>
            </w:r>
            <w:r>
              <w:rPr>
                <w:rFonts w:cs="Times New Roman"/>
                <w:color w:val="0D0D0D" w:themeColor="text1" w:themeTint="F2"/>
                <w:sz w:val="21"/>
                <w:u w:val="single"/>
                <w14:textFill>
                  <w14:solidFill>
                    <w14:schemeClr w14:val="tx1">
                      <w14:lumMod w14:val="95000"/>
                      <w14:lumOff w14:val="5000"/>
                    </w14:schemeClr>
                  </w14:solidFill>
                </w14:textFill>
              </w:rPr>
              <w:t>、NO</w:t>
            </w:r>
            <w:r>
              <w:rPr>
                <w:rFonts w:cs="Times New Roman"/>
                <w:color w:val="0D0D0D" w:themeColor="text1" w:themeTint="F2"/>
                <w:sz w:val="21"/>
                <w:u w:val="single"/>
                <w:vertAlign w:val="subscript"/>
                <w14:textFill>
                  <w14:solidFill>
                    <w14:schemeClr w14:val="tx1">
                      <w14:lumMod w14:val="95000"/>
                      <w14:lumOff w14:val="5000"/>
                    </w14:schemeClr>
                  </w14:solidFill>
                </w14:textFill>
              </w:rPr>
              <w:t>2</w:t>
            </w:r>
            <w:r>
              <w:rPr>
                <w:rFonts w:cs="Times New Roman"/>
                <w:color w:val="0D0D0D" w:themeColor="text1" w:themeTint="F2"/>
                <w:sz w:val="21"/>
                <w:u w:val="single"/>
                <w14:textFill>
                  <w14:solidFill>
                    <w14:schemeClr w14:val="tx1">
                      <w14:lumMod w14:val="95000"/>
                      <w14:lumOff w14:val="5000"/>
                    </w14:schemeClr>
                  </w14:solidFill>
                </w14:textFill>
              </w:rPr>
              <w:t>、PM</w:t>
            </w:r>
            <w:r>
              <w:rPr>
                <w:rFonts w:cs="Times New Roman"/>
                <w:color w:val="0D0D0D" w:themeColor="text1" w:themeTint="F2"/>
                <w:sz w:val="21"/>
                <w:u w:val="single"/>
                <w:vertAlign w:val="subscript"/>
                <w14:textFill>
                  <w14:solidFill>
                    <w14:schemeClr w14:val="tx1">
                      <w14:lumMod w14:val="95000"/>
                      <w14:lumOff w14:val="5000"/>
                    </w14:schemeClr>
                  </w14:solidFill>
                </w14:textFill>
              </w:rPr>
              <w:t>10</w:t>
            </w:r>
            <w:r>
              <w:rPr>
                <w:rFonts w:cs="Times New Roman"/>
                <w:color w:val="0D0D0D" w:themeColor="text1" w:themeTint="F2"/>
                <w:sz w:val="21"/>
                <w:u w:val="single"/>
                <w14:textFill>
                  <w14:solidFill>
                    <w14:schemeClr w14:val="tx1">
                      <w14:lumMod w14:val="95000"/>
                      <w14:lumOff w14:val="5000"/>
                    </w14:schemeClr>
                  </w14:solidFill>
                </w14:textFill>
              </w:rPr>
              <w:t>、</w:t>
            </w:r>
            <w:r>
              <w:rPr>
                <w:rFonts w:hint="eastAsia" w:cs="Times New Roman"/>
                <w:color w:val="0D0D0D" w:themeColor="text1" w:themeTint="F2"/>
                <w:sz w:val="21"/>
                <w:u w:val="single"/>
                <w14:textFill>
                  <w14:solidFill>
                    <w14:schemeClr w14:val="tx1">
                      <w14:lumMod w14:val="95000"/>
                      <w14:lumOff w14:val="5000"/>
                    </w14:schemeClr>
                  </w14:solidFill>
                </w14:textFill>
              </w:rPr>
              <w:t>TSP、</w:t>
            </w:r>
            <w:r>
              <w:rPr>
                <w:rFonts w:cs="Times New Roman"/>
                <w:color w:val="0D0D0D" w:themeColor="text1" w:themeTint="F2"/>
                <w:sz w:val="21"/>
                <w:u w:val="single"/>
                <w14:textFill>
                  <w14:solidFill>
                    <w14:schemeClr w14:val="tx1">
                      <w14:lumMod w14:val="95000"/>
                      <w14:lumOff w14:val="5000"/>
                    </w14:schemeClr>
                  </w14:solidFill>
                </w14:textFill>
              </w:rPr>
              <w:t>NH</w:t>
            </w:r>
            <w:r>
              <w:rPr>
                <w:rFonts w:cs="Times New Roman"/>
                <w:color w:val="0D0D0D" w:themeColor="text1" w:themeTint="F2"/>
                <w:sz w:val="21"/>
                <w:u w:val="single"/>
                <w:vertAlign w:val="subscript"/>
                <w14:textFill>
                  <w14:solidFill>
                    <w14:schemeClr w14:val="tx1">
                      <w14:lumMod w14:val="95000"/>
                      <w14:lumOff w14:val="5000"/>
                    </w14:schemeClr>
                  </w14:solidFill>
                </w14:textFill>
              </w:rPr>
              <w:t>3</w:t>
            </w:r>
            <w:r>
              <w:rPr>
                <w:rFonts w:cs="Times New Roman"/>
                <w:color w:val="0D0D0D" w:themeColor="text1" w:themeTint="F2"/>
                <w:sz w:val="21"/>
                <w:u w:val="single"/>
                <w14:textFill>
                  <w14:solidFill>
                    <w14:schemeClr w14:val="tx1">
                      <w14:lumMod w14:val="95000"/>
                      <w14:lumOff w14:val="5000"/>
                    </w14:schemeClr>
                  </w14:solidFill>
                </w14:textFill>
              </w:rPr>
              <w:t>、H</w:t>
            </w:r>
            <w:r>
              <w:rPr>
                <w:rFonts w:cs="Times New Roman"/>
                <w:color w:val="0D0D0D" w:themeColor="text1" w:themeTint="F2"/>
                <w:sz w:val="21"/>
                <w:u w:val="single"/>
                <w:vertAlign w:val="subscript"/>
                <w14:textFill>
                  <w14:solidFill>
                    <w14:schemeClr w14:val="tx1">
                      <w14:lumMod w14:val="95000"/>
                      <w14:lumOff w14:val="5000"/>
                    </w14:schemeClr>
                  </w14:solidFill>
                </w14:textFill>
              </w:rPr>
              <w:t>2</w:t>
            </w:r>
            <w:r>
              <w:rPr>
                <w:rFonts w:cs="Times New Roman"/>
                <w:color w:val="0D0D0D" w:themeColor="text1" w:themeTint="F2"/>
                <w:sz w:val="21"/>
                <w:u w:val="single"/>
                <w14:textFill>
                  <w14:solidFill>
                    <w14:schemeClr w14:val="tx1">
                      <w14:lumMod w14:val="95000"/>
                      <w14:lumOff w14:val="5000"/>
                    </w14:schemeClr>
                  </w14:solidFill>
                </w14:textFill>
              </w:rPr>
              <w:t>S、臭气浓度</w:t>
            </w:r>
            <w:r>
              <w:rPr>
                <w:rFonts w:hint="eastAsia" w:cs="Times New Roman"/>
                <w:color w:val="0D0D0D" w:themeColor="text1" w:themeTint="F2"/>
                <w:sz w:val="21"/>
                <w:u w:val="single"/>
                <w14:textFill>
                  <w14:solidFill>
                    <w14:schemeClr w14:val="tx1">
                      <w14:lumMod w14:val="95000"/>
                      <w14:lumOff w14:val="5000"/>
                    </w14:schemeClr>
                  </w14:solidFill>
                </w14:textFill>
              </w:rPr>
              <w:t>、非甲烷总烃、甲醇</w:t>
            </w:r>
          </w:p>
        </w:tc>
        <w:tc>
          <w:tcPr>
            <w:tcW w:w="870" w:type="pct"/>
            <w:vAlign w:val="center"/>
          </w:tcPr>
          <w:p w14:paraId="69AD50C2">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r>
      <w:tr w14:paraId="2C8CC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9" w:type="pct"/>
            <w:vAlign w:val="center"/>
          </w:tcPr>
          <w:p w14:paraId="5492C6A4">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2</w:t>
            </w:r>
          </w:p>
        </w:tc>
        <w:tc>
          <w:tcPr>
            <w:tcW w:w="793" w:type="pct"/>
            <w:vAlign w:val="center"/>
          </w:tcPr>
          <w:p w14:paraId="1DDB6C0E">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地表水环境</w:t>
            </w:r>
          </w:p>
        </w:tc>
        <w:tc>
          <w:tcPr>
            <w:tcW w:w="2144" w:type="pct"/>
            <w:vAlign w:val="center"/>
          </w:tcPr>
          <w:p w14:paraId="05CD0CD6">
            <w:pPr>
              <w:spacing w:line="240" w:lineRule="auto"/>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pH值、溶解氧、</w:t>
            </w:r>
            <w:r>
              <w:rPr>
                <w:color w:val="0D0D0D" w:themeColor="text1" w:themeTint="F2"/>
                <w:sz w:val="21"/>
                <w14:textFill>
                  <w14:solidFill>
                    <w14:schemeClr w14:val="tx1">
                      <w14:lumMod w14:val="95000"/>
                      <w14:lumOff w14:val="5000"/>
                    </w14:schemeClr>
                  </w14:solidFill>
                </w14:textFill>
              </w:rPr>
              <w:t>COD</w:t>
            </w:r>
            <w:r>
              <w:rPr>
                <w:rFonts w:hint="eastAsia"/>
                <w:color w:val="0D0D0D" w:themeColor="text1" w:themeTint="F2"/>
                <w:sz w:val="21"/>
                <w14:textFill>
                  <w14:solidFill>
                    <w14:schemeClr w14:val="tx1">
                      <w14:lumMod w14:val="95000"/>
                      <w14:lumOff w14:val="5000"/>
                    </w14:schemeClr>
                  </w14:solidFill>
                </w14:textFill>
              </w:rPr>
              <w:t>、</w:t>
            </w:r>
            <w:r>
              <w:rPr>
                <w:color w:val="0D0D0D" w:themeColor="text1" w:themeTint="F2"/>
                <w:sz w:val="21"/>
                <w14:textFill>
                  <w14:solidFill>
                    <w14:schemeClr w14:val="tx1">
                      <w14:lumMod w14:val="95000"/>
                      <w14:lumOff w14:val="5000"/>
                    </w14:schemeClr>
                  </w14:solidFill>
                </w14:textFill>
              </w:rPr>
              <w:t>BOD</w:t>
            </w:r>
            <w:r>
              <w:rPr>
                <w:color w:val="0D0D0D" w:themeColor="text1" w:themeTint="F2"/>
                <w:sz w:val="21"/>
                <w:vertAlign w:val="subscript"/>
                <w14:textFill>
                  <w14:solidFill>
                    <w14:schemeClr w14:val="tx1">
                      <w14:lumMod w14:val="95000"/>
                      <w14:lumOff w14:val="5000"/>
                    </w14:schemeClr>
                  </w14:solidFill>
                </w14:textFill>
              </w:rPr>
              <w:t>5</w:t>
            </w:r>
            <w:r>
              <w:rPr>
                <w:rFonts w:hint="eastAsia"/>
                <w:color w:val="0D0D0D" w:themeColor="text1" w:themeTint="F2"/>
                <w:sz w:val="21"/>
                <w14:textFill>
                  <w14:solidFill>
                    <w14:schemeClr w14:val="tx1">
                      <w14:lumMod w14:val="95000"/>
                      <w14:lumOff w14:val="5000"/>
                    </w14:schemeClr>
                  </w14:solidFill>
                </w14:textFill>
              </w:rPr>
              <w:t>、氨氮、总磷、总氮、石油类</w:t>
            </w:r>
          </w:p>
        </w:tc>
        <w:tc>
          <w:tcPr>
            <w:tcW w:w="954" w:type="pct"/>
            <w:vAlign w:val="center"/>
          </w:tcPr>
          <w:p w14:paraId="2672269D">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870" w:type="pct"/>
            <w:vAlign w:val="center"/>
          </w:tcPr>
          <w:p w14:paraId="044029B5">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r>
      <w:tr w14:paraId="16746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9" w:type="pct"/>
            <w:vAlign w:val="center"/>
          </w:tcPr>
          <w:p w14:paraId="2EFA304B">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3</w:t>
            </w:r>
          </w:p>
        </w:tc>
        <w:tc>
          <w:tcPr>
            <w:tcW w:w="793" w:type="pct"/>
            <w:vAlign w:val="center"/>
          </w:tcPr>
          <w:p w14:paraId="4F1B87FC">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海水环境</w:t>
            </w:r>
          </w:p>
        </w:tc>
        <w:tc>
          <w:tcPr>
            <w:tcW w:w="2144" w:type="pct"/>
            <w:vAlign w:val="center"/>
          </w:tcPr>
          <w:p w14:paraId="6E3CA71C">
            <w:pPr>
              <w:spacing w:line="240" w:lineRule="auto"/>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pH值、溶解氧、化学需氧量、活性磷酸盐、无机氮、石油类</w:t>
            </w:r>
          </w:p>
        </w:tc>
        <w:tc>
          <w:tcPr>
            <w:tcW w:w="954" w:type="pct"/>
            <w:vAlign w:val="center"/>
          </w:tcPr>
          <w:p w14:paraId="27E3D1D6">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依托园区污水处理厂可行性分析</w:t>
            </w:r>
          </w:p>
        </w:tc>
        <w:tc>
          <w:tcPr>
            <w:tcW w:w="870" w:type="pct"/>
            <w:vAlign w:val="center"/>
          </w:tcPr>
          <w:p w14:paraId="69F5D189">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r>
      <w:tr w14:paraId="00AF6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9" w:type="pct"/>
            <w:vAlign w:val="center"/>
          </w:tcPr>
          <w:p w14:paraId="0B11B925">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4</w:t>
            </w:r>
          </w:p>
        </w:tc>
        <w:tc>
          <w:tcPr>
            <w:tcW w:w="793" w:type="pct"/>
            <w:vAlign w:val="center"/>
          </w:tcPr>
          <w:p w14:paraId="41F86B73">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地下水环境</w:t>
            </w:r>
          </w:p>
        </w:tc>
        <w:tc>
          <w:tcPr>
            <w:tcW w:w="2144" w:type="pct"/>
            <w:vAlign w:val="center"/>
          </w:tcPr>
          <w:p w14:paraId="723EFEA7">
            <w:pPr>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K</w:t>
            </w:r>
            <w:r>
              <w:rPr>
                <w:rFonts w:cs="Times New Roman"/>
                <w:color w:val="0D0D0D" w:themeColor="text1" w:themeTint="F2"/>
                <w:sz w:val="21"/>
                <w:vertAlign w:val="superscript"/>
                <w14:textFill>
                  <w14:solidFill>
                    <w14:schemeClr w14:val="tx1">
                      <w14:lumMod w14:val="95000"/>
                      <w14:lumOff w14:val="5000"/>
                    </w14:schemeClr>
                  </w14:solidFill>
                </w14:textFill>
              </w:rPr>
              <w:t>+</w:t>
            </w:r>
            <w:r>
              <w:rPr>
                <w:rFonts w:cs="Times New Roman"/>
                <w:color w:val="0D0D0D" w:themeColor="text1" w:themeTint="F2"/>
                <w:sz w:val="21"/>
                <w14:textFill>
                  <w14:solidFill>
                    <w14:schemeClr w14:val="tx1">
                      <w14:lumMod w14:val="95000"/>
                      <w14:lumOff w14:val="5000"/>
                    </w14:schemeClr>
                  </w14:solidFill>
                </w14:textFill>
              </w:rPr>
              <w:t>、Na</w:t>
            </w:r>
            <w:r>
              <w:rPr>
                <w:rFonts w:cs="Times New Roman"/>
                <w:color w:val="0D0D0D" w:themeColor="text1" w:themeTint="F2"/>
                <w:sz w:val="21"/>
                <w:vertAlign w:val="superscript"/>
                <w14:textFill>
                  <w14:solidFill>
                    <w14:schemeClr w14:val="tx1">
                      <w14:lumMod w14:val="95000"/>
                      <w14:lumOff w14:val="5000"/>
                    </w14:schemeClr>
                  </w14:solidFill>
                </w14:textFill>
              </w:rPr>
              <w:t>+</w:t>
            </w:r>
            <w:r>
              <w:rPr>
                <w:rFonts w:cs="Times New Roman"/>
                <w:color w:val="0D0D0D" w:themeColor="text1" w:themeTint="F2"/>
                <w:sz w:val="21"/>
                <w14:textFill>
                  <w14:solidFill>
                    <w14:schemeClr w14:val="tx1">
                      <w14:lumMod w14:val="95000"/>
                      <w14:lumOff w14:val="5000"/>
                    </w14:schemeClr>
                  </w14:solidFill>
                </w14:textFill>
              </w:rPr>
              <w:t>、Ca</w:t>
            </w:r>
            <w:r>
              <w:rPr>
                <w:rFonts w:cs="Times New Roman"/>
                <w:color w:val="0D0D0D" w:themeColor="text1" w:themeTint="F2"/>
                <w:sz w:val="21"/>
                <w:vertAlign w:val="superscript"/>
                <w14:textFill>
                  <w14:solidFill>
                    <w14:schemeClr w14:val="tx1">
                      <w14:lumMod w14:val="95000"/>
                      <w14:lumOff w14:val="5000"/>
                    </w14:schemeClr>
                  </w14:solidFill>
                </w14:textFill>
              </w:rPr>
              <w:t>2+</w:t>
            </w:r>
            <w:r>
              <w:rPr>
                <w:rFonts w:cs="Times New Roman"/>
                <w:color w:val="0D0D0D" w:themeColor="text1" w:themeTint="F2"/>
                <w:sz w:val="21"/>
                <w14:textFill>
                  <w14:solidFill>
                    <w14:schemeClr w14:val="tx1">
                      <w14:lumMod w14:val="95000"/>
                      <w14:lumOff w14:val="5000"/>
                    </w14:schemeClr>
                  </w14:solidFill>
                </w14:textFill>
              </w:rPr>
              <w:t>、Mg</w:t>
            </w:r>
            <w:r>
              <w:rPr>
                <w:rFonts w:cs="Times New Roman"/>
                <w:color w:val="0D0D0D" w:themeColor="text1" w:themeTint="F2"/>
                <w:sz w:val="21"/>
                <w:vertAlign w:val="superscript"/>
                <w14:textFill>
                  <w14:solidFill>
                    <w14:schemeClr w14:val="tx1">
                      <w14:lumMod w14:val="95000"/>
                      <w14:lumOff w14:val="5000"/>
                    </w14:schemeClr>
                  </w14:solidFill>
                </w14:textFill>
              </w:rPr>
              <w:t>2+</w:t>
            </w:r>
            <w:r>
              <w:rPr>
                <w:rFonts w:cs="Times New Roman"/>
                <w:color w:val="0D0D0D" w:themeColor="text1" w:themeTint="F2"/>
                <w:sz w:val="21"/>
                <w14:textFill>
                  <w14:solidFill>
                    <w14:schemeClr w14:val="tx1">
                      <w14:lumMod w14:val="95000"/>
                      <w14:lumOff w14:val="5000"/>
                    </w14:schemeClr>
                  </w14:solidFill>
                </w14:textFill>
              </w:rPr>
              <w:t>、CO</w:t>
            </w:r>
            <w:r>
              <w:rPr>
                <w:rFonts w:cs="Times New Roman"/>
                <w:color w:val="0D0D0D" w:themeColor="text1" w:themeTint="F2"/>
                <w:sz w:val="21"/>
                <w:vertAlign w:val="subscript"/>
                <w14:textFill>
                  <w14:solidFill>
                    <w14:schemeClr w14:val="tx1">
                      <w14:lumMod w14:val="95000"/>
                      <w14:lumOff w14:val="5000"/>
                    </w14:schemeClr>
                  </w14:solidFill>
                </w14:textFill>
              </w:rPr>
              <w:t>3</w:t>
            </w:r>
            <w:r>
              <w:rPr>
                <w:rFonts w:cs="Times New Roman"/>
                <w:color w:val="0D0D0D" w:themeColor="text1" w:themeTint="F2"/>
                <w:sz w:val="21"/>
                <w:vertAlign w:val="superscript"/>
                <w14:textFill>
                  <w14:solidFill>
                    <w14:schemeClr w14:val="tx1">
                      <w14:lumMod w14:val="95000"/>
                      <w14:lumOff w14:val="5000"/>
                    </w14:schemeClr>
                  </w14:solidFill>
                </w14:textFill>
              </w:rPr>
              <w:t>2-</w:t>
            </w:r>
            <w:r>
              <w:rPr>
                <w:rFonts w:cs="Times New Roman"/>
                <w:color w:val="0D0D0D" w:themeColor="text1" w:themeTint="F2"/>
                <w:sz w:val="21"/>
                <w14:textFill>
                  <w14:solidFill>
                    <w14:schemeClr w14:val="tx1">
                      <w14:lumMod w14:val="95000"/>
                      <w14:lumOff w14:val="5000"/>
                    </w14:schemeClr>
                  </w14:solidFill>
                </w14:textFill>
              </w:rPr>
              <w:t>、HCO</w:t>
            </w:r>
            <w:r>
              <w:rPr>
                <w:rFonts w:cs="Times New Roman"/>
                <w:color w:val="0D0D0D" w:themeColor="text1" w:themeTint="F2"/>
                <w:sz w:val="21"/>
                <w:vertAlign w:val="subscript"/>
                <w14:textFill>
                  <w14:solidFill>
                    <w14:schemeClr w14:val="tx1">
                      <w14:lumMod w14:val="95000"/>
                      <w14:lumOff w14:val="5000"/>
                    </w14:schemeClr>
                  </w14:solidFill>
                </w14:textFill>
              </w:rPr>
              <w:t>3</w:t>
            </w:r>
            <w:r>
              <w:rPr>
                <w:rFonts w:cs="Times New Roman"/>
                <w:color w:val="0D0D0D" w:themeColor="text1" w:themeTint="F2"/>
                <w:sz w:val="21"/>
                <w:vertAlign w:val="superscript"/>
                <w14:textFill>
                  <w14:solidFill>
                    <w14:schemeClr w14:val="tx1">
                      <w14:lumMod w14:val="95000"/>
                      <w14:lumOff w14:val="5000"/>
                    </w14:schemeClr>
                  </w14:solidFill>
                </w14:textFill>
              </w:rPr>
              <w:t>-</w:t>
            </w:r>
            <w:r>
              <w:rPr>
                <w:rFonts w:cs="Times New Roman"/>
                <w:color w:val="0D0D0D" w:themeColor="text1" w:themeTint="F2"/>
                <w:sz w:val="21"/>
                <w14:textFill>
                  <w14:solidFill>
                    <w14:schemeClr w14:val="tx1">
                      <w14:lumMod w14:val="95000"/>
                      <w14:lumOff w14:val="5000"/>
                    </w14:schemeClr>
                  </w14:solidFill>
                </w14:textFill>
              </w:rPr>
              <w:t>、Cl</w:t>
            </w:r>
            <w:r>
              <w:rPr>
                <w:rFonts w:cs="Times New Roman"/>
                <w:color w:val="0D0D0D" w:themeColor="text1" w:themeTint="F2"/>
                <w:sz w:val="21"/>
                <w:vertAlign w:val="superscript"/>
                <w14:textFill>
                  <w14:solidFill>
                    <w14:schemeClr w14:val="tx1">
                      <w14:lumMod w14:val="95000"/>
                      <w14:lumOff w14:val="5000"/>
                    </w14:schemeClr>
                  </w14:solidFill>
                </w14:textFill>
              </w:rPr>
              <w:t>-</w:t>
            </w:r>
            <w:r>
              <w:rPr>
                <w:rFonts w:cs="Times New Roman"/>
                <w:color w:val="0D0D0D" w:themeColor="text1" w:themeTint="F2"/>
                <w:sz w:val="21"/>
                <w14:textFill>
                  <w14:solidFill>
                    <w14:schemeClr w14:val="tx1">
                      <w14:lumMod w14:val="95000"/>
                      <w14:lumOff w14:val="5000"/>
                    </w14:schemeClr>
                  </w14:solidFill>
                </w14:textFill>
              </w:rPr>
              <w:t>、SO</w:t>
            </w:r>
            <w:r>
              <w:rPr>
                <w:rFonts w:cs="Times New Roman"/>
                <w:color w:val="0D0D0D" w:themeColor="text1" w:themeTint="F2"/>
                <w:sz w:val="21"/>
                <w:vertAlign w:val="subscript"/>
                <w14:textFill>
                  <w14:solidFill>
                    <w14:schemeClr w14:val="tx1">
                      <w14:lumMod w14:val="95000"/>
                      <w14:lumOff w14:val="5000"/>
                    </w14:schemeClr>
                  </w14:solidFill>
                </w14:textFill>
              </w:rPr>
              <w:t>4</w:t>
            </w:r>
            <w:r>
              <w:rPr>
                <w:rFonts w:cs="Times New Roman"/>
                <w:color w:val="0D0D0D" w:themeColor="text1" w:themeTint="F2"/>
                <w:sz w:val="21"/>
                <w:vertAlign w:val="superscript"/>
                <w14:textFill>
                  <w14:solidFill>
                    <w14:schemeClr w14:val="tx1">
                      <w14:lumMod w14:val="95000"/>
                      <w14:lumOff w14:val="5000"/>
                    </w14:schemeClr>
                  </w14:solidFill>
                </w14:textFill>
              </w:rPr>
              <w:t>2-</w:t>
            </w:r>
            <w:r>
              <w:rPr>
                <w:rFonts w:hint="eastAsia" w:cs="Times New Roman"/>
                <w:color w:val="0D0D0D" w:themeColor="text1" w:themeTint="F2"/>
                <w:sz w:val="21"/>
                <w14:textFill>
                  <w14:solidFill>
                    <w14:schemeClr w14:val="tx1">
                      <w14:lumMod w14:val="95000"/>
                      <w14:lumOff w14:val="5000"/>
                    </w14:schemeClr>
                  </w14:solidFill>
                </w14:textFill>
              </w:rPr>
              <w:t>、pH</w:t>
            </w:r>
            <w:r>
              <w:rPr>
                <w:rFonts w:hint="eastAsia" w:cs="Times New Roman"/>
                <w:color w:val="0D0D0D" w:themeColor="text1" w:themeTint="F2"/>
                <w:sz w:val="21"/>
                <w:lang w:val="zh-CN"/>
                <w14:textFill>
                  <w14:solidFill>
                    <w14:schemeClr w14:val="tx1">
                      <w14:lumMod w14:val="95000"/>
                      <w14:lumOff w14:val="5000"/>
                    </w14:schemeClr>
                  </w14:solidFill>
                </w14:textFill>
              </w:rPr>
              <w:t>、溶解性总固体、高锰酸盐指数（以O</w:t>
            </w:r>
            <w:r>
              <w:rPr>
                <w:rFonts w:hint="eastAsia" w:cs="Times New Roman"/>
                <w:color w:val="0D0D0D" w:themeColor="text1" w:themeTint="F2"/>
                <w:sz w:val="21"/>
                <w:vertAlign w:val="subscript"/>
                <w:lang w:val="zh-CN"/>
                <w14:textFill>
                  <w14:solidFill>
                    <w14:schemeClr w14:val="tx1">
                      <w14:lumMod w14:val="95000"/>
                      <w14:lumOff w14:val="5000"/>
                    </w14:schemeClr>
                  </w14:solidFill>
                </w14:textFill>
              </w:rPr>
              <w:t>2</w:t>
            </w:r>
            <w:r>
              <w:rPr>
                <w:rFonts w:hint="eastAsia" w:cs="Times New Roman"/>
                <w:color w:val="0D0D0D" w:themeColor="text1" w:themeTint="F2"/>
                <w:sz w:val="21"/>
                <w:lang w:val="zh-CN"/>
                <w14:textFill>
                  <w14:solidFill>
                    <w14:schemeClr w14:val="tx1">
                      <w14:lumMod w14:val="95000"/>
                      <w14:lumOff w14:val="5000"/>
                    </w14:schemeClr>
                  </w14:solidFill>
                </w14:textFill>
              </w:rPr>
              <w:t>计）、氨氮、亚硝酸盐氮、硝酸盐氮、挥发酚、总硬度、铜、铅、锌、镉、六价铬、汞、砷、石油类</w:t>
            </w:r>
          </w:p>
        </w:tc>
        <w:tc>
          <w:tcPr>
            <w:tcW w:w="954" w:type="pct"/>
            <w:vAlign w:val="center"/>
          </w:tcPr>
          <w:p w14:paraId="75BC51BD">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COD</w:t>
            </w:r>
            <w:r>
              <w:rPr>
                <w:rFonts w:hint="eastAsia" w:cs="Times New Roman"/>
                <w:color w:val="0D0D0D" w:themeColor="text1" w:themeTint="F2"/>
                <w:sz w:val="21"/>
                <w14:textFill>
                  <w14:solidFill>
                    <w14:schemeClr w14:val="tx1">
                      <w14:lumMod w14:val="95000"/>
                      <w14:lumOff w14:val="5000"/>
                    </w14:schemeClr>
                  </w14:solidFill>
                </w14:textFill>
              </w:rPr>
              <w:t>、NH</w:t>
            </w:r>
            <w:r>
              <w:rPr>
                <w:rFonts w:hint="eastAsia" w:cs="Times New Roman"/>
                <w:color w:val="0D0D0D" w:themeColor="text1" w:themeTint="F2"/>
                <w:sz w:val="21"/>
                <w:vertAlign w:val="subscript"/>
                <w14:textFill>
                  <w14:solidFill>
                    <w14:schemeClr w14:val="tx1">
                      <w14:lumMod w14:val="95000"/>
                      <w14:lumOff w14:val="5000"/>
                    </w14:schemeClr>
                  </w14:solidFill>
                </w14:textFill>
              </w:rPr>
              <w:t>3</w:t>
            </w:r>
            <w:r>
              <w:rPr>
                <w:rFonts w:hint="eastAsia" w:cs="Times New Roman"/>
                <w:color w:val="0D0D0D" w:themeColor="text1" w:themeTint="F2"/>
                <w:sz w:val="21"/>
                <w14:textFill>
                  <w14:solidFill>
                    <w14:schemeClr w14:val="tx1">
                      <w14:lumMod w14:val="95000"/>
                      <w14:lumOff w14:val="5000"/>
                    </w14:schemeClr>
                  </w14:solidFill>
                </w14:textFill>
              </w:rPr>
              <w:t>-N</w:t>
            </w:r>
          </w:p>
        </w:tc>
        <w:tc>
          <w:tcPr>
            <w:tcW w:w="870" w:type="pct"/>
            <w:vAlign w:val="center"/>
          </w:tcPr>
          <w:p w14:paraId="5498B047">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r>
      <w:tr w14:paraId="38214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9" w:type="pct"/>
            <w:vAlign w:val="center"/>
          </w:tcPr>
          <w:p w14:paraId="65193101">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5</w:t>
            </w:r>
          </w:p>
        </w:tc>
        <w:tc>
          <w:tcPr>
            <w:tcW w:w="793" w:type="pct"/>
            <w:vAlign w:val="center"/>
          </w:tcPr>
          <w:p w14:paraId="1279E2A3">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声环境</w:t>
            </w:r>
          </w:p>
        </w:tc>
        <w:tc>
          <w:tcPr>
            <w:tcW w:w="2144" w:type="pct"/>
            <w:vAlign w:val="center"/>
          </w:tcPr>
          <w:p w14:paraId="68F83C0A">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L</w:t>
            </w:r>
            <w:r>
              <w:rPr>
                <w:rFonts w:cs="Times New Roman"/>
                <w:color w:val="0D0D0D" w:themeColor="text1" w:themeTint="F2"/>
                <w:sz w:val="21"/>
                <w:vertAlign w:val="subscript"/>
                <w14:textFill>
                  <w14:solidFill>
                    <w14:schemeClr w14:val="tx1">
                      <w14:lumMod w14:val="95000"/>
                      <w14:lumOff w14:val="5000"/>
                    </w14:schemeClr>
                  </w14:solidFill>
                </w14:textFill>
              </w:rPr>
              <w:t>Aeq</w:t>
            </w:r>
          </w:p>
        </w:tc>
        <w:tc>
          <w:tcPr>
            <w:tcW w:w="954" w:type="pct"/>
            <w:vAlign w:val="center"/>
          </w:tcPr>
          <w:p w14:paraId="162427A6">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L</w:t>
            </w:r>
            <w:r>
              <w:rPr>
                <w:rFonts w:cs="Times New Roman"/>
                <w:color w:val="0D0D0D" w:themeColor="text1" w:themeTint="F2"/>
                <w:sz w:val="21"/>
                <w:vertAlign w:val="subscript"/>
                <w14:textFill>
                  <w14:solidFill>
                    <w14:schemeClr w14:val="tx1">
                      <w14:lumMod w14:val="95000"/>
                      <w14:lumOff w14:val="5000"/>
                    </w14:schemeClr>
                  </w14:solidFill>
                </w14:textFill>
              </w:rPr>
              <w:t>Aeq</w:t>
            </w:r>
          </w:p>
        </w:tc>
        <w:tc>
          <w:tcPr>
            <w:tcW w:w="870" w:type="pct"/>
            <w:vAlign w:val="center"/>
          </w:tcPr>
          <w:p w14:paraId="0411C0E2">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r>
      <w:tr w14:paraId="68601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9" w:type="pct"/>
            <w:vAlign w:val="center"/>
          </w:tcPr>
          <w:p w14:paraId="708894D7">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6</w:t>
            </w:r>
          </w:p>
        </w:tc>
        <w:tc>
          <w:tcPr>
            <w:tcW w:w="793" w:type="pct"/>
            <w:vAlign w:val="center"/>
          </w:tcPr>
          <w:p w14:paraId="42C2FB2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土壤</w:t>
            </w:r>
            <w:r>
              <w:rPr>
                <w:rFonts w:hint="eastAsia" w:cs="Times New Roman"/>
                <w:color w:val="0D0D0D" w:themeColor="text1" w:themeTint="F2"/>
                <w:sz w:val="21"/>
                <w14:textFill>
                  <w14:solidFill>
                    <w14:schemeClr w14:val="tx1">
                      <w14:lumMod w14:val="95000"/>
                      <w14:lumOff w14:val="5000"/>
                    </w14:schemeClr>
                  </w14:solidFill>
                </w14:textFill>
              </w:rPr>
              <w:t>环境</w:t>
            </w:r>
          </w:p>
        </w:tc>
        <w:tc>
          <w:tcPr>
            <w:tcW w:w="2144" w:type="pct"/>
            <w:vAlign w:val="center"/>
          </w:tcPr>
          <w:p w14:paraId="4D2B164F">
            <w:pPr>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pH值、镍、铬、铅、镉、汞、砷、铜、石油烃</w:t>
            </w:r>
          </w:p>
          <w:p w14:paraId="0903C58B">
            <w:pPr>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重金属：砷、镉、铬（六价）、铜、铅、汞、镍</w:t>
            </w:r>
          </w:p>
          <w:p w14:paraId="70BE2E19">
            <w:pPr>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挥发性有机物：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w:t>
            </w:r>
          </w:p>
          <w:p w14:paraId="4AFB75A9">
            <w:pPr>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半挥发性有机物：硝基苯、苯胺、2-氯酚、苯并[a]蒽、苯并[a]芘、苯并[b]荧蒽、苯并[k]荧蒽、䓛、二苯[a,h]蒽、茚并[1,2,3-cb]芘、萘</w:t>
            </w:r>
          </w:p>
        </w:tc>
        <w:tc>
          <w:tcPr>
            <w:tcW w:w="954" w:type="pct"/>
            <w:vAlign w:val="center"/>
          </w:tcPr>
          <w:p w14:paraId="2BDDA28C">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870" w:type="pct"/>
            <w:vAlign w:val="center"/>
          </w:tcPr>
          <w:p w14:paraId="70B199A4">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r>
      <w:tr w14:paraId="561E3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9" w:type="pct"/>
            <w:vAlign w:val="center"/>
          </w:tcPr>
          <w:p w14:paraId="4A93A337">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7</w:t>
            </w:r>
          </w:p>
        </w:tc>
        <w:tc>
          <w:tcPr>
            <w:tcW w:w="793" w:type="pct"/>
            <w:vAlign w:val="center"/>
          </w:tcPr>
          <w:p w14:paraId="1CE953FE">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生态环境</w:t>
            </w:r>
          </w:p>
        </w:tc>
        <w:tc>
          <w:tcPr>
            <w:tcW w:w="2144" w:type="pct"/>
            <w:vAlign w:val="center"/>
          </w:tcPr>
          <w:p w14:paraId="3E47F70A">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水土流失</w:t>
            </w:r>
            <w:r>
              <w:rPr>
                <w:rFonts w:hint="eastAsia" w:cs="Times New Roman"/>
                <w:color w:val="0D0D0D" w:themeColor="text1" w:themeTint="F2"/>
                <w:sz w:val="21"/>
                <w14:textFill>
                  <w14:solidFill>
                    <w14:schemeClr w14:val="tx1">
                      <w14:lumMod w14:val="95000"/>
                      <w14:lumOff w14:val="5000"/>
                    </w14:schemeClr>
                  </w14:solidFill>
                </w14:textFill>
              </w:rPr>
              <w:t>、</w:t>
            </w:r>
            <w:r>
              <w:rPr>
                <w:rFonts w:cs="Times New Roman"/>
                <w:color w:val="0D0D0D" w:themeColor="text1" w:themeTint="F2"/>
                <w:sz w:val="21"/>
                <w14:textFill>
                  <w14:solidFill>
                    <w14:schemeClr w14:val="tx1">
                      <w14:lumMod w14:val="95000"/>
                      <w14:lumOff w14:val="5000"/>
                    </w14:schemeClr>
                  </w14:solidFill>
                </w14:textFill>
              </w:rPr>
              <w:t>动植物</w:t>
            </w:r>
          </w:p>
        </w:tc>
        <w:tc>
          <w:tcPr>
            <w:tcW w:w="954" w:type="pct"/>
            <w:vAlign w:val="center"/>
          </w:tcPr>
          <w:p w14:paraId="69DD0436">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870" w:type="pct"/>
            <w:vAlign w:val="center"/>
          </w:tcPr>
          <w:p w14:paraId="5EF773B1">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r>
      <w:bookmarkEnd w:id="21"/>
    </w:tbl>
    <w:p w14:paraId="7C4376D8">
      <w:pPr>
        <w:pStyle w:val="2"/>
        <w:ind w:firstLine="24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14:paraId="1716627F">
      <w:pPr>
        <w:ind w:firstLine="480"/>
        <w:rPr>
          <w:rFonts w:cs="Times New Roman"/>
          <w:bCs/>
          <w:color w:val="0D0D0D" w:themeColor="text1" w:themeTint="F2"/>
          <w:szCs w:val="24"/>
          <w14:textFill>
            <w14:solidFill>
              <w14:schemeClr w14:val="tx1">
                <w14:lumMod w14:val="95000"/>
                <w14:lumOff w14:val="5000"/>
              </w14:schemeClr>
            </w14:solidFill>
          </w14:textFill>
        </w:rPr>
      </w:pPr>
      <w:r>
        <w:rPr>
          <w:rFonts w:hint="eastAsia" w:cs="Times New Roman"/>
          <w:bCs/>
          <w:color w:val="0D0D0D" w:themeColor="text1" w:themeTint="F2"/>
          <w:szCs w:val="24"/>
          <w14:textFill>
            <w14:solidFill>
              <w14:schemeClr w14:val="tx1">
                <w14:lumMod w14:val="95000"/>
                <w14:lumOff w14:val="5000"/>
              </w14:schemeClr>
            </w14:solidFill>
          </w14:textFill>
        </w:rPr>
        <w:t>项目生态影响评价因子筛选结果详</w:t>
      </w:r>
      <w:r>
        <w:rPr>
          <w:rFonts w:cs="Times New Roman"/>
          <w:bCs/>
          <w:color w:val="0D0D0D" w:themeColor="text1" w:themeTint="F2"/>
          <w:szCs w:val="24"/>
          <w14:textFill>
            <w14:solidFill>
              <w14:schemeClr w14:val="tx1">
                <w14:lumMod w14:val="95000"/>
                <w14:lumOff w14:val="5000"/>
              </w14:schemeClr>
            </w14:solidFill>
          </w14:textFill>
        </w:rPr>
        <w:t>见表</w:t>
      </w:r>
      <w:r>
        <w:rPr>
          <w:rFonts w:hint="eastAsia" w:cs="Times New Roman"/>
          <w:bCs/>
          <w:color w:val="0D0D0D" w:themeColor="text1" w:themeTint="F2"/>
          <w:szCs w:val="24"/>
          <w14:textFill>
            <w14:solidFill>
              <w14:schemeClr w14:val="tx1">
                <w14:lumMod w14:val="95000"/>
                <w14:lumOff w14:val="5000"/>
              </w14:schemeClr>
            </w14:solidFill>
          </w14:textFill>
        </w:rPr>
        <w:t>2.2-4</w:t>
      </w:r>
      <w:r>
        <w:rPr>
          <w:rFonts w:cs="Times New Roman"/>
          <w:bCs/>
          <w:color w:val="0D0D0D" w:themeColor="text1" w:themeTint="F2"/>
          <w:szCs w:val="24"/>
          <w14:textFill>
            <w14:solidFill>
              <w14:schemeClr w14:val="tx1">
                <w14:lumMod w14:val="95000"/>
                <w14:lumOff w14:val="5000"/>
              </w14:schemeClr>
            </w14:solidFill>
          </w14:textFill>
        </w:rPr>
        <w:t>。</w:t>
      </w:r>
    </w:p>
    <w:p w14:paraId="1BFC7C49">
      <w:pPr>
        <w:pStyle w:val="11"/>
      </w:pPr>
      <w:r>
        <w:rPr>
          <w:rFonts w:hint="eastAsia"/>
        </w:rPr>
        <w:t xml:space="preserve"> 生态影响评价因子筛选表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2036"/>
        <w:gridCol w:w="3487"/>
        <w:gridCol w:w="1599"/>
        <w:gridCol w:w="819"/>
      </w:tblGrid>
      <w:tr w14:paraId="45D35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04" w:type="pct"/>
            <w:vAlign w:val="center"/>
          </w:tcPr>
          <w:p w14:paraId="4DEC537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受影响对象</w:t>
            </w:r>
          </w:p>
        </w:tc>
        <w:tc>
          <w:tcPr>
            <w:tcW w:w="1101" w:type="pct"/>
            <w:vAlign w:val="center"/>
          </w:tcPr>
          <w:p w14:paraId="7E4A6C7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评价因子</w:t>
            </w:r>
          </w:p>
        </w:tc>
        <w:tc>
          <w:tcPr>
            <w:tcW w:w="1886" w:type="pct"/>
            <w:vAlign w:val="center"/>
          </w:tcPr>
          <w:p w14:paraId="0831186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工程内容及影响方式</w:t>
            </w:r>
          </w:p>
        </w:tc>
        <w:tc>
          <w:tcPr>
            <w:tcW w:w="865" w:type="pct"/>
            <w:vAlign w:val="center"/>
          </w:tcPr>
          <w:p w14:paraId="5E831B2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影响性质</w:t>
            </w:r>
          </w:p>
        </w:tc>
        <w:tc>
          <w:tcPr>
            <w:tcW w:w="443" w:type="pct"/>
            <w:vAlign w:val="center"/>
          </w:tcPr>
          <w:p w14:paraId="66B4EC1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影响程度</w:t>
            </w:r>
          </w:p>
        </w:tc>
      </w:tr>
      <w:tr w14:paraId="01F83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pct"/>
            <w:vMerge w:val="restart"/>
            <w:vAlign w:val="center"/>
          </w:tcPr>
          <w:p w14:paraId="588B6CB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物种</w:t>
            </w:r>
          </w:p>
        </w:tc>
        <w:tc>
          <w:tcPr>
            <w:tcW w:w="1101" w:type="pct"/>
            <w:vMerge w:val="restart"/>
            <w:vAlign w:val="center"/>
          </w:tcPr>
          <w:p w14:paraId="77D5CDBD">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分布范围、种群数量、种群结构、行为等</w:t>
            </w:r>
          </w:p>
        </w:tc>
        <w:tc>
          <w:tcPr>
            <w:tcW w:w="1886" w:type="pct"/>
            <w:vAlign w:val="center"/>
          </w:tcPr>
          <w:p w14:paraId="6042CD2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施工期施工活动直接生态影响</w:t>
            </w:r>
          </w:p>
        </w:tc>
        <w:tc>
          <w:tcPr>
            <w:tcW w:w="865" w:type="pct"/>
            <w:vAlign w:val="center"/>
          </w:tcPr>
          <w:p w14:paraId="7DC48CC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短期、可逆</w:t>
            </w:r>
          </w:p>
        </w:tc>
        <w:tc>
          <w:tcPr>
            <w:tcW w:w="443" w:type="pct"/>
            <w:vAlign w:val="center"/>
          </w:tcPr>
          <w:p w14:paraId="7858CE8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弱</w:t>
            </w:r>
          </w:p>
        </w:tc>
      </w:tr>
      <w:tr w14:paraId="49B5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pct"/>
            <w:vMerge w:val="continue"/>
            <w:vAlign w:val="center"/>
          </w:tcPr>
          <w:p w14:paraId="29B6B637">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101" w:type="pct"/>
            <w:vMerge w:val="continue"/>
            <w:vAlign w:val="center"/>
          </w:tcPr>
          <w:p w14:paraId="617921AA">
            <w:pPr>
              <w:spacing w:line="240" w:lineRule="auto"/>
              <w:rPr>
                <w:color w:val="0D0D0D" w:themeColor="text1" w:themeTint="F2"/>
                <w:sz w:val="21"/>
                <w:szCs w:val="21"/>
                <w14:textFill>
                  <w14:solidFill>
                    <w14:schemeClr w14:val="tx1">
                      <w14:lumMod w14:val="95000"/>
                      <w14:lumOff w14:val="5000"/>
                    </w14:schemeClr>
                  </w14:solidFill>
                </w14:textFill>
              </w:rPr>
            </w:pPr>
          </w:p>
        </w:tc>
        <w:tc>
          <w:tcPr>
            <w:tcW w:w="1886" w:type="pct"/>
            <w:vAlign w:val="center"/>
          </w:tcPr>
          <w:p w14:paraId="7F0D64C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运营期污染影响，间接生态影响</w:t>
            </w:r>
          </w:p>
        </w:tc>
        <w:tc>
          <w:tcPr>
            <w:tcW w:w="865" w:type="pct"/>
            <w:vAlign w:val="center"/>
          </w:tcPr>
          <w:p w14:paraId="3FDF0C7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长期、可逆</w:t>
            </w:r>
          </w:p>
        </w:tc>
        <w:tc>
          <w:tcPr>
            <w:tcW w:w="443" w:type="pct"/>
            <w:vAlign w:val="center"/>
          </w:tcPr>
          <w:p w14:paraId="6AEE0EA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弱</w:t>
            </w:r>
          </w:p>
        </w:tc>
      </w:tr>
      <w:tr w14:paraId="11E4F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pct"/>
            <w:vMerge w:val="restart"/>
            <w:vAlign w:val="center"/>
          </w:tcPr>
          <w:p w14:paraId="528962E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生境</w:t>
            </w:r>
          </w:p>
        </w:tc>
        <w:tc>
          <w:tcPr>
            <w:tcW w:w="1101" w:type="pct"/>
            <w:vMerge w:val="restart"/>
            <w:vAlign w:val="center"/>
          </w:tcPr>
          <w:p w14:paraId="7BA44C6C">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生境面积、质量、连通性等</w:t>
            </w:r>
          </w:p>
        </w:tc>
        <w:tc>
          <w:tcPr>
            <w:tcW w:w="1886" w:type="pct"/>
            <w:vAlign w:val="center"/>
          </w:tcPr>
          <w:p w14:paraId="6914CBE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施工期施工活动直接生态影响</w:t>
            </w:r>
          </w:p>
        </w:tc>
        <w:tc>
          <w:tcPr>
            <w:tcW w:w="865" w:type="pct"/>
            <w:vAlign w:val="center"/>
          </w:tcPr>
          <w:p w14:paraId="5DDE98A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长期、不可逆</w:t>
            </w:r>
          </w:p>
        </w:tc>
        <w:tc>
          <w:tcPr>
            <w:tcW w:w="443" w:type="pct"/>
            <w:vAlign w:val="center"/>
          </w:tcPr>
          <w:p w14:paraId="3F93530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弱</w:t>
            </w:r>
          </w:p>
        </w:tc>
      </w:tr>
      <w:tr w14:paraId="0766B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pct"/>
            <w:vMerge w:val="continue"/>
            <w:vAlign w:val="center"/>
          </w:tcPr>
          <w:p w14:paraId="1939D18E">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101" w:type="pct"/>
            <w:vMerge w:val="continue"/>
            <w:vAlign w:val="center"/>
          </w:tcPr>
          <w:p w14:paraId="5A28F480">
            <w:pPr>
              <w:spacing w:line="240" w:lineRule="auto"/>
              <w:rPr>
                <w:color w:val="0D0D0D" w:themeColor="text1" w:themeTint="F2"/>
                <w:sz w:val="21"/>
                <w:szCs w:val="21"/>
                <w14:textFill>
                  <w14:solidFill>
                    <w14:schemeClr w14:val="tx1">
                      <w14:lumMod w14:val="95000"/>
                      <w14:lumOff w14:val="5000"/>
                    </w14:schemeClr>
                  </w14:solidFill>
                </w14:textFill>
              </w:rPr>
            </w:pPr>
          </w:p>
        </w:tc>
        <w:tc>
          <w:tcPr>
            <w:tcW w:w="1886" w:type="pct"/>
            <w:vAlign w:val="center"/>
          </w:tcPr>
          <w:p w14:paraId="7038AA0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运营期污染影响，间接生态影响</w:t>
            </w:r>
          </w:p>
        </w:tc>
        <w:tc>
          <w:tcPr>
            <w:tcW w:w="865" w:type="pct"/>
            <w:vAlign w:val="center"/>
          </w:tcPr>
          <w:p w14:paraId="48DF3B4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长期、可逆</w:t>
            </w:r>
          </w:p>
        </w:tc>
        <w:tc>
          <w:tcPr>
            <w:tcW w:w="443" w:type="pct"/>
            <w:vAlign w:val="center"/>
          </w:tcPr>
          <w:p w14:paraId="36F245A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弱</w:t>
            </w:r>
          </w:p>
        </w:tc>
      </w:tr>
      <w:tr w14:paraId="5BB88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pct"/>
            <w:vMerge w:val="restart"/>
            <w:vAlign w:val="center"/>
          </w:tcPr>
          <w:p w14:paraId="7829752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生物群落</w:t>
            </w:r>
          </w:p>
        </w:tc>
        <w:tc>
          <w:tcPr>
            <w:tcW w:w="1101" w:type="pct"/>
            <w:vMerge w:val="restart"/>
            <w:vAlign w:val="center"/>
          </w:tcPr>
          <w:p w14:paraId="69814445">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物种组成、群落结构等</w:t>
            </w:r>
          </w:p>
        </w:tc>
        <w:tc>
          <w:tcPr>
            <w:tcW w:w="1886" w:type="pct"/>
            <w:vAlign w:val="center"/>
          </w:tcPr>
          <w:p w14:paraId="1F24EDE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施工期施工活动直接生态影响</w:t>
            </w:r>
          </w:p>
        </w:tc>
        <w:tc>
          <w:tcPr>
            <w:tcW w:w="865" w:type="pct"/>
            <w:vAlign w:val="center"/>
          </w:tcPr>
          <w:p w14:paraId="66C75A6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短期、可逆</w:t>
            </w:r>
          </w:p>
        </w:tc>
        <w:tc>
          <w:tcPr>
            <w:tcW w:w="443" w:type="pct"/>
            <w:vAlign w:val="center"/>
          </w:tcPr>
          <w:p w14:paraId="08E531E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弱</w:t>
            </w:r>
          </w:p>
        </w:tc>
      </w:tr>
      <w:tr w14:paraId="2D174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pct"/>
            <w:vMerge w:val="continue"/>
            <w:vAlign w:val="center"/>
          </w:tcPr>
          <w:p w14:paraId="460BB302">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101" w:type="pct"/>
            <w:vMerge w:val="continue"/>
            <w:vAlign w:val="center"/>
          </w:tcPr>
          <w:p w14:paraId="49DF1EBB">
            <w:pPr>
              <w:spacing w:line="240" w:lineRule="auto"/>
              <w:rPr>
                <w:color w:val="0D0D0D" w:themeColor="text1" w:themeTint="F2"/>
                <w:sz w:val="21"/>
                <w:szCs w:val="21"/>
                <w14:textFill>
                  <w14:solidFill>
                    <w14:schemeClr w14:val="tx1">
                      <w14:lumMod w14:val="95000"/>
                      <w14:lumOff w14:val="5000"/>
                    </w14:schemeClr>
                  </w14:solidFill>
                </w14:textFill>
              </w:rPr>
            </w:pPr>
          </w:p>
        </w:tc>
        <w:tc>
          <w:tcPr>
            <w:tcW w:w="1886" w:type="pct"/>
            <w:vAlign w:val="center"/>
          </w:tcPr>
          <w:p w14:paraId="0FAABEF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运营期污染影响，间接生态影响</w:t>
            </w:r>
          </w:p>
        </w:tc>
        <w:tc>
          <w:tcPr>
            <w:tcW w:w="865" w:type="pct"/>
            <w:vAlign w:val="center"/>
          </w:tcPr>
          <w:p w14:paraId="246C7A5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长期、可逆</w:t>
            </w:r>
          </w:p>
        </w:tc>
        <w:tc>
          <w:tcPr>
            <w:tcW w:w="443" w:type="pct"/>
            <w:vAlign w:val="center"/>
          </w:tcPr>
          <w:p w14:paraId="709F5F4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弱</w:t>
            </w:r>
          </w:p>
        </w:tc>
      </w:tr>
      <w:tr w14:paraId="561DA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pct"/>
            <w:vMerge w:val="restart"/>
            <w:vAlign w:val="center"/>
          </w:tcPr>
          <w:p w14:paraId="2D350A0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生态系统</w:t>
            </w:r>
          </w:p>
        </w:tc>
        <w:tc>
          <w:tcPr>
            <w:tcW w:w="1101" w:type="pct"/>
            <w:vMerge w:val="restart"/>
            <w:vAlign w:val="center"/>
          </w:tcPr>
          <w:p w14:paraId="66CD77A4">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植被覆盖度、生产力、生物量、生态系统功能等</w:t>
            </w:r>
          </w:p>
        </w:tc>
        <w:tc>
          <w:tcPr>
            <w:tcW w:w="1886" w:type="pct"/>
            <w:vAlign w:val="center"/>
          </w:tcPr>
          <w:p w14:paraId="7373C00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施工期施工活动直接生态影响</w:t>
            </w:r>
          </w:p>
        </w:tc>
        <w:tc>
          <w:tcPr>
            <w:tcW w:w="865" w:type="pct"/>
            <w:vAlign w:val="center"/>
          </w:tcPr>
          <w:p w14:paraId="3A9A59C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长期、不可逆</w:t>
            </w:r>
          </w:p>
        </w:tc>
        <w:tc>
          <w:tcPr>
            <w:tcW w:w="443" w:type="pct"/>
            <w:vAlign w:val="center"/>
          </w:tcPr>
          <w:p w14:paraId="4E74138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弱</w:t>
            </w:r>
          </w:p>
        </w:tc>
      </w:tr>
      <w:tr w14:paraId="5BEBC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pct"/>
            <w:vMerge w:val="continue"/>
            <w:vAlign w:val="center"/>
          </w:tcPr>
          <w:p w14:paraId="57F9E4A9">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101" w:type="pct"/>
            <w:vMerge w:val="continue"/>
            <w:vAlign w:val="center"/>
          </w:tcPr>
          <w:p w14:paraId="28C61F48">
            <w:pPr>
              <w:spacing w:line="240" w:lineRule="auto"/>
              <w:rPr>
                <w:color w:val="0D0D0D" w:themeColor="text1" w:themeTint="F2"/>
                <w:sz w:val="21"/>
                <w:szCs w:val="21"/>
                <w14:textFill>
                  <w14:solidFill>
                    <w14:schemeClr w14:val="tx1">
                      <w14:lumMod w14:val="95000"/>
                      <w14:lumOff w14:val="5000"/>
                    </w14:schemeClr>
                  </w14:solidFill>
                </w14:textFill>
              </w:rPr>
            </w:pPr>
          </w:p>
        </w:tc>
        <w:tc>
          <w:tcPr>
            <w:tcW w:w="1886" w:type="pct"/>
            <w:vAlign w:val="center"/>
          </w:tcPr>
          <w:p w14:paraId="53AAD89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运营期污染影响，间接生态影响</w:t>
            </w:r>
          </w:p>
        </w:tc>
        <w:tc>
          <w:tcPr>
            <w:tcW w:w="865" w:type="pct"/>
            <w:vAlign w:val="center"/>
          </w:tcPr>
          <w:p w14:paraId="5C44AF2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长期、可逆</w:t>
            </w:r>
          </w:p>
        </w:tc>
        <w:tc>
          <w:tcPr>
            <w:tcW w:w="443" w:type="pct"/>
            <w:vAlign w:val="center"/>
          </w:tcPr>
          <w:p w14:paraId="51FFC31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弱</w:t>
            </w:r>
          </w:p>
        </w:tc>
      </w:tr>
      <w:tr w14:paraId="14EB1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pct"/>
            <w:vMerge w:val="restart"/>
            <w:vAlign w:val="center"/>
          </w:tcPr>
          <w:p w14:paraId="37F350F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生物多样性</w:t>
            </w:r>
          </w:p>
        </w:tc>
        <w:tc>
          <w:tcPr>
            <w:tcW w:w="1101" w:type="pct"/>
            <w:vMerge w:val="restart"/>
            <w:vAlign w:val="center"/>
          </w:tcPr>
          <w:p w14:paraId="0C7723B3">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物种丰富度、均匀度、优势度等</w:t>
            </w:r>
          </w:p>
        </w:tc>
        <w:tc>
          <w:tcPr>
            <w:tcW w:w="1886" w:type="pct"/>
            <w:vAlign w:val="center"/>
          </w:tcPr>
          <w:p w14:paraId="51A1546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施工期施工活动直接生态影响</w:t>
            </w:r>
          </w:p>
        </w:tc>
        <w:tc>
          <w:tcPr>
            <w:tcW w:w="865" w:type="pct"/>
            <w:vAlign w:val="center"/>
          </w:tcPr>
          <w:p w14:paraId="3530E7F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短期、可逆</w:t>
            </w:r>
          </w:p>
        </w:tc>
        <w:tc>
          <w:tcPr>
            <w:tcW w:w="443" w:type="pct"/>
            <w:vAlign w:val="center"/>
          </w:tcPr>
          <w:p w14:paraId="303FA6B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弱</w:t>
            </w:r>
          </w:p>
        </w:tc>
      </w:tr>
      <w:tr w14:paraId="3B91C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pct"/>
            <w:vMerge w:val="continue"/>
            <w:vAlign w:val="center"/>
          </w:tcPr>
          <w:p w14:paraId="0FA9C82F">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101" w:type="pct"/>
            <w:vMerge w:val="continue"/>
            <w:vAlign w:val="center"/>
          </w:tcPr>
          <w:p w14:paraId="7F716BA4">
            <w:pPr>
              <w:spacing w:line="240" w:lineRule="auto"/>
              <w:rPr>
                <w:color w:val="0D0D0D" w:themeColor="text1" w:themeTint="F2"/>
                <w:sz w:val="21"/>
                <w:szCs w:val="21"/>
                <w14:textFill>
                  <w14:solidFill>
                    <w14:schemeClr w14:val="tx1">
                      <w14:lumMod w14:val="95000"/>
                      <w14:lumOff w14:val="5000"/>
                    </w14:schemeClr>
                  </w14:solidFill>
                </w14:textFill>
              </w:rPr>
            </w:pPr>
          </w:p>
        </w:tc>
        <w:tc>
          <w:tcPr>
            <w:tcW w:w="1886" w:type="pct"/>
            <w:vAlign w:val="center"/>
          </w:tcPr>
          <w:p w14:paraId="3D3B781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运营期污染影响，间接生态影响</w:t>
            </w:r>
          </w:p>
        </w:tc>
        <w:tc>
          <w:tcPr>
            <w:tcW w:w="865" w:type="pct"/>
            <w:vAlign w:val="center"/>
          </w:tcPr>
          <w:p w14:paraId="2D7B4B4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长期、可逆</w:t>
            </w:r>
          </w:p>
        </w:tc>
        <w:tc>
          <w:tcPr>
            <w:tcW w:w="443" w:type="pct"/>
            <w:vAlign w:val="center"/>
          </w:tcPr>
          <w:p w14:paraId="6E0471E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弱</w:t>
            </w:r>
          </w:p>
        </w:tc>
      </w:tr>
      <w:tr w14:paraId="2827D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pct"/>
            <w:vAlign w:val="center"/>
          </w:tcPr>
          <w:p w14:paraId="7510144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生态敏感区</w:t>
            </w:r>
          </w:p>
        </w:tc>
        <w:tc>
          <w:tcPr>
            <w:tcW w:w="1101" w:type="pct"/>
            <w:vAlign w:val="center"/>
          </w:tcPr>
          <w:p w14:paraId="04E606D7">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主要保护对象、生态功能等</w:t>
            </w:r>
          </w:p>
        </w:tc>
        <w:tc>
          <w:tcPr>
            <w:tcW w:w="1886" w:type="pct"/>
            <w:vAlign w:val="center"/>
          </w:tcPr>
          <w:p w14:paraId="07A1181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无</w:t>
            </w:r>
          </w:p>
        </w:tc>
        <w:tc>
          <w:tcPr>
            <w:tcW w:w="865" w:type="pct"/>
            <w:vAlign w:val="center"/>
          </w:tcPr>
          <w:p w14:paraId="4A25BD6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无</w:t>
            </w:r>
          </w:p>
        </w:tc>
        <w:tc>
          <w:tcPr>
            <w:tcW w:w="443" w:type="pct"/>
            <w:vAlign w:val="center"/>
          </w:tcPr>
          <w:p w14:paraId="24DF5E0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无</w:t>
            </w:r>
          </w:p>
        </w:tc>
      </w:tr>
      <w:tr w14:paraId="16BA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pct"/>
            <w:vMerge w:val="restart"/>
            <w:vAlign w:val="center"/>
          </w:tcPr>
          <w:p w14:paraId="1CC5C05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自然景观</w:t>
            </w:r>
          </w:p>
        </w:tc>
        <w:tc>
          <w:tcPr>
            <w:tcW w:w="1101" w:type="pct"/>
            <w:vMerge w:val="restart"/>
            <w:vAlign w:val="center"/>
          </w:tcPr>
          <w:p w14:paraId="69706E8B">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景观多样性、完整性等</w:t>
            </w:r>
          </w:p>
        </w:tc>
        <w:tc>
          <w:tcPr>
            <w:tcW w:w="1886" w:type="pct"/>
            <w:vAlign w:val="center"/>
          </w:tcPr>
          <w:p w14:paraId="194DB96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施工期施工活动直接生态影响</w:t>
            </w:r>
          </w:p>
        </w:tc>
        <w:tc>
          <w:tcPr>
            <w:tcW w:w="865" w:type="pct"/>
            <w:vAlign w:val="center"/>
          </w:tcPr>
          <w:p w14:paraId="55CE049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长期、不可逆</w:t>
            </w:r>
          </w:p>
        </w:tc>
        <w:tc>
          <w:tcPr>
            <w:tcW w:w="443" w:type="pct"/>
            <w:vAlign w:val="center"/>
          </w:tcPr>
          <w:p w14:paraId="5B924DA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弱</w:t>
            </w:r>
          </w:p>
        </w:tc>
      </w:tr>
      <w:tr w14:paraId="1B8D0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pct"/>
            <w:vMerge w:val="continue"/>
            <w:vAlign w:val="center"/>
          </w:tcPr>
          <w:p w14:paraId="0B1C582E">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101" w:type="pct"/>
            <w:vMerge w:val="continue"/>
            <w:vAlign w:val="center"/>
          </w:tcPr>
          <w:p w14:paraId="596F9BA6">
            <w:pPr>
              <w:spacing w:line="240" w:lineRule="auto"/>
              <w:rPr>
                <w:color w:val="0D0D0D" w:themeColor="text1" w:themeTint="F2"/>
                <w:sz w:val="21"/>
                <w:szCs w:val="21"/>
                <w14:textFill>
                  <w14:solidFill>
                    <w14:schemeClr w14:val="tx1">
                      <w14:lumMod w14:val="95000"/>
                      <w14:lumOff w14:val="5000"/>
                    </w14:schemeClr>
                  </w14:solidFill>
                </w14:textFill>
              </w:rPr>
            </w:pPr>
          </w:p>
        </w:tc>
        <w:tc>
          <w:tcPr>
            <w:tcW w:w="1886" w:type="pct"/>
            <w:vAlign w:val="center"/>
          </w:tcPr>
          <w:p w14:paraId="29B31F5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运营期污染影响，间接生态影响</w:t>
            </w:r>
          </w:p>
        </w:tc>
        <w:tc>
          <w:tcPr>
            <w:tcW w:w="865" w:type="pct"/>
            <w:vAlign w:val="center"/>
          </w:tcPr>
          <w:p w14:paraId="57C57BD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长期、可逆</w:t>
            </w:r>
          </w:p>
        </w:tc>
        <w:tc>
          <w:tcPr>
            <w:tcW w:w="443" w:type="pct"/>
            <w:vAlign w:val="center"/>
          </w:tcPr>
          <w:p w14:paraId="4E2C7B8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弱</w:t>
            </w:r>
          </w:p>
        </w:tc>
      </w:tr>
      <w:tr w14:paraId="541C1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pct"/>
            <w:vAlign w:val="center"/>
          </w:tcPr>
          <w:p w14:paraId="722D200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自然遗迹</w:t>
            </w:r>
          </w:p>
        </w:tc>
        <w:tc>
          <w:tcPr>
            <w:tcW w:w="1101" w:type="pct"/>
            <w:vAlign w:val="center"/>
          </w:tcPr>
          <w:p w14:paraId="4831D973">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遗迹多样性、完整性等</w:t>
            </w:r>
          </w:p>
        </w:tc>
        <w:tc>
          <w:tcPr>
            <w:tcW w:w="1886" w:type="pct"/>
            <w:vAlign w:val="center"/>
          </w:tcPr>
          <w:p w14:paraId="3B6FD9D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无</w:t>
            </w:r>
          </w:p>
        </w:tc>
        <w:tc>
          <w:tcPr>
            <w:tcW w:w="865" w:type="pct"/>
            <w:vAlign w:val="center"/>
          </w:tcPr>
          <w:p w14:paraId="4D049E0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无</w:t>
            </w:r>
          </w:p>
        </w:tc>
        <w:tc>
          <w:tcPr>
            <w:tcW w:w="443" w:type="pct"/>
            <w:vAlign w:val="center"/>
          </w:tcPr>
          <w:p w14:paraId="452FC16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无</w:t>
            </w:r>
          </w:p>
        </w:tc>
      </w:tr>
    </w:tbl>
    <w:p w14:paraId="2230F0C1">
      <w:pPr>
        <w:pStyle w:val="8"/>
      </w:pPr>
      <w:bookmarkStart w:id="22" w:name="_Toc204062533"/>
      <w:r>
        <w:rPr>
          <w:rFonts w:hint="eastAsia"/>
        </w:rPr>
        <w:t>环境功能区划</w:t>
      </w:r>
      <w:bookmarkEnd w:id="22"/>
    </w:p>
    <w:p w14:paraId="6488FF0F">
      <w:pPr>
        <w:pStyle w:val="9"/>
        <w:numPr>
          <w:ilvl w:val="2"/>
          <w:numId w:val="10"/>
        </w:numPr>
      </w:pPr>
      <w:bookmarkStart w:id="23" w:name="_Toc204062534"/>
      <w:r>
        <w:rPr>
          <w:rFonts w:hint="eastAsia"/>
        </w:rPr>
        <w:t>环境空气功能区划</w:t>
      </w:r>
      <w:bookmarkEnd w:id="23"/>
    </w:p>
    <w:p w14:paraId="3E3977E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根据《广西钦州石化产业园总体发展规划（2020-2035）环境影响报告书》（桂环函〔2021〕388号），项目所在区域属于《环境空气质量标准》（GB3095-2012）及其修改单中的</w:t>
      </w:r>
      <w:r>
        <w:rPr>
          <w:rFonts w:hint="eastAsia" w:cs="Times New Roman"/>
          <w:color w:val="0D0D0D" w:themeColor="text1" w:themeTint="F2"/>
          <w:szCs w:val="24"/>
          <w14:textFill>
            <w14:solidFill>
              <w14:schemeClr w14:val="tx1">
                <w14:lumMod w14:val="95000"/>
                <w14:lumOff w14:val="5000"/>
              </w14:schemeClr>
            </w14:solidFill>
          </w14:textFill>
        </w:rPr>
        <w:t>二类功能区</w:t>
      </w:r>
      <w:r>
        <w:rPr>
          <w:rFonts w:hint="eastAsia"/>
          <w:color w:val="0D0D0D" w:themeColor="text1" w:themeTint="F2"/>
          <w14:textFill>
            <w14:solidFill>
              <w14:schemeClr w14:val="tx1">
                <w14:lumMod w14:val="95000"/>
                <w14:lumOff w14:val="5000"/>
              </w14:schemeClr>
            </w14:solidFill>
          </w14:textFill>
        </w:rPr>
        <w:t>。</w:t>
      </w:r>
    </w:p>
    <w:p w14:paraId="3BFD5C4B">
      <w:pPr>
        <w:pStyle w:val="9"/>
        <w:numPr>
          <w:ilvl w:val="2"/>
          <w:numId w:val="10"/>
        </w:numPr>
      </w:pPr>
      <w:bookmarkStart w:id="24" w:name="_Toc204062535"/>
      <w:r>
        <w:rPr>
          <w:rFonts w:hint="eastAsia"/>
        </w:rPr>
        <w:t>地表水功能区划</w:t>
      </w:r>
      <w:bookmarkEnd w:id="24"/>
    </w:p>
    <w:p w14:paraId="365DBB8A">
      <w:pPr>
        <w:pStyle w:val="2"/>
        <w:spacing w:after="0"/>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项目周边主要地表水体为对坎龙水库，根据《钦州市水环境功能区划》，对坎龙水库一级水功能区为开发利用区，二级水功能区为饮用、农业用水区，水质目标为Ⅲ类。</w:t>
      </w:r>
    </w:p>
    <w:p w14:paraId="4D7A8D22">
      <w:pPr>
        <w:pStyle w:val="9"/>
      </w:pPr>
      <w:bookmarkStart w:id="25" w:name="_Toc204062536"/>
      <w:r>
        <w:rPr>
          <w:rFonts w:hint="eastAsia"/>
        </w:rPr>
        <w:t>近岸海域环境功能区划</w:t>
      </w:r>
      <w:bookmarkEnd w:id="25"/>
    </w:p>
    <w:p w14:paraId="33B7381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项目运营期废水最终纳入钦州胜科水务有限公司污水处理厂</w:t>
      </w:r>
      <w:bookmarkStart w:id="26" w:name="_Hlk195747652"/>
      <w:r>
        <w:rPr>
          <w:rFonts w:hint="eastAsia"/>
          <w:color w:val="0D0D0D" w:themeColor="text1" w:themeTint="F2"/>
          <w14:textFill>
            <w14:solidFill>
              <w14:schemeClr w14:val="tx1">
                <w14:lumMod w14:val="95000"/>
                <w14:lumOff w14:val="5000"/>
              </w14:schemeClr>
            </w14:solidFill>
          </w14:textFill>
        </w:rPr>
        <w:t>进一步处理后排入钦州港金鼓江排污混合区（GX056DⅣ）</w:t>
      </w:r>
      <w:bookmarkEnd w:id="26"/>
      <w:r>
        <w:rPr>
          <w:rFonts w:hint="eastAsia"/>
          <w:color w:val="0D0D0D" w:themeColor="text1" w:themeTint="F2"/>
          <w14:textFill>
            <w14:solidFill>
              <w14:schemeClr w14:val="tx1">
                <w14:lumMod w14:val="95000"/>
                <w14:lumOff w14:val="5000"/>
              </w14:schemeClr>
            </w14:solidFill>
          </w14:textFill>
        </w:rPr>
        <w:t>深海排放，根据《广西壮族自治区近岸海域环境功能区划调整方案》（桂环发〔2023〕9号），钦州港金鼓江排污混合区（GX056DⅣ）主导功能为港口、工业、生活排污用海，属四类环境功能区，水质保护目标为海水水质标准第四类。周围设0.5公里水质过渡带，水质保护目标为海水水质标准第三类。</w:t>
      </w:r>
    </w:p>
    <w:p w14:paraId="3BA46113">
      <w:pPr>
        <w:pStyle w:val="9"/>
      </w:pPr>
      <w:bookmarkStart w:id="27" w:name="_Toc204062537"/>
      <w:r>
        <w:rPr>
          <w:rFonts w:hint="eastAsia"/>
        </w:rPr>
        <w:t>海洋功能区划</w:t>
      </w:r>
      <w:bookmarkEnd w:id="27"/>
    </w:p>
    <w:p w14:paraId="24A29C0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根据《钦州市国土空间总体规划（2021-2035年）》，项目周边海域主导功能区详见表2.3-1。</w:t>
      </w:r>
    </w:p>
    <w:p w14:paraId="5096C342">
      <w:pPr>
        <w:pStyle w:val="11"/>
      </w:pPr>
      <w:r>
        <w:rPr>
          <w:rFonts w:hint="eastAsia"/>
        </w:rPr>
        <w:t xml:space="preserve"> 项目周边海域主导功能区一览表</w:t>
      </w:r>
    </w:p>
    <w:tbl>
      <w:tblPr>
        <w:tblStyle w:val="31"/>
        <w:tblW w:w="5082" w:type="pct"/>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1890"/>
        <w:gridCol w:w="7068"/>
      </w:tblGrid>
      <w:tr w14:paraId="4C8B2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Align w:val="center"/>
          </w:tcPr>
          <w:p w14:paraId="3FDCFDC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序号</w:t>
            </w:r>
          </w:p>
        </w:tc>
        <w:tc>
          <w:tcPr>
            <w:tcW w:w="4768" w:type="pct"/>
            <w:gridSpan w:val="2"/>
            <w:vAlign w:val="center"/>
          </w:tcPr>
          <w:p w14:paraId="5014E46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主导功能区名称</w:t>
            </w:r>
          </w:p>
        </w:tc>
      </w:tr>
      <w:tr w14:paraId="3D950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Align w:val="center"/>
          </w:tcPr>
          <w:p w14:paraId="122D24C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w:t>
            </w:r>
          </w:p>
        </w:tc>
        <w:tc>
          <w:tcPr>
            <w:tcW w:w="1006" w:type="pct"/>
            <w:vAlign w:val="center"/>
          </w:tcPr>
          <w:p w14:paraId="68E8F9D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海洋保护区</w:t>
            </w:r>
          </w:p>
        </w:tc>
        <w:tc>
          <w:tcPr>
            <w:tcW w:w="3762" w:type="pct"/>
            <w:vAlign w:val="center"/>
          </w:tcPr>
          <w:p w14:paraId="4CC50671">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茅尾海生态保护区、三娘湾生态保护区、广西近海生态保护区</w:t>
            </w:r>
          </w:p>
        </w:tc>
      </w:tr>
      <w:tr w14:paraId="24BD6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Align w:val="center"/>
          </w:tcPr>
          <w:p w14:paraId="1862C86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w:t>
            </w:r>
          </w:p>
        </w:tc>
        <w:tc>
          <w:tcPr>
            <w:tcW w:w="1006" w:type="pct"/>
            <w:vAlign w:val="center"/>
          </w:tcPr>
          <w:p w14:paraId="20AEA29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海洋生态控制区</w:t>
            </w:r>
          </w:p>
        </w:tc>
        <w:tc>
          <w:tcPr>
            <w:tcW w:w="3762" w:type="pct"/>
            <w:vAlign w:val="center"/>
          </w:tcPr>
          <w:p w14:paraId="66A00A70">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七十二泾生态控制区、三娘湾南部生态控制区、广西近海生态控制区</w:t>
            </w:r>
          </w:p>
        </w:tc>
      </w:tr>
      <w:tr w14:paraId="1D1C1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Align w:val="center"/>
          </w:tcPr>
          <w:p w14:paraId="10788CF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w:t>
            </w:r>
          </w:p>
        </w:tc>
        <w:tc>
          <w:tcPr>
            <w:tcW w:w="1006" w:type="pct"/>
            <w:vAlign w:val="center"/>
          </w:tcPr>
          <w:p w14:paraId="7BC57A2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交通运输用海区</w:t>
            </w:r>
          </w:p>
        </w:tc>
        <w:tc>
          <w:tcPr>
            <w:tcW w:w="3762" w:type="pct"/>
            <w:vAlign w:val="center"/>
          </w:tcPr>
          <w:p w14:paraId="61EB5B57">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龙门港交通运输用海区、钦州港交通运输用海区、金鼓江交通运输用海区</w:t>
            </w:r>
          </w:p>
        </w:tc>
      </w:tr>
      <w:tr w14:paraId="77FAD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Align w:val="center"/>
          </w:tcPr>
          <w:p w14:paraId="5972148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4</w:t>
            </w:r>
          </w:p>
        </w:tc>
        <w:tc>
          <w:tcPr>
            <w:tcW w:w="1006" w:type="pct"/>
            <w:vAlign w:val="center"/>
          </w:tcPr>
          <w:p w14:paraId="088BA73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渔业用海区</w:t>
            </w:r>
          </w:p>
        </w:tc>
        <w:tc>
          <w:tcPr>
            <w:tcW w:w="3762" w:type="pct"/>
            <w:vAlign w:val="center"/>
          </w:tcPr>
          <w:p w14:paraId="709AA6B8">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茅尾海东岸渔业用海区、茅尾海渔业用海区、钦州湾外湾渔业用海区、钦州湾渔业用海区</w:t>
            </w:r>
          </w:p>
        </w:tc>
      </w:tr>
      <w:tr w14:paraId="643A2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Align w:val="center"/>
          </w:tcPr>
          <w:p w14:paraId="6CB570D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w:t>
            </w:r>
          </w:p>
        </w:tc>
        <w:tc>
          <w:tcPr>
            <w:tcW w:w="1006" w:type="pct"/>
            <w:vAlign w:val="center"/>
          </w:tcPr>
          <w:p w14:paraId="07B67D9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工矿通信用海</w:t>
            </w:r>
          </w:p>
        </w:tc>
        <w:tc>
          <w:tcPr>
            <w:tcW w:w="3762" w:type="pct"/>
            <w:vAlign w:val="center"/>
          </w:tcPr>
          <w:p w14:paraId="7EFDA89A">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钦州临港产业区工矿通信用海区、钦州湾工矿通信用海区、广西南部工矿通信用海区</w:t>
            </w:r>
          </w:p>
        </w:tc>
      </w:tr>
      <w:tr w14:paraId="17B11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Align w:val="center"/>
          </w:tcPr>
          <w:p w14:paraId="4EB6FD2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6</w:t>
            </w:r>
          </w:p>
        </w:tc>
        <w:tc>
          <w:tcPr>
            <w:tcW w:w="1006" w:type="pct"/>
            <w:vAlign w:val="center"/>
          </w:tcPr>
          <w:p w14:paraId="5D1A8DA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游憩用海区</w:t>
            </w:r>
          </w:p>
        </w:tc>
        <w:tc>
          <w:tcPr>
            <w:tcW w:w="3762" w:type="pct"/>
            <w:vAlign w:val="center"/>
          </w:tcPr>
          <w:p w14:paraId="5EB9C46B">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三娘湾东部游憩用海区、鹿耳环游憩用海区、金鼓江北岸游憩用海区、茅尾海东岸游憩用海区、龙门港观音堂游憩用海区</w:t>
            </w:r>
          </w:p>
        </w:tc>
      </w:tr>
    </w:tbl>
    <w:p w14:paraId="52AF932B">
      <w:pPr>
        <w:pStyle w:val="9"/>
      </w:pPr>
      <w:bookmarkStart w:id="28" w:name="_Toc204062538"/>
      <w:r>
        <w:rPr>
          <w:rFonts w:hint="eastAsia"/>
        </w:rPr>
        <w:t>地下水环境功能区划</w:t>
      </w:r>
      <w:bookmarkEnd w:id="28"/>
    </w:p>
    <w:p w14:paraId="7C0796C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区域地下水尚未有相关的环境功能区划。根据《地下水质量标准》（GB/T14848-2017），地下水水质划分为五类：Ⅰ类主要反映地下水化学组分的天然低背景含量；Ⅱ主要反映地下水化学组分的天然背景含量；Ⅲ类以人体健康基准值为依据，主要适用于集中式生活饮用水水源及工、农业用水；Ⅳ类以农业和工业用水要求为依据；Ⅴ类水不宜饮用。项目区域地下水是以人体健康基准值为依据，主要用途为饮用、工业、农业用水，因此，项目区域地下水属于Ⅲ类功能区。</w:t>
      </w:r>
    </w:p>
    <w:p w14:paraId="21010768">
      <w:pPr>
        <w:pStyle w:val="9"/>
      </w:pPr>
      <w:bookmarkStart w:id="29" w:name="_Toc204062539"/>
      <w:r>
        <w:rPr>
          <w:rFonts w:hint="eastAsia"/>
        </w:rPr>
        <w:t>声环境功能区划</w:t>
      </w:r>
      <w:bookmarkEnd w:id="29"/>
    </w:p>
    <w:p w14:paraId="48ED172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钦州市人民政府办公室关于印发钦州市中心城区声环境功能区划的通知》（钦政办规〔2023〕11号）和《广西钦州石化产业园总体发展规划（2020-2035）环境影响报告书》（桂环函〔2021〕388号），项目所在区域属于3类声环境功能区。</w:t>
      </w:r>
    </w:p>
    <w:p w14:paraId="5397826E">
      <w:pPr>
        <w:pStyle w:val="9"/>
      </w:pPr>
      <w:bookmarkStart w:id="30" w:name="_Toc204062540"/>
      <w:r>
        <w:rPr>
          <w:rFonts w:hint="eastAsia"/>
        </w:rPr>
        <w:t>生态环境功能区划</w:t>
      </w:r>
      <w:bookmarkEnd w:id="30"/>
    </w:p>
    <w:p w14:paraId="1E08D6D2">
      <w:pPr>
        <w:ind w:firstLine="48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根据《广西壮族自治区人民政府办公厅关于印发广西壮族自治区生态功能区划的通知》（桂政办发〔2008〕8号），项目位于3-1-8钦州中心城市功能区。项目位于中国（广西）自由贸易试验区钦州港片区，用地类型为工业用地，不涉及自然保护区、风景名胜区等特殊生态敏感区和重要生态敏感区，属于一般生态功能区。</w:t>
      </w:r>
    </w:p>
    <w:p w14:paraId="1B45865E">
      <w:pPr>
        <w:ind w:firstLine="480"/>
        <w:rPr>
          <w:rFonts w:cs="Times New Roman"/>
          <w:color w:val="0D0D0D" w:themeColor="text1" w:themeTint="F2"/>
          <w:szCs w:val="24"/>
          <w14:textFill>
            <w14:solidFill>
              <w14:schemeClr w14:val="tx1">
                <w14:lumMod w14:val="95000"/>
                <w14:lumOff w14:val="5000"/>
              </w14:schemeClr>
            </w14:solidFill>
          </w14:textFill>
        </w:rPr>
      </w:pPr>
      <w:r>
        <w:rPr>
          <w:rFonts w:cs="Times New Roman"/>
          <w:color w:val="0D0D0D" w:themeColor="text1" w:themeTint="F2"/>
          <w:szCs w:val="24"/>
          <w14:textFill>
            <w14:solidFill>
              <w14:schemeClr w14:val="tx1">
                <w14:lumMod w14:val="95000"/>
                <w14:lumOff w14:val="5000"/>
              </w14:schemeClr>
            </w14:solidFill>
          </w14:textFill>
        </w:rPr>
        <w:t>项目</w:t>
      </w:r>
      <w:r>
        <w:rPr>
          <w:rFonts w:hint="eastAsia" w:cs="Times New Roman"/>
          <w:color w:val="0D0D0D" w:themeColor="text1" w:themeTint="F2"/>
          <w:szCs w:val="24"/>
          <w14:textFill>
            <w14:solidFill>
              <w14:schemeClr w14:val="tx1">
                <w14:lumMod w14:val="95000"/>
                <w14:lumOff w14:val="5000"/>
              </w14:schemeClr>
            </w14:solidFill>
          </w14:textFill>
        </w:rPr>
        <w:t>评价</w:t>
      </w:r>
      <w:r>
        <w:rPr>
          <w:rFonts w:cs="Times New Roman"/>
          <w:color w:val="0D0D0D" w:themeColor="text1" w:themeTint="F2"/>
          <w:szCs w:val="24"/>
          <w14:textFill>
            <w14:solidFill>
              <w14:schemeClr w14:val="tx1">
                <w14:lumMod w14:val="95000"/>
                <w14:lumOff w14:val="5000"/>
              </w14:schemeClr>
            </w14:solidFill>
          </w14:textFill>
        </w:rPr>
        <w:t>区域</w:t>
      </w:r>
      <w:r>
        <w:rPr>
          <w:rFonts w:hint="eastAsia" w:cs="Times New Roman"/>
          <w:color w:val="0D0D0D" w:themeColor="text1" w:themeTint="F2"/>
          <w:szCs w:val="24"/>
          <w14:textFill>
            <w14:solidFill>
              <w14:schemeClr w14:val="tx1">
                <w14:lumMod w14:val="95000"/>
                <w14:lumOff w14:val="5000"/>
              </w14:schemeClr>
            </w14:solidFill>
          </w14:textFill>
        </w:rPr>
        <w:t>环境</w:t>
      </w:r>
      <w:r>
        <w:rPr>
          <w:rFonts w:cs="Times New Roman"/>
          <w:color w:val="0D0D0D" w:themeColor="text1" w:themeTint="F2"/>
          <w:szCs w:val="24"/>
          <w14:textFill>
            <w14:solidFill>
              <w14:schemeClr w14:val="tx1">
                <w14:lumMod w14:val="95000"/>
                <w14:lumOff w14:val="5000"/>
              </w14:schemeClr>
            </w14:solidFill>
          </w14:textFill>
        </w:rPr>
        <w:t>功能属性</w:t>
      </w:r>
      <w:r>
        <w:rPr>
          <w:rFonts w:hint="eastAsia" w:cs="Times New Roman"/>
          <w:color w:val="0D0D0D" w:themeColor="text1" w:themeTint="F2"/>
          <w:szCs w:val="24"/>
          <w14:textFill>
            <w14:solidFill>
              <w14:schemeClr w14:val="tx1">
                <w14:lumMod w14:val="95000"/>
                <w14:lumOff w14:val="5000"/>
              </w14:schemeClr>
            </w14:solidFill>
          </w14:textFill>
        </w:rPr>
        <w:t>汇总详</w:t>
      </w:r>
      <w:r>
        <w:rPr>
          <w:rFonts w:cs="Times New Roman"/>
          <w:color w:val="0D0D0D" w:themeColor="text1" w:themeTint="F2"/>
          <w:szCs w:val="24"/>
          <w14:textFill>
            <w14:solidFill>
              <w14:schemeClr w14:val="tx1">
                <w14:lumMod w14:val="95000"/>
                <w14:lumOff w14:val="5000"/>
              </w14:schemeClr>
            </w14:solidFill>
          </w14:textFill>
        </w:rPr>
        <w:t>见表</w:t>
      </w:r>
      <w:r>
        <w:rPr>
          <w:rFonts w:hint="eastAsia" w:cs="Times New Roman"/>
          <w:color w:val="0D0D0D" w:themeColor="text1" w:themeTint="F2"/>
          <w:szCs w:val="24"/>
          <w14:textFill>
            <w14:solidFill>
              <w14:schemeClr w14:val="tx1">
                <w14:lumMod w14:val="95000"/>
                <w14:lumOff w14:val="5000"/>
              </w14:schemeClr>
            </w14:solidFill>
          </w14:textFill>
        </w:rPr>
        <w:t>2</w:t>
      </w:r>
      <w:r>
        <w:rPr>
          <w:rFonts w:cs="Times New Roman"/>
          <w:color w:val="0D0D0D" w:themeColor="text1" w:themeTint="F2"/>
          <w:szCs w:val="24"/>
          <w14:textFill>
            <w14:solidFill>
              <w14:schemeClr w14:val="tx1">
                <w14:lumMod w14:val="95000"/>
                <w14:lumOff w14:val="5000"/>
              </w14:schemeClr>
            </w14:solidFill>
          </w14:textFill>
        </w:rPr>
        <w:t>.3-</w:t>
      </w:r>
      <w:r>
        <w:rPr>
          <w:rFonts w:hint="eastAsia" w:cs="Times New Roman"/>
          <w:color w:val="0D0D0D" w:themeColor="text1" w:themeTint="F2"/>
          <w:szCs w:val="24"/>
          <w14:textFill>
            <w14:solidFill>
              <w14:schemeClr w14:val="tx1">
                <w14:lumMod w14:val="95000"/>
                <w14:lumOff w14:val="5000"/>
              </w14:schemeClr>
            </w14:solidFill>
          </w14:textFill>
        </w:rPr>
        <w:t>2</w:t>
      </w:r>
      <w:r>
        <w:rPr>
          <w:rFonts w:cs="Times New Roman"/>
          <w:color w:val="0D0D0D" w:themeColor="text1" w:themeTint="F2"/>
          <w:szCs w:val="24"/>
          <w14:textFill>
            <w14:solidFill>
              <w14:schemeClr w14:val="tx1">
                <w14:lumMod w14:val="95000"/>
                <w14:lumOff w14:val="5000"/>
              </w14:schemeClr>
            </w14:solidFill>
          </w14:textFill>
        </w:rPr>
        <w:t>。</w:t>
      </w:r>
    </w:p>
    <w:p w14:paraId="4E6EAB66">
      <w:pPr>
        <w:pStyle w:val="11"/>
        <w:rPr>
          <w:rFonts w:cs="Times New Roman"/>
          <w:szCs w:val="24"/>
        </w:rPr>
      </w:pPr>
      <w:r>
        <w:rPr>
          <w:rFonts w:hint="eastAsia"/>
        </w:rPr>
        <w:t xml:space="preserve"> 评价区域环境功能属性表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2704"/>
        <w:gridCol w:w="5867"/>
      </w:tblGrid>
      <w:tr w14:paraId="2BB47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63" w:type="pct"/>
            <w:vAlign w:val="center"/>
          </w:tcPr>
          <w:p w14:paraId="06B24CE9">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bookmarkStart w:id="31" w:name="_Hlk166949516"/>
            <w:r>
              <w:rPr>
                <w:rFonts w:hint="eastAsia" w:cs="Times New Roman"/>
                <w:color w:val="0D0D0D" w:themeColor="text1" w:themeTint="F2"/>
                <w:sz w:val="21"/>
                <w14:textFill>
                  <w14:solidFill>
                    <w14:schemeClr w14:val="tx1">
                      <w14:lumMod w14:val="95000"/>
                      <w14:lumOff w14:val="5000"/>
                    </w14:schemeClr>
                  </w14:solidFill>
                </w14:textFill>
              </w:rPr>
              <w:t>序</w:t>
            </w:r>
            <w:r>
              <w:rPr>
                <w:rFonts w:cs="Times New Roman"/>
                <w:color w:val="0D0D0D" w:themeColor="text1" w:themeTint="F2"/>
                <w:sz w:val="21"/>
                <w14:textFill>
                  <w14:solidFill>
                    <w14:schemeClr w14:val="tx1">
                      <w14:lumMod w14:val="95000"/>
                      <w14:lumOff w14:val="5000"/>
                    </w14:schemeClr>
                  </w14:solidFill>
                </w14:textFill>
              </w:rPr>
              <w:t>号</w:t>
            </w:r>
          </w:p>
        </w:tc>
        <w:tc>
          <w:tcPr>
            <w:tcW w:w="1463" w:type="pct"/>
            <w:vAlign w:val="center"/>
          </w:tcPr>
          <w:p w14:paraId="013D4CDB">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项目</w:t>
            </w:r>
          </w:p>
        </w:tc>
        <w:tc>
          <w:tcPr>
            <w:tcW w:w="3174" w:type="pct"/>
            <w:vAlign w:val="center"/>
          </w:tcPr>
          <w:p w14:paraId="27BA289B">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功能属性及执行标准</w:t>
            </w:r>
          </w:p>
        </w:tc>
      </w:tr>
      <w:tr w14:paraId="5CA9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63" w:type="pct"/>
            <w:vAlign w:val="center"/>
          </w:tcPr>
          <w:p w14:paraId="45DAF466">
            <w:pPr>
              <w:pStyle w:val="46"/>
              <w:numPr>
                <w:ilvl w:val="0"/>
                <w:numId w:val="11"/>
              </w:num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463" w:type="pct"/>
            <w:vAlign w:val="center"/>
          </w:tcPr>
          <w:p w14:paraId="7BDEC967">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环境空气质量功能区</w:t>
            </w:r>
          </w:p>
        </w:tc>
        <w:tc>
          <w:tcPr>
            <w:tcW w:w="3174" w:type="pct"/>
            <w:vAlign w:val="center"/>
          </w:tcPr>
          <w:p w14:paraId="2CE15C92">
            <w:pPr>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二类区，执行《环境空气质量标准》（GB3095-2012）及</w:t>
            </w:r>
            <w:r>
              <w:rPr>
                <w:rFonts w:hint="eastAsia" w:cs="Times New Roman"/>
                <w:color w:val="0D0D0D" w:themeColor="text1" w:themeTint="F2"/>
                <w:sz w:val="21"/>
                <w14:textFill>
                  <w14:solidFill>
                    <w14:schemeClr w14:val="tx1">
                      <w14:lumMod w14:val="95000"/>
                      <w14:lumOff w14:val="5000"/>
                    </w14:schemeClr>
                  </w14:solidFill>
                </w14:textFill>
              </w:rPr>
              <w:t>其</w:t>
            </w:r>
            <w:r>
              <w:rPr>
                <w:rFonts w:cs="Times New Roman"/>
                <w:color w:val="0D0D0D" w:themeColor="text1" w:themeTint="F2"/>
                <w:sz w:val="21"/>
                <w14:textFill>
                  <w14:solidFill>
                    <w14:schemeClr w14:val="tx1">
                      <w14:lumMod w14:val="95000"/>
                      <w14:lumOff w14:val="5000"/>
                    </w14:schemeClr>
                  </w14:solidFill>
                </w14:textFill>
              </w:rPr>
              <w:t>修改单二级标准</w:t>
            </w:r>
          </w:p>
        </w:tc>
      </w:tr>
      <w:tr w14:paraId="2F2F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63" w:type="pct"/>
            <w:vAlign w:val="center"/>
          </w:tcPr>
          <w:p w14:paraId="15A35792">
            <w:pPr>
              <w:pStyle w:val="46"/>
              <w:numPr>
                <w:ilvl w:val="0"/>
                <w:numId w:val="11"/>
              </w:num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463" w:type="pct"/>
            <w:vAlign w:val="center"/>
          </w:tcPr>
          <w:p w14:paraId="36634432">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地表水环境功能区</w:t>
            </w:r>
          </w:p>
        </w:tc>
        <w:tc>
          <w:tcPr>
            <w:tcW w:w="3174" w:type="pct"/>
            <w:vAlign w:val="center"/>
          </w:tcPr>
          <w:p w14:paraId="193C08EF">
            <w:pPr>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对坎龙水库为饮用、农业用水区，执行《地表水环境质量标准》（GB3838-2002）Ⅲ类水质标准</w:t>
            </w:r>
          </w:p>
        </w:tc>
      </w:tr>
      <w:tr w14:paraId="63D37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63" w:type="pct"/>
            <w:vAlign w:val="center"/>
          </w:tcPr>
          <w:p w14:paraId="5D4E798D">
            <w:pPr>
              <w:pStyle w:val="46"/>
              <w:numPr>
                <w:ilvl w:val="0"/>
                <w:numId w:val="11"/>
              </w:num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463" w:type="pct"/>
            <w:vAlign w:val="center"/>
          </w:tcPr>
          <w:p w14:paraId="2699FD67">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海</w:t>
            </w:r>
            <w:r>
              <w:rPr>
                <w:rFonts w:cs="Times New Roman"/>
                <w:color w:val="0D0D0D" w:themeColor="text1" w:themeTint="F2"/>
                <w:sz w:val="21"/>
                <w14:textFill>
                  <w14:solidFill>
                    <w14:schemeClr w14:val="tx1">
                      <w14:lumMod w14:val="95000"/>
                      <w14:lumOff w14:val="5000"/>
                    </w14:schemeClr>
                  </w14:solidFill>
                </w14:textFill>
              </w:rPr>
              <w:t>水环境功能区</w:t>
            </w:r>
          </w:p>
        </w:tc>
        <w:tc>
          <w:tcPr>
            <w:tcW w:w="3174" w:type="pct"/>
            <w:vAlign w:val="center"/>
          </w:tcPr>
          <w:p w14:paraId="7C9B1076">
            <w:pPr>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钦州港金鼓江排污混合区（GX056DⅣ），执行《海水水质标准》（GB3097-1997）第四类</w:t>
            </w:r>
          </w:p>
        </w:tc>
      </w:tr>
      <w:tr w14:paraId="13F26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63" w:type="pct"/>
            <w:vAlign w:val="center"/>
          </w:tcPr>
          <w:p w14:paraId="42FB3015">
            <w:pPr>
              <w:pStyle w:val="46"/>
              <w:numPr>
                <w:ilvl w:val="0"/>
                <w:numId w:val="11"/>
              </w:num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463" w:type="pct"/>
            <w:vAlign w:val="center"/>
          </w:tcPr>
          <w:p w14:paraId="39705B50">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声环境功能区</w:t>
            </w:r>
          </w:p>
        </w:tc>
        <w:tc>
          <w:tcPr>
            <w:tcW w:w="3174" w:type="pct"/>
            <w:vAlign w:val="center"/>
          </w:tcPr>
          <w:p w14:paraId="266BE30E">
            <w:pPr>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3类声环境功能区，执行《声环境质量标准》（GB3096-2008）3类标准</w:t>
            </w:r>
          </w:p>
        </w:tc>
      </w:tr>
      <w:tr w14:paraId="56E98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63" w:type="pct"/>
            <w:vAlign w:val="center"/>
          </w:tcPr>
          <w:p w14:paraId="552CE266">
            <w:pPr>
              <w:pStyle w:val="46"/>
              <w:numPr>
                <w:ilvl w:val="0"/>
                <w:numId w:val="11"/>
              </w:num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463" w:type="pct"/>
            <w:vAlign w:val="center"/>
          </w:tcPr>
          <w:p w14:paraId="35F64968">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是否涉及自然保护区</w:t>
            </w:r>
          </w:p>
        </w:tc>
        <w:tc>
          <w:tcPr>
            <w:tcW w:w="3174" w:type="pct"/>
            <w:vAlign w:val="center"/>
          </w:tcPr>
          <w:p w14:paraId="446AF944">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是（环境风险评价范围）</w:t>
            </w:r>
          </w:p>
        </w:tc>
      </w:tr>
      <w:tr w14:paraId="6BDB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63" w:type="pct"/>
            <w:vAlign w:val="center"/>
          </w:tcPr>
          <w:p w14:paraId="5716A5EF">
            <w:pPr>
              <w:pStyle w:val="46"/>
              <w:numPr>
                <w:ilvl w:val="0"/>
                <w:numId w:val="11"/>
              </w:num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463" w:type="pct"/>
            <w:vAlign w:val="center"/>
          </w:tcPr>
          <w:p w14:paraId="1AE8A748">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是否涉及水源保护区</w:t>
            </w:r>
          </w:p>
        </w:tc>
        <w:tc>
          <w:tcPr>
            <w:tcW w:w="3174" w:type="pct"/>
            <w:vAlign w:val="center"/>
          </w:tcPr>
          <w:p w14:paraId="6A662662">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否</w:t>
            </w:r>
          </w:p>
        </w:tc>
      </w:tr>
      <w:tr w14:paraId="162D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63" w:type="pct"/>
            <w:vAlign w:val="center"/>
          </w:tcPr>
          <w:p w14:paraId="5AA7A559">
            <w:pPr>
              <w:pStyle w:val="46"/>
              <w:numPr>
                <w:ilvl w:val="0"/>
                <w:numId w:val="11"/>
              </w:num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463" w:type="pct"/>
            <w:vAlign w:val="center"/>
          </w:tcPr>
          <w:p w14:paraId="6C7F30C1">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是否涉及基本农田保护区</w:t>
            </w:r>
          </w:p>
        </w:tc>
        <w:tc>
          <w:tcPr>
            <w:tcW w:w="3174" w:type="pct"/>
            <w:vAlign w:val="center"/>
          </w:tcPr>
          <w:p w14:paraId="667E4BC1">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否</w:t>
            </w:r>
          </w:p>
        </w:tc>
      </w:tr>
      <w:tr w14:paraId="692AD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63" w:type="pct"/>
            <w:vAlign w:val="center"/>
          </w:tcPr>
          <w:p w14:paraId="5BDE2B60">
            <w:pPr>
              <w:pStyle w:val="46"/>
              <w:numPr>
                <w:ilvl w:val="0"/>
                <w:numId w:val="11"/>
              </w:num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463" w:type="pct"/>
            <w:vAlign w:val="center"/>
          </w:tcPr>
          <w:p w14:paraId="7532E826">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是否涉及风景名胜区</w:t>
            </w:r>
          </w:p>
        </w:tc>
        <w:tc>
          <w:tcPr>
            <w:tcW w:w="3174" w:type="pct"/>
            <w:vAlign w:val="center"/>
          </w:tcPr>
          <w:p w14:paraId="3D00F7A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否</w:t>
            </w:r>
          </w:p>
        </w:tc>
      </w:tr>
      <w:tr w14:paraId="39D6C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63" w:type="pct"/>
            <w:vAlign w:val="center"/>
          </w:tcPr>
          <w:p w14:paraId="2B237FD6">
            <w:pPr>
              <w:pStyle w:val="46"/>
              <w:numPr>
                <w:ilvl w:val="0"/>
                <w:numId w:val="11"/>
              </w:num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463" w:type="pct"/>
            <w:vAlign w:val="center"/>
          </w:tcPr>
          <w:p w14:paraId="0BEBF75B">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是否重点文物保护单位</w:t>
            </w:r>
          </w:p>
        </w:tc>
        <w:tc>
          <w:tcPr>
            <w:tcW w:w="3174" w:type="pct"/>
            <w:vAlign w:val="center"/>
          </w:tcPr>
          <w:p w14:paraId="767D23E4">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否</w:t>
            </w:r>
          </w:p>
        </w:tc>
      </w:tr>
      <w:tr w14:paraId="6953E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63" w:type="pct"/>
            <w:vAlign w:val="center"/>
          </w:tcPr>
          <w:p w14:paraId="7F93CDB9">
            <w:pPr>
              <w:pStyle w:val="46"/>
              <w:numPr>
                <w:ilvl w:val="0"/>
                <w:numId w:val="11"/>
              </w:num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463" w:type="pct"/>
            <w:vAlign w:val="center"/>
          </w:tcPr>
          <w:p w14:paraId="64483CD3">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是否水库库区</w:t>
            </w:r>
          </w:p>
        </w:tc>
        <w:tc>
          <w:tcPr>
            <w:tcW w:w="3174" w:type="pct"/>
            <w:vAlign w:val="center"/>
          </w:tcPr>
          <w:p w14:paraId="425245FD">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否</w:t>
            </w:r>
          </w:p>
        </w:tc>
      </w:tr>
      <w:tr w14:paraId="61731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63" w:type="pct"/>
            <w:vAlign w:val="center"/>
          </w:tcPr>
          <w:p w14:paraId="527F9F9E">
            <w:pPr>
              <w:pStyle w:val="46"/>
              <w:numPr>
                <w:ilvl w:val="0"/>
                <w:numId w:val="11"/>
              </w:num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463" w:type="pct"/>
            <w:vAlign w:val="center"/>
          </w:tcPr>
          <w:p w14:paraId="051B461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是否污水处理厂集水范围</w:t>
            </w:r>
          </w:p>
        </w:tc>
        <w:tc>
          <w:tcPr>
            <w:tcW w:w="3174" w:type="pct"/>
            <w:vAlign w:val="center"/>
          </w:tcPr>
          <w:p w14:paraId="025DBEF3">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是</w:t>
            </w:r>
          </w:p>
        </w:tc>
      </w:tr>
      <w:tr w14:paraId="527B8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63" w:type="pct"/>
            <w:vAlign w:val="center"/>
          </w:tcPr>
          <w:p w14:paraId="18971BA5">
            <w:pPr>
              <w:pStyle w:val="46"/>
              <w:numPr>
                <w:ilvl w:val="0"/>
                <w:numId w:val="11"/>
              </w:num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463" w:type="pct"/>
            <w:vAlign w:val="center"/>
          </w:tcPr>
          <w:p w14:paraId="780C4734">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是否有其他重点保护目标</w:t>
            </w:r>
          </w:p>
        </w:tc>
        <w:tc>
          <w:tcPr>
            <w:tcW w:w="3174" w:type="pct"/>
            <w:vAlign w:val="center"/>
          </w:tcPr>
          <w:p w14:paraId="0A1493EC">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否</w:t>
            </w:r>
          </w:p>
        </w:tc>
      </w:tr>
      <w:bookmarkEnd w:id="31"/>
    </w:tbl>
    <w:p w14:paraId="6F09D698">
      <w:pPr>
        <w:pStyle w:val="8"/>
      </w:pPr>
      <w:bookmarkStart w:id="32" w:name="_Toc204062541"/>
      <w:r>
        <w:rPr>
          <w:rFonts w:hint="eastAsia"/>
        </w:rPr>
        <w:t>评价标准</w:t>
      </w:r>
      <w:bookmarkEnd w:id="32"/>
    </w:p>
    <w:p w14:paraId="55B61CA1">
      <w:pPr>
        <w:pStyle w:val="9"/>
        <w:numPr>
          <w:ilvl w:val="2"/>
          <w:numId w:val="12"/>
        </w:numPr>
      </w:pPr>
      <w:bookmarkStart w:id="33" w:name="_Toc204062542"/>
      <w:r>
        <w:rPr>
          <w:rFonts w:hint="eastAsia"/>
        </w:rPr>
        <w:t>环境质量标准</w:t>
      </w:r>
      <w:bookmarkEnd w:id="33"/>
    </w:p>
    <w:p w14:paraId="270F3FE9">
      <w:pPr>
        <w:ind w:firstLine="480"/>
        <w:rPr>
          <w:rFonts w:cs="Times New Roman"/>
          <w:b/>
          <w:bCs/>
          <w:color w:val="0D0D0D" w:themeColor="text1" w:themeTint="F2"/>
          <w:szCs w:val="24"/>
          <w14:textFill>
            <w14:solidFill>
              <w14:schemeClr w14:val="tx1">
                <w14:lumMod w14:val="95000"/>
                <w14:lumOff w14:val="5000"/>
              </w14:schemeClr>
            </w14:solidFill>
          </w14:textFill>
        </w:rPr>
      </w:pPr>
      <w:bookmarkStart w:id="34" w:name="_Hlk166949538"/>
      <w:r>
        <w:rPr>
          <w:rFonts w:hint="eastAsia" w:cs="Times New Roman"/>
          <w:b/>
          <w:bCs/>
          <w:color w:val="0D0D0D" w:themeColor="text1" w:themeTint="F2"/>
          <w:szCs w:val="24"/>
          <w14:textFill>
            <w14:solidFill>
              <w14:schemeClr w14:val="tx1">
                <w14:lumMod w14:val="95000"/>
                <w14:lumOff w14:val="5000"/>
              </w14:schemeClr>
            </w14:solidFill>
          </w14:textFill>
        </w:rPr>
        <w:t>（1）环境空气</w:t>
      </w:r>
    </w:p>
    <w:p w14:paraId="1E3E262A">
      <w:pPr>
        <w:ind w:firstLine="48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u w:val="single"/>
          <w14:textFill>
            <w14:solidFill>
              <w14:schemeClr w14:val="tx1">
                <w14:lumMod w14:val="95000"/>
                <w14:lumOff w14:val="5000"/>
              </w14:schemeClr>
            </w14:solidFill>
          </w14:textFill>
        </w:rPr>
        <w:t>项目区域环境空气污染物SO</w:t>
      </w:r>
      <w:r>
        <w:rPr>
          <w:rFonts w:hint="eastAsia" w:cs="Times New Roman"/>
          <w:color w:val="0D0D0D" w:themeColor="text1" w:themeTint="F2"/>
          <w:szCs w:val="24"/>
          <w:u w:val="single"/>
          <w:vertAlign w:val="subscript"/>
          <w14:textFill>
            <w14:solidFill>
              <w14:schemeClr w14:val="tx1">
                <w14:lumMod w14:val="95000"/>
                <w14:lumOff w14:val="5000"/>
              </w14:schemeClr>
            </w14:solidFill>
          </w14:textFill>
        </w:rPr>
        <w:t>2</w:t>
      </w:r>
      <w:r>
        <w:rPr>
          <w:rFonts w:hint="eastAsia" w:cs="Times New Roman"/>
          <w:color w:val="0D0D0D" w:themeColor="text1" w:themeTint="F2"/>
          <w:szCs w:val="24"/>
          <w:u w:val="single"/>
          <w14:textFill>
            <w14:solidFill>
              <w14:schemeClr w14:val="tx1">
                <w14:lumMod w14:val="95000"/>
                <w14:lumOff w14:val="5000"/>
              </w14:schemeClr>
            </w14:solidFill>
          </w14:textFill>
        </w:rPr>
        <w:t>、NO</w:t>
      </w:r>
      <w:r>
        <w:rPr>
          <w:rFonts w:hint="eastAsia" w:cs="Times New Roman"/>
          <w:color w:val="0D0D0D" w:themeColor="text1" w:themeTint="F2"/>
          <w:szCs w:val="24"/>
          <w:u w:val="single"/>
          <w:vertAlign w:val="subscript"/>
          <w14:textFill>
            <w14:solidFill>
              <w14:schemeClr w14:val="tx1">
                <w14:lumMod w14:val="95000"/>
                <w14:lumOff w14:val="5000"/>
              </w14:schemeClr>
            </w14:solidFill>
          </w14:textFill>
        </w:rPr>
        <w:t>2</w:t>
      </w:r>
      <w:r>
        <w:rPr>
          <w:rFonts w:hint="eastAsia" w:cs="Times New Roman"/>
          <w:color w:val="0D0D0D" w:themeColor="text1" w:themeTint="F2"/>
          <w:szCs w:val="24"/>
          <w:u w:val="single"/>
          <w14:textFill>
            <w14:solidFill>
              <w14:schemeClr w14:val="tx1">
                <w14:lumMod w14:val="95000"/>
                <w14:lumOff w14:val="5000"/>
              </w14:schemeClr>
            </w14:solidFill>
          </w14:textFill>
        </w:rPr>
        <w:t>、PM</w:t>
      </w:r>
      <w:r>
        <w:rPr>
          <w:rFonts w:hint="eastAsia" w:cs="Times New Roman"/>
          <w:color w:val="0D0D0D" w:themeColor="text1" w:themeTint="F2"/>
          <w:szCs w:val="24"/>
          <w:u w:val="single"/>
          <w:vertAlign w:val="subscript"/>
          <w14:textFill>
            <w14:solidFill>
              <w14:schemeClr w14:val="tx1">
                <w14:lumMod w14:val="95000"/>
                <w14:lumOff w14:val="5000"/>
              </w14:schemeClr>
            </w14:solidFill>
          </w14:textFill>
        </w:rPr>
        <w:t>10</w:t>
      </w:r>
      <w:r>
        <w:rPr>
          <w:rFonts w:hint="eastAsia" w:cs="Times New Roman"/>
          <w:color w:val="0D0D0D" w:themeColor="text1" w:themeTint="F2"/>
          <w:szCs w:val="24"/>
          <w:u w:val="single"/>
          <w14:textFill>
            <w14:solidFill>
              <w14:schemeClr w14:val="tx1">
                <w14:lumMod w14:val="95000"/>
                <w14:lumOff w14:val="5000"/>
              </w14:schemeClr>
            </w14:solidFill>
          </w14:textFill>
        </w:rPr>
        <w:t>、PM</w:t>
      </w:r>
      <w:r>
        <w:rPr>
          <w:rFonts w:hint="eastAsia" w:cs="Times New Roman"/>
          <w:color w:val="0D0D0D" w:themeColor="text1" w:themeTint="F2"/>
          <w:szCs w:val="24"/>
          <w:u w:val="single"/>
          <w:vertAlign w:val="subscript"/>
          <w14:textFill>
            <w14:solidFill>
              <w14:schemeClr w14:val="tx1">
                <w14:lumMod w14:val="95000"/>
                <w14:lumOff w14:val="5000"/>
              </w14:schemeClr>
            </w14:solidFill>
          </w14:textFill>
        </w:rPr>
        <w:t>2.5</w:t>
      </w:r>
      <w:r>
        <w:rPr>
          <w:rFonts w:hint="eastAsia" w:cs="Times New Roman"/>
          <w:color w:val="0D0D0D" w:themeColor="text1" w:themeTint="F2"/>
          <w:szCs w:val="24"/>
          <w:u w:val="single"/>
          <w14:textFill>
            <w14:solidFill>
              <w14:schemeClr w14:val="tx1">
                <w14:lumMod w14:val="95000"/>
                <w14:lumOff w14:val="5000"/>
              </w14:schemeClr>
            </w14:solidFill>
          </w14:textFill>
        </w:rPr>
        <w:t>、CO、O</w:t>
      </w:r>
      <w:r>
        <w:rPr>
          <w:rFonts w:hint="eastAsia" w:cs="Times New Roman"/>
          <w:color w:val="0D0D0D" w:themeColor="text1" w:themeTint="F2"/>
          <w:szCs w:val="24"/>
          <w:u w:val="single"/>
          <w:vertAlign w:val="subscript"/>
          <w14:textFill>
            <w14:solidFill>
              <w14:schemeClr w14:val="tx1">
                <w14:lumMod w14:val="95000"/>
                <w14:lumOff w14:val="5000"/>
              </w14:schemeClr>
            </w14:solidFill>
          </w14:textFill>
        </w:rPr>
        <w:t>3</w:t>
      </w:r>
      <w:r>
        <w:rPr>
          <w:rFonts w:hint="eastAsia" w:cs="Times New Roman"/>
          <w:color w:val="0D0D0D" w:themeColor="text1" w:themeTint="F2"/>
          <w:szCs w:val="24"/>
          <w:u w:val="single"/>
          <w14:textFill>
            <w14:solidFill>
              <w14:schemeClr w14:val="tx1">
                <w14:lumMod w14:val="95000"/>
                <w14:lumOff w14:val="5000"/>
              </w14:schemeClr>
            </w14:solidFill>
          </w14:textFill>
        </w:rPr>
        <w:t>、TSP执行</w:t>
      </w:r>
      <w:r>
        <w:rPr>
          <w:rFonts w:cs="Times New Roman"/>
          <w:color w:val="0D0D0D" w:themeColor="text1" w:themeTint="F2"/>
          <w:szCs w:val="24"/>
          <w:u w:val="single"/>
          <w14:textFill>
            <w14:solidFill>
              <w14:schemeClr w14:val="tx1">
                <w14:lumMod w14:val="95000"/>
                <w14:lumOff w14:val="5000"/>
              </w14:schemeClr>
            </w14:solidFill>
          </w14:textFill>
        </w:rPr>
        <w:t>《环境空气质量标准》（GB3095-2012）及</w:t>
      </w:r>
      <w:r>
        <w:rPr>
          <w:rFonts w:hint="eastAsia" w:cs="Times New Roman"/>
          <w:color w:val="0D0D0D" w:themeColor="text1" w:themeTint="F2"/>
          <w:szCs w:val="24"/>
          <w:u w:val="single"/>
          <w14:textFill>
            <w14:solidFill>
              <w14:schemeClr w14:val="tx1">
                <w14:lumMod w14:val="95000"/>
                <w14:lumOff w14:val="5000"/>
              </w14:schemeClr>
            </w14:solidFill>
          </w14:textFill>
        </w:rPr>
        <w:t>其</w:t>
      </w:r>
      <w:r>
        <w:rPr>
          <w:rFonts w:cs="Times New Roman"/>
          <w:color w:val="0D0D0D" w:themeColor="text1" w:themeTint="F2"/>
          <w:szCs w:val="24"/>
          <w:u w:val="single"/>
          <w14:textFill>
            <w14:solidFill>
              <w14:schemeClr w14:val="tx1">
                <w14:lumMod w14:val="95000"/>
                <w14:lumOff w14:val="5000"/>
              </w14:schemeClr>
            </w14:solidFill>
          </w14:textFill>
        </w:rPr>
        <w:t>修改单二级标准；</w:t>
      </w:r>
      <w:r>
        <w:rPr>
          <w:rFonts w:cs="Times New Roman"/>
          <w:color w:val="0D0D0D" w:themeColor="text1" w:themeTint="F2"/>
          <w:szCs w:val="24"/>
          <w14:textFill>
            <w14:solidFill>
              <w14:schemeClr w14:val="tx1">
                <w14:lumMod w14:val="95000"/>
                <w14:lumOff w14:val="5000"/>
              </w14:schemeClr>
            </w14:solidFill>
          </w14:textFill>
        </w:rPr>
        <w:t>NH</w:t>
      </w:r>
      <w:r>
        <w:rPr>
          <w:rFonts w:cs="Times New Roman"/>
          <w:color w:val="0D0D0D" w:themeColor="text1" w:themeTint="F2"/>
          <w:szCs w:val="24"/>
          <w:vertAlign w:val="subscript"/>
          <w14:textFill>
            <w14:solidFill>
              <w14:schemeClr w14:val="tx1">
                <w14:lumMod w14:val="95000"/>
                <w14:lumOff w14:val="5000"/>
              </w14:schemeClr>
            </w14:solidFill>
          </w14:textFill>
        </w:rPr>
        <w:t>3</w:t>
      </w:r>
      <w:r>
        <w:rPr>
          <w:rFonts w:hint="eastAsia" w:cs="Times New Roman"/>
          <w:color w:val="0D0D0D" w:themeColor="text1" w:themeTint="F2"/>
          <w:szCs w:val="24"/>
          <w14:textFill>
            <w14:solidFill>
              <w14:schemeClr w14:val="tx1">
                <w14:lumMod w14:val="95000"/>
                <w14:lumOff w14:val="5000"/>
              </w14:schemeClr>
            </w14:solidFill>
          </w14:textFill>
        </w:rPr>
        <w:t>、</w:t>
      </w:r>
      <w:r>
        <w:rPr>
          <w:rFonts w:cs="Times New Roman"/>
          <w:color w:val="0D0D0D" w:themeColor="text1" w:themeTint="F2"/>
          <w:szCs w:val="24"/>
          <w14:textFill>
            <w14:solidFill>
              <w14:schemeClr w14:val="tx1">
                <w14:lumMod w14:val="95000"/>
                <w14:lumOff w14:val="5000"/>
              </w14:schemeClr>
            </w14:solidFill>
          </w14:textFill>
        </w:rPr>
        <w:t>H</w:t>
      </w:r>
      <w:r>
        <w:rPr>
          <w:rFonts w:cs="Times New Roman"/>
          <w:color w:val="0D0D0D" w:themeColor="text1" w:themeTint="F2"/>
          <w:szCs w:val="24"/>
          <w:vertAlign w:val="subscript"/>
          <w14:textFill>
            <w14:solidFill>
              <w14:schemeClr w14:val="tx1">
                <w14:lumMod w14:val="95000"/>
                <w14:lumOff w14:val="5000"/>
              </w14:schemeClr>
            </w14:solidFill>
          </w14:textFill>
        </w:rPr>
        <w:t>2</w:t>
      </w:r>
      <w:r>
        <w:rPr>
          <w:rFonts w:cs="Times New Roman"/>
          <w:color w:val="0D0D0D" w:themeColor="text1" w:themeTint="F2"/>
          <w:szCs w:val="24"/>
          <w14:textFill>
            <w14:solidFill>
              <w14:schemeClr w14:val="tx1">
                <w14:lumMod w14:val="95000"/>
                <w14:lumOff w14:val="5000"/>
              </w14:schemeClr>
            </w14:solidFill>
          </w14:textFill>
        </w:rPr>
        <w:t>S</w:t>
      </w:r>
      <w:r>
        <w:rPr>
          <w:rFonts w:hint="eastAsia" w:cs="Times New Roman"/>
          <w:color w:val="0D0D0D" w:themeColor="text1" w:themeTint="F2"/>
          <w:szCs w:val="24"/>
          <w14:textFill>
            <w14:solidFill>
              <w14:schemeClr w14:val="tx1">
                <w14:lumMod w14:val="95000"/>
                <w14:lumOff w14:val="5000"/>
              </w14:schemeClr>
            </w14:solidFill>
          </w14:textFill>
        </w:rPr>
        <w:t>、甲醇、TVOC</w:t>
      </w:r>
      <w:r>
        <w:rPr>
          <w:rFonts w:cs="Times New Roman"/>
          <w:color w:val="0D0D0D" w:themeColor="text1" w:themeTint="F2"/>
          <w:szCs w:val="24"/>
          <w14:textFill>
            <w14:solidFill>
              <w14:schemeClr w14:val="tx1">
                <w14:lumMod w14:val="95000"/>
                <w14:lumOff w14:val="5000"/>
              </w14:schemeClr>
            </w14:solidFill>
          </w14:textFill>
        </w:rPr>
        <w:t xml:space="preserve">执行《环境影响评价技术导则 </w:t>
      </w:r>
      <w:r>
        <w:rPr>
          <w:rFonts w:hint="eastAsia" w:cs="Times New Roman"/>
          <w:color w:val="0D0D0D" w:themeColor="text1" w:themeTint="F2"/>
          <w:szCs w:val="24"/>
          <w14:textFill>
            <w14:solidFill>
              <w14:schemeClr w14:val="tx1">
                <w14:lumMod w14:val="95000"/>
                <w14:lumOff w14:val="5000"/>
              </w14:schemeClr>
            </w14:solidFill>
          </w14:textFill>
        </w:rPr>
        <w:t xml:space="preserve"> </w:t>
      </w:r>
      <w:r>
        <w:rPr>
          <w:rFonts w:cs="Times New Roman"/>
          <w:color w:val="0D0D0D" w:themeColor="text1" w:themeTint="F2"/>
          <w:szCs w:val="24"/>
          <w14:textFill>
            <w14:solidFill>
              <w14:schemeClr w14:val="tx1">
                <w14:lumMod w14:val="95000"/>
                <w14:lumOff w14:val="5000"/>
              </w14:schemeClr>
            </w14:solidFill>
          </w14:textFill>
        </w:rPr>
        <w:t>大气环境》（HJ2.2-2018）</w:t>
      </w:r>
      <w:r>
        <w:rPr>
          <w:rFonts w:hint="eastAsia" w:cs="Times New Roman"/>
          <w:color w:val="0D0D0D" w:themeColor="text1" w:themeTint="F2"/>
          <w:szCs w:val="24"/>
          <w14:textFill>
            <w14:solidFill>
              <w14:schemeClr w14:val="tx1">
                <w14:lumMod w14:val="95000"/>
                <w14:lumOff w14:val="5000"/>
              </w14:schemeClr>
            </w14:solidFill>
          </w14:textFill>
        </w:rPr>
        <w:t>附录D其他污染物空气质量浓度参考限值；</w:t>
      </w:r>
      <w:bookmarkEnd w:id="34"/>
      <w:r>
        <w:rPr>
          <w:rFonts w:hint="eastAsia" w:cs="Times New Roman"/>
          <w:color w:val="0D0D0D" w:themeColor="text1" w:themeTint="F2"/>
          <w:szCs w:val="24"/>
          <w14:textFill>
            <w14:solidFill>
              <w14:schemeClr w14:val="tx1">
                <w14:lumMod w14:val="95000"/>
                <w14:lumOff w14:val="5000"/>
              </w14:schemeClr>
            </w14:solidFill>
          </w14:textFill>
        </w:rPr>
        <w:t>非甲烷总烃参照</w:t>
      </w:r>
      <w:bookmarkStart w:id="35" w:name="_Hlk191456138"/>
      <w:r>
        <w:rPr>
          <w:rFonts w:hint="eastAsia" w:cs="Times New Roman"/>
          <w:color w:val="0D0D0D" w:themeColor="text1" w:themeTint="F2"/>
          <w:szCs w:val="24"/>
          <w14:textFill>
            <w14:solidFill>
              <w14:schemeClr w14:val="tx1">
                <w14:lumMod w14:val="95000"/>
                <w14:lumOff w14:val="5000"/>
              </w14:schemeClr>
            </w14:solidFill>
          </w14:textFill>
        </w:rPr>
        <w:t>执行《大气污染物综合排放标准详解》</w:t>
      </w:r>
      <w:bookmarkEnd w:id="35"/>
      <w:r>
        <w:rPr>
          <w:rFonts w:hint="eastAsia" w:cs="Times New Roman"/>
          <w:color w:val="0D0D0D" w:themeColor="text1" w:themeTint="F2"/>
          <w:szCs w:val="24"/>
          <w14:textFill>
            <w14:solidFill>
              <w14:schemeClr w14:val="tx1">
                <w14:lumMod w14:val="95000"/>
                <w14:lumOff w14:val="5000"/>
              </w14:schemeClr>
            </w14:solidFill>
          </w14:textFill>
        </w:rPr>
        <w:t>标准限值；臭气浓度无环境质量标准，留作背景值；详</w:t>
      </w:r>
      <w:r>
        <w:rPr>
          <w:rFonts w:cs="Times New Roman"/>
          <w:color w:val="0D0D0D" w:themeColor="text1" w:themeTint="F2"/>
          <w:szCs w:val="24"/>
          <w14:textFill>
            <w14:solidFill>
              <w14:schemeClr w14:val="tx1">
                <w14:lumMod w14:val="95000"/>
                <w14:lumOff w14:val="5000"/>
              </w14:schemeClr>
            </w14:solidFill>
          </w14:textFill>
        </w:rPr>
        <w:t>见表</w:t>
      </w:r>
      <w:r>
        <w:rPr>
          <w:rFonts w:hint="eastAsia" w:cs="Times New Roman"/>
          <w:color w:val="0D0D0D" w:themeColor="text1" w:themeTint="F2"/>
          <w:szCs w:val="24"/>
          <w14:textFill>
            <w14:solidFill>
              <w14:schemeClr w14:val="tx1">
                <w14:lumMod w14:val="95000"/>
                <w14:lumOff w14:val="5000"/>
              </w14:schemeClr>
            </w14:solidFill>
          </w14:textFill>
        </w:rPr>
        <w:t>2</w:t>
      </w:r>
      <w:r>
        <w:rPr>
          <w:rFonts w:cs="Times New Roman"/>
          <w:color w:val="0D0D0D" w:themeColor="text1" w:themeTint="F2"/>
          <w:szCs w:val="24"/>
          <w14:textFill>
            <w14:solidFill>
              <w14:schemeClr w14:val="tx1">
                <w14:lumMod w14:val="95000"/>
                <w14:lumOff w14:val="5000"/>
              </w14:schemeClr>
            </w14:solidFill>
          </w14:textFill>
        </w:rPr>
        <w:t>.4-1</w:t>
      </w:r>
      <w:r>
        <w:rPr>
          <w:rFonts w:hint="eastAsia" w:cs="Times New Roman"/>
          <w:color w:val="0D0D0D" w:themeColor="text1" w:themeTint="F2"/>
          <w:szCs w:val="24"/>
          <w14:textFill>
            <w14:solidFill>
              <w14:schemeClr w14:val="tx1">
                <w14:lumMod w14:val="95000"/>
                <w14:lumOff w14:val="5000"/>
              </w14:schemeClr>
            </w14:solidFill>
          </w14:textFill>
        </w:rPr>
        <w:t>~表2</w:t>
      </w:r>
      <w:r>
        <w:rPr>
          <w:rFonts w:cs="Times New Roman"/>
          <w:color w:val="0D0D0D" w:themeColor="text1" w:themeTint="F2"/>
          <w:szCs w:val="24"/>
          <w14:textFill>
            <w14:solidFill>
              <w14:schemeClr w14:val="tx1">
                <w14:lumMod w14:val="95000"/>
                <w14:lumOff w14:val="5000"/>
              </w14:schemeClr>
            </w14:solidFill>
          </w14:textFill>
        </w:rPr>
        <w:t>.4-</w:t>
      </w:r>
      <w:r>
        <w:rPr>
          <w:rFonts w:hint="eastAsia" w:cs="Times New Roman"/>
          <w:color w:val="0D0D0D" w:themeColor="text1" w:themeTint="F2"/>
          <w:szCs w:val="24"/>
          <w14:textFill>
            <w14:solidFill>
              <w14:schemeClr w14:val="tx1">
                <w14:lumMod w14:val="95000"/>
                <w14:lumOff w14:val="5000"/>
              </w14:schemeClr>
            </w14:solidFill>
          </w14:textFill>
        </w:rPr>
        <w:t>3</w:t>
      </w:r>
      <w:r>
        <w:rPr>
          <w:rFonts w:cs="Times New Roman"/>
          <w:color w:val="0D0D0D" w:themeColor="text1" w:themeTint="F2"/>
          <w:szCs w:val="24"/>
          <w14:textFill>
            <w14:solidFill>
              <w14:schemeClr w14:val="tx1">
                <w14:lumMod w14:val="95000"/>
                <w14:lumOff w14:val="5000"/>
              </w14:schemeClr>
            </w14:solidFill>
          </w14:textFill>
        </w:rPr>
        <w:t>。</w:t>
      </w:r>
    </w:p>
    <w:p w14:paraId="60B567F3">
      <w:pPr>
        <w:pStyle w:val="11"/>
        <w:numPr>
          <w:ilvl w:val="4"/>
          <w:numId w:val="13"/>
        </w:numPr>
      </w:pPr>
      <w:r>
        <w:rPr>
          <w:rFonts w:hint="eastAsia"/>
        </w:rPr>
        <w:t xml:space="preserve"> 《</w:t>
      </w:r>
      <w:r>
        <w:t>环境空气质量标准</w:t>
      </w:r>
      <w:r>
        <w:rPr>
          <w:rFonts w:hint="eastAsia"/>
        </w:rPr>
        <w:t>》</w:t>
      </w:r>
      <w:r>
        <w:t>（</w:t>
      </w:r>
      <w:r>
        <w:rPr>
          <w:rFonts w:hint="eastAsia"/>
        </w:rPr>
        <w:t>摘录</w:t>
      </w:r>
      <w:r>
        <w:t>）</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19"/>
        <w:gridCol w:w="1355"/>
        <w:gridCol w:w="1593"/>
        <w:gridCol w:w="1753"/>
        <w:gridCol w:w="2625"/>
        <w:gridCol w:w="1037"/>
      </w:tblGrid>
      <w:tr w14:paraId="2C57D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96" w:type="pct"/>
            <w:vMerge w:val="restart"/>
            <w:vAlign w:val="center"/>
          </w:tcPr>
          <w:p w14:paraId="2A61D1BC">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序号</w:t>
            </w:r>
          </w:p>
        </w:tc>
        <w:tc>
          <w:tcPr>
            <w:tcW w:w="746" w:type="pct"/>
            <w:vMerge w:val="restart"/>
            <w:vAlign w:val="center"/>
          </w:tcPr>
          <w:p w14:paraId="05B7E7D3">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污染</w:t>
            </w:r>
            <w:r>
              <w:rPr>
                <w:rFonts w:hint="eastAsia" w:cs="Times New Roman"/>
                <w:color w:val="0D0D0D" w:themeColor="text1" w:themeTint="F2"/>
                <w:sz w:val="21"/>
                <w14:textFill>
                  <w14:solidFill>
                    <w14:schemeClr w14:val="tx1">
                      <w14:lumMod w14:val="95000"/>
                      <w14:lumOff w14:val="5000"/>
                    </w14:schemeClr>
                  </w14:solidFill>
                </w14:textFill>
              </w:rPr>
              <w:t>物</w:t>
            </w:r>
          </w:p>
        </w:tc>
        <w:tc>
          <w:tcPr>
            <w:tcW w:w="3858" w:type="pct"/>
            <w:gridSpan w:val="4"/>
            <w:vAlign w:val="center"/>
          </w:tcPr>
          <w:p w14:paraId="7B454AE9">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浓度限值</w:t>
            </w:r>
            <w:r>
              <w:rPr>
                <w:rFonts w:hint="eastAsia" w:cs="Times New Roman"/>
                <w:color w:val="0D0D0D" w:themeColor="text1" w:themeTint="F2"/>
                <w:sz w:val="21"/>
                <w14:textFill>
                  <w14:solidFill>
                    <w14:schemeClr w14:val="tx1">
                      <w14:lumMod w14:val="95000"/>
                      <w14:lumOff w14:val="5000"/>
                    </w14:schemeClr>
                  </w14:solidFill>
                </w14:textFill>
              </w:rPr>
              <w:t>（</w:t>
            </w:r>
            <w:r>
              <w:rPr>
                <w:color w:val="0D0D0D" w:themeColor="text1" w:themeTint="F2"/>
                <w:sz w:val="21"/>
                <w14:textFill>
                  <w14:solidFill>
                    <w14:schemeClr w14:val="tx1">
                      <w14:lumMod w14:val="95000"/>
                      <w14:lumOff w14:val="5000"/>
                    </w14:schemeClr>
                  </w14:solidFill>
                </w14:textFill>
              </w:rPr>
              <w:t>μg/m</w:t>
            </w:r>
            <w:r>
              <w:rPr>
                <w:color w:val="0D0D0D" w:themeColor="text1" w:themeTint="F2"/>
                <w:sz w:val="21"/>
                <w:vertAlign w:val="superscript"/>
                <w14:textFill>
                  <w14:solidFill>
                    <w14:schemeClr w14:val="tx1">
                      <w14:lumMod w14:val="95000"/>
                      <w14:lumOff w14:val="5000"/>
                    </w14:schemeClr>
                  </w14:solidFill>
                </w14:textFill>
              </w:rPr>
              <w:t>3</w:t>
            </w:r>
            <w:r>
              <w:rPr>
                <w:rFonts w:hint="eastAsia" w:cs="Times New Roman"/>
                <w:color w:val="0D0D0D" w:themeColor="text1" w:themeTint="F2"/>
                <w:sz w:val="21"/>
                <w14:textFill>
                  <w14:solidFill>
                    <w14:schemeClr w14:val="tx1">
                      <w14:lumMod w14:val="95000"/>
                      <w14:lumOff w14:val="5000"/>
                    </w14:schemeClr>
                  </w14:solidFill>
                </w14:textFill>
              </w:rPr>
              <w:t>）</w:t>
            </w:r>
          </w:p>
        </w:tc>
      </w:tr>
      <w:tr w14:paraId="1891B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96" w:type="pct"/>
            <w:vMerge w:val="continue"/>
            <w:vAlign w:val="center"/>
          </w:tcPr>
          <w:p w14:paraId="408E04D1">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746" w:type="pct"/>
            <w:vMerge w:val="continue"/>
            <w:vAlign w:val="center"/>
          </w:tcPr>
          <w:p w14:paraId="235B9A4C">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877" w:type="pct"/>
            <w:vAlign w:val="center"/>
          </w:tcPr>
          <w:p w14:paraId="0C3B1D52">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1小时平均</w:t>
            </w:r>
          </w:p>
        </w:tc>
        <w:tc>
          <w:tcPr>
            <w:tcW w:w="965" w:type="pct"/>
            <w:vAlign w:val="center"/>
          </w:tcPr>
          <w:p w14:paraId="52E07FB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24小时平均</w:t>
            </w:r>
          </w:p>
        </w:tc>
        <w:tc>
          <w:tcPr>
            <w:tcW w:w="1445" w:type="pct"/>
            <w:vAlign w:val="center"/>
          </w:tcPr>
          <w:p w14:paraId="09919BA1">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日最大8小时平均</w:t>
            </w:r>
          </w:p>
        </w:tc>
        <w:tc>
          <w:tcPr>
            <w:tcW w:w="571" w:type="pct"/>
            <w:vAlign w:val="center"/>
          </w:tcPr>
          <w:p w14:paraId="320C2FC7">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年平均</w:t>
            </w:r>
          </w:p>
        </w:tc>
      </w:tr>
      <w:tr w14:paraId="7C19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6" w:type="pct"/>
            <w:vAlign w:val="center"/>
          </w:tcPr>
          <w:p w14:paraId="297E171D">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1</w:t>
            </w:r>
          </w:p>
        </w:tc>
        <w:tc>
          <w:tcPr>
            <w:tcW w:w="746" w:type="pct"/>
            <w:vAlign w:val="center"/>
          </w:tcPr>
          <w:p w14:paraId="65497518">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SO</w:t>
            </w:r>
            <w:r>
              <w:rPr>
                <w:rFonts w:cs="Times New Roman"/>
                <w:color w:val="0D0D0D" w:themeColor="text1" w:themeTint="F2"/>
                <w:sz w:val="21"/>
                <w:vertAlign w:val="subscript"/>
                <w14:textFill>
                  <w14:solidFill>
                    <w14:schemeClr w14:val="tx1">
                      <w14:lumMod w14:val="95000"/>
                      <w14:lumOff w14:val="5000"/>
                    </w14:schemeClr>
                  </w14:solidFill>
                </w14:textFill>
              </w:rPr>
              <w:t>2</w:t>
            </w:r>
          </w:p>
        </w:tc>
        <w:tc>
          <w:tcPr>
            <w:tcW w:w="877" w:type="pct"/>
            <w:vAlign w:val="center"/>
          </w:tcPr>
          <w:p w14:paraId="4E1E1773">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500</w:t>
            </w:r>
          </w:p>
        </w:tc>
        <w:tc>
          <w:tcPr>
            <w:tcW w:w="965" w:type="pct"/>
            <w:vAlign w:val="center"/>
          </w:tcPr>
          <w:p w14:paraId="737668AC">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150</w:t>
            </w:r>
          </w:p>
        </w:tc>
        <w:tc>
          <w:tcPr>
            <w:tcW w:w="1445" w:type="pct"/>
            <w:vAlign w:val="center"/>
          </w:tcPr>
          <w:p w14:paraId="209A7CC8">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571" w:type="pct"/>
            <w:vAlign w:val="center"/>
          </w:tcPr>
          <w:p w14:paraId="61B1C684">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60</w:t>
            </w:r>
          </w:p>
        </w:tc>
      </w:tr>
      <w:tr w14:paraId="0BFE0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6" w:type="pct"/>
            <w:vAlign w:val="center"/>
          </w:tcPr>
          <w:p w14:paraId="7F7CA493">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2</w:t>
            </w:r>
          </w:p>
        </w:tc>
        <w:tc>
          <w:tcPr>
            <w:tcW w:w="746" w:type="pct"/>
            <w:vAlign w:val="center"/>
          </w:tcPr>
          <w:p w14:paraId="6BC28B45">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NO</w:t>
            </w:r>
            <w:r>
              <w:rPr>
                <w:rFonts w:cs="Times New Roman"/>
                <w:color w:val="0D0D0D" w:themeColor="text1" w:themeTint="F2"/>
                <w:sz w:val="21"/>
                <w:vertAlign w:val="subscript"/>
                <w14:textFill>
                  <w14:solidFill>
                    <w14:schemeClr w14:val="tx1">
                      <w14:lumMod w14:val="95000"/>
                      <w14:lumOff w14:val="5000"/>
                    </w14:schemeClr>
                  </w14:solidFill>
                </w14:textFill>
              </w:rPr>
              <w:t>2</w:t>
            </w:r>
          </w:p>
        </w:tc>
        <w:tc>
          <w:tcPr>
            <w:tcW w:w="877" w:type="pct"/>
            <w:vAlign w:val="center"/>
          </w:tcPr>
          <w:p w14:paraId="2165B740">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200</w:t>
            </w:r>
          </w:p>
        </w:tc>
        <w:tc>
          <w:tcPr>
            <w:tcW w:w="965" w:type="pct"/>
            <w:vAlign w:val="center"/>
          </w:tcPr>
          <w:p w14:paraId="5633DC5A">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80</w:t>
            </w:r>
          </w:p>
        </w:tc>
        <w:tc>
          <w:tcPr>
            <w:tcW w:w="1445" w:type="pct"/>
            <w:vAlign w:val="center"/>
          </w:tcPr>
          <w:p w14:paraId="1E995B30">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571" w:type="pct"/>
            <w:vAlign w:val="center"/>
          </w:tcPr>
          <w:p w14:paraId="7C4C08E4">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40</w:t>
            </w:r>
          </w:p>
        </w:tc>
      </w:tr>
      <w:tr w14:paraId="6DBB7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6" w:type="pct"/>
            <w:vAlign w:val="center"/>
          </w:tcPr>
          <w:p w14:paraId="2B24A323">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3</w:t>
            </w:r>
          </w:p>
        </w:tc>
        <w:tc>
          <w:tcPr>
            <w:tcW w:w="746" w:type="pct"/>
            <w:vAlign w:val="center"/>
          </w:tcPr>
          <w:p w14:paraId="379347B0">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PM</w:t>
            </w:r>
            <w:r>
              <w:rPr>
                <w:rFonts w:cs="Times New Roman"/>
                <w:color w:val="0D0D0D" w:themeColor="text1" w:themeTint="F2"/>
                <w:sz w:val="21"/>
                <w:vertAlign w:val="subscript"/>
                <w14:textFill>
                  <w14:solidFill>
                    <w14:schemeClr w14:val="tx1">
                      <w14:lumMod w14:val="95000"/>
                      <w14:lumOff w14:val="5000"/>
                    </w14:schemeClr>
                  </w14:solidFill>
                </w14:textFill>
              </w:rPr>
              <w:t>10</w:t>
            </w:r>
          </w:p>
        </w:tc>
        <w:tc>
          <w:tcPr>
            <w:tcW w:w="877" w:type="pct"/>
            <w:vAlign w:val="center"/>
          </w:tcPr>
          <w:p w14:paraId="2831F9D7">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965" w:type="pct"/>
            <w:vAlign w:val="center"/>
          </w:tcPr>
          <w:p w14:paraId="204A6AD9">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150</w:t>
            </w:r>
          </w:p>
        </w:tc>
        <w:tc>
          <w:tcPr>
            <w:tcW w:w="1445" w:type="pct"/>
            <w:vAlign w:val="center"/>
          </w:tcPr>
          <w:p w14:paraId="61F1D415">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571" w:type="pct"/>
            <w:vAlign w:val="center"/>
          </w:tcPr>
          <w:p w14:paraId="15620DE3">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70</w:t>
            </w:r>
          </w:p>
        </w:tc>
      </w:tr>
      <w:tr w14:paraId="0AC4F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6" w:type="pct"/>
            <w:vAlign w:val="center"/>
          </w:tcPr>
          <w:p w14:paraId="4B1C5CE5">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4</w:t>
            </w:r>
          </w:p>
        </w:tc>
        <w:tc>
          <w:tcPr>
            <w:tcW w:w="746" w:type="pct"/>
            <w:vAlign w:val="center"/>
          </w:tcPr>
          <w:p w14:paraId="1A249922">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PM</w:t>
            </w:r>
            <w:r>
              <w:rPr>
                <w:rFonts w:cs="Times New Roman"/>
                <w:color w:val="0D0D0D" w:themeColor="text1" w:themeTint="F2"/>
                <w:sz w:val="21"/>
                <w:vertAlign w:val="subscript"/>
                <w14:textFill>
                  <w14:solidFill>
                    <w14:schemeClr w14:val="tx1">
                      <w14:lumMod w14:val="95000"/>
                      <w14:lumOff w14:val="5000"/>
                    </w14:schemeClr>
                  </w14:solidFill>
                </w14:textFill>
              </w:rPr>
              <w:t>2.5</w:t>
            </w:r>
          </w:p>
        </w:tc>
        <w:tc>
          <w:tcPr>
            <w:tcW w:w="877" w:type="pct"/>
            <w:vAlign w:val="center"/>
          </w:tcPr>
          <w:p w14:paraId="09135BF6">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965" w:type="pct"/>
            <w:vAlign w:val="center"/>
          </w:tcPr>
          <w:p w14:paraId="46BB9F18">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75</w:t>
            </w:r>
          </w:p>
        </w:tc>
        <w:tc>
          <w:tcPr>
            <w:tcW w:w="1445" w:type="pct"/>
            <w:vAlign w:val="center"/>
          </w:tcPr>
          <w:p w14:paraId="26D33470">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571" w:type="pct"/>
            <w:vAlign w:val="center"/>
          </w:tcPr>
          <w:p w14:paraId="0F8F6290">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35</w:t>
            </w:r>
          </w:p>
        </w:tc>
      </w:tr>
      <w:tr w14:paraId="40906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6" w:type="pct"/>
            <w:vAlign w:val="center"/>
          </w:tcPr>
          <w:p w14:paraId="41894C5A">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5</w:t>
            </w:r>
          </w:p>
        </w:tc>
        <w:tc>
          <w:tcPr>
            <w:tcW w:w="746" w:type="pct"/>
            <w:vAlign w:val="center"/>
          </w:tcPr>
          <w:p w14:paraId="4B42F2E9">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CO</w:t>
            </w:r>
          </w:p>
        </w:tc>
        <w:tc>
          <w:tcPr>
            <w:tcW w:w="877" w:type="pct"/>
            <w:vAlign w:val="center"/>
          </w:tcPr>
          <w:p w14:paraId="626DA2CB">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10</w:t>
            </w:r>
            <w:r>
              <w:rPr>
                <w:rFonts w:hint="eastAsia" w:cs="Times New Roman"/>
                <w:color w:val="0D0D0D" w:themeColor="text1" w:themeTint="F2"/>
                <w:sz w:val="21"/>
                <w14:textFill>
                  <w14:solidFill>
                    <w14:schemeClr w14:val="tx1">
                      <w14:lumMod w14:val="95000"/>
                      <w14:lumOff w14:val="5000"/>
                    </w14:schemeClr>
                  </w14:solidFill>
                </w14:textFill>
              </w:rPr>
              <w:t>m</w:t>
            </w:r>
            <w:r>
              <w:rPr>
                <w:rFonts w:cs="Times New Roman"/>
                <w:color w:val="0D0D0D" w:themeColor="text1" w:themeTint="F2"/>
                <w:sz w:val="21"/>
                <w14:textFill>
                  <w14:solidFill>
                    <w14:schemeClr w14:val="tx1">
                      <w14:lumMod w14:val="95000"/>
                      <w14:lumOff w14:val="5000"/>
                    </w14:schemeClr>
                  </w14:solidFill>
                </w14:textFill>
              </w:rPr>
              <w:t>g/m</w:t>
            </w:r>
            <w:r>
              <w:rPr>
                <w:rFonts w:cs="Times New Roman"/>
                <w:color w:val="0D0D0D" w:themeColor="text1" w:themeTint="F2"/>
                <w:sz w:val="21"/>
                <w:vertAlign w:val="superscript"/>
                <w14:textFill>
                  <w14:solidFill>
                    <w14:schemeClr w14:val="tx1">
                      <w14:lumMod w14:val="95000"/>
                      <w14:lumOff w14:val="5000"/>
                    </w14:schemeClr>
                  </w14:solidFill>
                </w14:textFill>
              </w:rPr>
              <w:t>3</w:t>
            </w:r>
          </w:p>
        </w:tc>
        <w:tc>
          <w:tcPr>
            <w:tcW w:w="965" w:type="pct"/>
            <w:vAlign w:val="center"/>
          </w:tcPr>
          <w:p w14:paraId="230B30E5">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4</w:t>
            </w:r>
            <w:r>
              <w:rPr>
                <w:rFonts w:hint="eastAsia" w:cs="Times New Roman"/>
                <w:color w:val="0D0D0D" w:themeColor="text1" w:themeTint="F2"/>
                <w:sz w:val="21"/>
                <w14:textFill>
                  <w14:solidFill>
                    <w14:schemeClr w14:val="tx1">
                      <w14:lumMod w14:val="95000"/>
                      <w14:lumOff w14:val="5000"/>
                    </w14:schemeClr>
                  </w14:solidFill>
                </w14:textFill>
              </w:rPr>
              <w:t>m</w:t>
            </w:r>
            <w:r>
              <w:rPr>
                <w:rFonts w:cs="Times New Roman"/>
                <w:color w:val="0D0D0D" w:themeColor="text1" w:themeTint="F2"/>
                <w:sz w:val="21"/>
                <w14:textFill>
                  <w14:solidFill>
                    <w14:schemeClr w14:val="tx1">
                      <w14:lumMod w14:val="95000"/>
                      <w14:lumOff w14:val="5000"/>
                    </w14:schemeClr>
                  </w14:solidFill>
                </w14:textFill>
              </w:rPr>
              <w:t>g/m</w:t>
            </w:r>
            <w:r>
              <w:rPr>
                <w:rFonts w:cs="Times New Roman"/>
                <w:color w:val="0D0D0D" w:themeColor="text1" w:themeTint="F2"/>
                <w:sz w:val="21"/>
                <w:vertAlign w:val="superscript"/>
                <w14:textFill>
                  <w14:solidFill>
                    <w14:schemeClr w14:val="tx1">
                      <w14:lumMod w14:val="95000"/>
                      <w14:lumOff w14:val="5000"/>
                    </w14:schemeClr>
                  </w14:solidFill>
                </w14:textFill>
              </w:rPr>
              <w:t>3</w:t>
            </w:r>
          </w:p>
        </w:tc>
        <w:tc>
          <w:tcPr>
            <w:tcW w:w="1445" w:type="pct"/>
            <w:vAlign w:val="center"/>
          </w:tcPr>
          <w:p w14:paraId="7F5F9149">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571" w:type="pct"/>
            <w:vAlign w:val="center"/>
          </w:tcPr>
          <w:p w14:paraId="1055A465">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r>
      <w:tr w14:paraId="2C34C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6" w:type="pct"/>
            <w:vAlign w:val="center"/>
          </w:tcPr>
          <w:p w14:paraId="7F00C865">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6</w:t>
            </w:r>
          </w:p>
        </w:tc>
        <w:tc>
          <w:tcPr>
            <w:tcW w:w="746" w:type="pct"/>
            <w:vAlign w:val="center"/>
          </w:tcPr>
          <w:p w14:paraId="5C14BA42">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O</w:t>
            </w:r>
            <w:r>
              <w:rPr>
                <w:rFonts w:cs="Times New Roman"/>
                <w:color w:val="0D0D0D" w:themeColor="text1" w:themeTint="F2"/>
                <w:sz w:val="21"/>
                <w:vertAlign w:val="subscript"/>
                <w14:textFill>
                  <w14:solidFill>
                    <w14:schemeClr w14:val="tx1">
                      <w14:lumMod w14:val="95000"/>
                      <w14:lumOff w14:val="5000"/>
                    </w14:schemeClr>
                  </w14:solidFill>
                </w14:textFill>
              </w:rPr>
              <w:t>3</w:t>
            </w:r>
          </w:p>
        </w:tc>
        <w:tc>
          <w:tcPr>
            <w:tcW w:w="877" w:type="pct"/>
            <w:vAlign w:val="center"/>
          </w:tcPr>
          <w:p w14:paraId="223A61A7">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200</w:t>
            </w:r>
          </w:p>
        </w:tc>
        <w:tc>
          <w:tcPr>
            <w:tcW w:w="965" w:type="pct"/>
            <w:vAlign w:val="center"/>
          </w:tcPr>
          <w:p w14:paraId="34C0F7D2">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1445" w:type="pct"/>
            <w:vAlign w:val="center"/>
          </w:tcPr>
          <w:p w14:paraId="69EFF6F2">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1</w:t>
            </w:r>
            <w:r>
              <w:rPr>
                <w:rFonts w:hint="eastAsia" w:cs="Times New Roman"/>
                <w:color w:val="0D0D0D" w:themeColor="text1" w:themeTint="F2"/>
                <w:sz w:val="21"/>
                <w14:textFill>
                  <w14:solidFill>
                    <w14:schemeClr w14:val="tx1">
                      <w14:lumMod w14:val="95000"/>
                      <w14:lumOff w14:val="5000"/>
                    </w14:schemeClr>
                  </w14:solidFill>
                </w14:textFill>
              </w:rPr>
              <w:t>60</w:t>
            </w:r>
          </w:p>
        </w:tc>
        <w:tc>
          <w:tcPr>
            <w:tcW w:w="571" w:type="pct"/>
            <w:vAlign w:val="center"/>
          </w:tcPr>
          <w:p w14:paraId="35E1A2F1">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r>
      <w:tr w14:paraId="2CE0B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6" w:type="pct"/>
            <w:vAlign w:val="center"/>
          </w:tcPr>
          <w:p w14:paraId="6CC20096">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7</w:t>
            </w:r>
          </w:p>
        </w:tc>
        <w:tc>
          <w:tcPr>
            <w:tcW w:w="746" w:type="pct"/>
            <w:vAlign w:val="center"/>
          </w:tcPr>
          <w:p w14:paraId="699D5D9F">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TSP</w:t>
            </w:r>
          </w:p>
        </w:tc>
        <w:tc>
          <w:tcPr>
            <w:tcW w:w="877" w:type="pct"/>
            <w:vAlign w:val="center"/>
          </w:tcPr>
          <w:p w14:paraId="551D8297">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w:t>
            </w:r>
          </w:p>
        </w:tc>
        <w:tc>
          <w:tcPr>
            <w:tcW w:w="965" w:type="pct"/>
            <w:vAlign w:val="center"/>
          </w:tcPr>
          <w:p w14:paraId="6827AEEC">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300</w:t>
            </w:r>
          </w:p>
        </w:tc>
        <w:tc>
          <w:tcPr>
            <w:tcW w:w="1445" w:type="pct"/>
            <w:vAlign w:val="center"/>
          </w:tcPr>
          <w:p w14:paraId="556E8C4B">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w:t>
            </w:r>
          </w:p>
        </w:tc>
        <w:tc>
          <w:tcPr>
            <w:tcW w:w="571" w:type="pct"/>
            <w:vAlign w:val="center"/>
          </w:tcPr>
          <w:p w14:paraId="0D08FD0E">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200</w:t>
            </w:r>
          </w:p>
        </w:tc>
      </w:tr>
    </w:tbl>
    <w:p w14:paraId="0015893B">
      <w:pPr>
        <w:pStyle w:val="11"/>
      </w:pPr>
      <w:bookmarkStart w:id="36" w:name="_Hlk166949579"/>
      <w:r>
        <w:rPr>
          <w:rFonts w:hint="eastAsia"/>
        </w:rPr>
        <w:t xml:space="preserve"> </w:t>
      </w:r>
      <w:r>
        <w:t xml:space="preserve">《环境影响评价技术导则 </w:t>
      </w:r>
      <w:r>
        <w:rPr>
          <w:rFonts w:hint="eastAsia"/>
        </w:rPr>
        <w:t xml:space="preserve"> </w:t>
      </w:r>
      <w:r>
        <w:t>大气环境》</w:t>
      </w:r>
      <w:r>
        <w:rPr>
          <w:rFonts w:hint="eastAsia"/>
        </w:rPr>
        <w:t>（摘录）</w:t>
      </w:r>
      <w:bookmarkEnd w:id="36"/>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0"/>
        <w:gridCol w:w="2381"/>
        <w:gridCol w:w="2381"/>
        <w:gridCol w:w="2240"/>
      </w:tblGrid>
      <w:tr w14:paraId="00E02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2" w:type="pct"/>
            <w:vMerge w:val="restart"/>
            <w:vAlign w:val="center"/>
          </w:tcPr>
          <w:p w14:paraId="076DC584">
            <w:pPr>
              <w:spacing w:line="240" w:lineRule="auto"/>
              <w:jc w:val="center"/>
              <w:rPr>
                <w:rFonts w:cs="Times New Roman"/>
                <w:color w:val="0D0D0D" w:themeColor="text1" w:themeTint="F2"/>
                <w:kern w:val="10"/>
                <w:sz w:val="21"/>
                <w:szCs w:val="21"/>
                <w14:textFill>
                  <w14:solidFill>
                    <w14:schemeClr w14:val="tx1">
                      <w14:lumMod w14:val="95000"/>
                      <w14:lumOff w14:val="5000"/>
                    </w14:schemeClr>
                  </w14:solidFill>
                </w14:textFill>
              </w:rPr>
            </w:pPr>
            <w:r>
              <w:rPr>
                <w:rFonts w:cs="Times New Roman"/>
                <w:color w:val="0D0D0D" w:themeColor="text1" w:themeTint="F2"/>
                <w:kern w:val="10"/>
                <w:sz w:val="21"/>
                <w:szCs w:val="21"/>
                <w14:textFill>
                  <w14:solidFill>
                    <w14:schemeClr w14:val="tx1">
                      <w14:lumMod w14:val="95000"/>
                      <w14:lumOff w14:val="5000"/>
                    </w14:schemeClr>
                  </w14:solidFill>
                </w14:textFill>
              </w:rPr>
              <w:t>污染物</w:t>
            </w:r>
          </w:p>
        </w:tc>
        <w:tc>
          <w:tcPr>
            <w:tcW w:w="3788" w:type="pct"/>
            <w:gridSpan w:val="3"/>
            <w:vAlign w:val="center"/>
          </w:tcPr>
          <w:p w14:paraId="4A38D214">
            <w:pPr>
              <w:spacing w:line="240" w:lineRule="auto"/>
              <w:jc w:val="center"/>
              <w:rPr>
                <w:rFonts w:cs="Times New Roman"/>
                <w:color w:val="0D0D0D" w:themeColor="text1" w:themeTint="F2"/>
                <w:kern w:val="10"/>
                <w:sz w:val="21"/>
                <w:szCs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浓度限值</w:t>
            </w:r>
            <w:r>
              <w:rPr>
                <w:rFonts w:hint="eastAsia" w:cs="Times New Roman"/>
                <w:color w:val="0D0D0D" w:themeColor="text1" w:themeTint="F2"/>
                <w:sz w:val="21"/>
                <w14:textFill>
                  <w14:solidFill>
                    <w14:schemeClr w14:val="tx1">
                      <w14:lumMod w14:val="95000"/>
                      <w14:lumOff w14:val="5000"/>
                    </w14:schemeClr>
                  </w14:solidFill>
                </w14:textFill>
              </w:rPr>
              <w:t>（</w:t>
            </w:r>
            <w:r>
              <w:rPr>
                <w:color w:val="0D0D0D" w:themeColor="text1" w:themeTint="F2"/>
                <w:sz w:val="21"/>
                <w14:textFill>
                  <w14:solidFill>
                    <w14:schemeClr w14:val="tx1">
                      <w14:lumMod w14:val="95000"/>
                      <w14:lumOff w14:val="5000"/>
                    </w14:schemeClr>
                  </w14:solidFill>
                </w14:textFill>
              </w:rPr>
              <w:t>μg/m</w:t>
            </w:r>
            <w:r>
              <w:rPr>
                <w:color w:val="0D0D0D" w:themeColor="text1" w:themeTint="F2"/>
                <w:sz w:val="21"/>
                <w:vertAlign w:val="superscript"/>
                <w14:textFill>
                  <w14:solidFill>
                    <w14:schemeClr w14:val="tx1">
                      <w14:lumMod w14:val="95000"/>
                      <w14:lumOff w14:val="5000"/>
                    </w14:schemeClr>
                  </w14:solidFill>
                </w14:textFill>
              </w:rPr>
              <w:t>3</w:t>
            </w:r>
            <w:r>
              <w:rPr>
                <w:rFonts w:hint="eastAsia" w:cs="Times New Roman"/>
                <w:color w:val="0D0D0D" w:themeColor="text1" w:themeTint="F2"/>
                <w:sz w:val="21"/>
                <w14:textFill>
                  <w14:solidFill>
                    <w14:schemeClr w14:val="tx1">
                      <w14:lumMod w14:val="95000"/>
                      <w14:lumOff w14:val="5000"/>
                    </w14:schemeClr>
                  </w14:solidFill>
                </w14:textFill>
              </w:rPr>
              <w:t>）</w:t>
            </w:r>
          </w:p>
        </w:tc>
      </w:tr>
      <w:tr w14:paraId="07733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2" w:type="pct"/>
            <w:vMerge w:val="continue"/>
            <w:vAlign w:val="center"/>
          </w:tcPr>
          <w:p w14:paraId="26C1DB15">
            <w:pPr>
              <w:spacing w:line="240" w:lineRule="auto"/>
              <w:jc w:val="center"/>
              <w:rPr>
                <w:rFonts w:cs="Times New Roman"/>
                <w:color w:val="0D0D0D" w:themeColor="text1" w:themeTint="F2"/>
                <w:kern w:val="10"/>
                <w:sz w:val="21"/>
                <w:szCs w:val="21"/>
                <w14:textFill>
                  <w14:solidFill>
                    <w14:schemeClr w14:val="tx1">
                      <w14:lumMod w14:val="95000"/>
                      <w14:lumOff w14:val="5000"/>
                    </w14:schemeClr>
                  </w14:solidFill>
                </w14:textFill>
              </w:rPr>
            </w:pPr>
          </w:p>
        </w:tc>
        <w:tc>
          <w:tcPr>
            <w:tcW w:w="1288" w:type="pct"/>
            <w:vAlign w:val="center"/>
          </w:tcPr>
          <w:p w14:paraId="75FE7417">
            <w:pPr>
              <w:spacing w:line="240" w:lineRule="auto"/>
              <w:jc w:val="center"/>
              <w:rPr>
                <w:rFonts w:cs="Times New Roman"/>
                <w:color w:val="0D0D0D" w:themeColor="text1" w:themeTint="F2"/>
                <w:kern w:val="10"/>
                <w:sz w:val="21"/>
                <w:szCs w:val="21"/>
                <w14:textFill>
                  <w14:solidFill>
                    <w14:schemeClr w14:val="tx1">
                      <w14:lumMod w14:val="95000"/>
                      <w14:lumOff w14:val="5000"/>
                    </w14:schemeClr>
                  </w14:solidFill>
                </w14:textFill>
              </w:rPr>
            </w:pPr>
            <w:r>
              <w:rPr>
                <w:rFonts w:cs="Times New Roman"/>
                <w:color w:val="0D0D0D" w:themeColor="text1" w:themeTint="F2"/>
                <w:kern w:val="10"/>
                <w:sz w:val="21"/>
                <w:szCs w:val="21"/>
                <w14:textFill>
                  <w14:solidFill>
                    <w14:schemeClr w14:val="tx1">
                      <w14:lumMod w14:val="95000"/>
                      <w14:lumOff w14:val="5000"/>
                    </w14:schemeClr>
                  </w14:solidFill>
                </w14:textFill>
              </w:rPr>
              <w:t>1h平均</w:t>
            </w:r>
          </w:p>
        </w:tc>
        <w:tc>
          <w:tcPr>
            <w:tcW w:w="1288" w:type="pct"/>
            <w:vAlign w:val="center"/>
          </w:tcPr>
          <w:p w14:paraId="3DB890CA">
            <w:pPr>
              <w:spacing w:line="240" w:lineRule="auto"/>
              <w:jc w:val="center"/>
              <w:rPr>
                <w:rFonts w:cs="Times New Roman"/>
                <w:color w:val="0D0D0D" w:themeColor="text1" w:themeTint="F2"/>
                <w:kern w:val="10"/>
                <w:sz w:val="21"/>
                <w:szCs w:val="21"/>
                <w14:textFill>
                  <w14:solidFill>
                    <w14:schemeClr w14:val="tx1">
                      <w14:lumMod w14:val="95000"/>
                      <w14:lumOff w14:val="5000"/>
                    </w14:schemeClr>
                  </w14:solidFill>
                </w14:textFill>
              </w:rPr>
            </w:pPr>
            <w:r>
              <w:rPr>
                <w:rFonts w:cs="Times New Roman"/>
                <w:color w:val="0D0D0D" w:themeColor="text1" w:themeTint="F2"/>
                <w:kern w:val="10"/>
                <w:sz w:val="21"/>
                <w:szCs w:val="21"/>
                <w14:textFill>
                  <w14:solidFill>
                    <w14:schemeClr w14:val="tx1">
                      <w14:lumMod w14:val="95000"/>
                      <w14:lumOff w14:val="5000"/>
                    </w14:schemeClr>
                  </w14:solidFill>
                </w14:textFill>
              </w:rPr>
              <w:t>8h平均</w:t>
            </w:r>
          </w:p>
        </w:tc>
        <w:tc>
          <w:tcPr>
            <w:tcW w:w="1212" w:type="pct"/>
            <w:vAlign w:val="center"/>
          </w:tcPr>
          <w:p w14:paraId="6C9767BA">
            <w:pPr>
              <w:spacing w:line="240" w:lineRule="auto"/>
              <w:jc w:val="center"/>
              <w:rPr>
                <w:rFonts w:cs="Times New Roman"/>
                <w:color w:val="0D0D0D" w:themeColor="text1" w:themeTint="F2"/>
                <w:kern w:val="10"/>
                <w:sz w:val="21"/>
                <w:szCs w:val="21"/>
                <w14:textFill>
                  <w14:solidFill>
                    <w14:schemeClr w14:val="tx1">
                      <w14:lumMod w14:val="95000"/>
                      <w14:lumOff w14:val="5000"/>
                    </w14:schemeClr>
                  </w14:solidFill>
                </w14:textFill>
              </w:rPr>
            </w:pPr>
            <w:r>
              <w:rPr>
                <w:rFonts w:cs="Times New Roman"/>
                <w:color w:val="0D0D0D" w:themeColor="text1" w:themeTint="F2"/>
                <w:kern w:val="10"/>
                <w:sz w:val="21"/>
                <w:szCs w:val="21"/>
                <w14:textFill>
                  <w14:solidFill>
                    <w14:schemeClr w14:val="tx1">
                      <w14:lumMod w14:val="95000"/>
                      <w14:lumOff w14:val="5000"/>
                    </w14:schemeClr>
                  </w14:solidFill>
                </w14:textFill>
              </w:rPr>
              <w:t>日平均</w:t>
            </w:r>
          </w:p>
        </w:tc>
      </w:tr>
      <w:tr w14:paraId="5B4BA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2" w:type="pct"/>
            <w:vAlign w:val="center"/>
          </w:tcPr>
          <w:p w14:paraId="6ADD98B6">
            <w:pPr>
              <w:spacing w:line="240" w:lineRule="auto"/>
              <w:jc w:val="center"/>
              <w:rPr>
                <w:rFonts w:cs="Times New Roman"/>
                <w:color w:val="0D0D0D" w:themeColor="text1" w:themeTint="F2"/>
                <w:kern w:val="10"/>
                <w:sz w:val="21"/>
                <w:szCs w:val="21"/>
                <w14:textFill>
                  <w14:solidFill>
                    <w14:schemeClr w14:val="tx1">
                      <w14:lumMod w14:val="95000"/>
                      <w14:lumOff w14:val="5000"/>
                    </w14:schemeClr>
                  </w14:solidFill>
                </w14:textFill>
              </w:rPr>
            </w:pPr>
            <w:r>
              <w:rPr>
                <w:rFonts w:cs="Times New Roman"/>
                <w:color w:val="0D0D0D" w:themeColor="text1" w:themeTint="F2"/>
                <w:kern w:val="10"/>
                <w:sz w:val="21"/>
                <w:szCs w:val="21"/>
                <w14:textFill>
                  <w14:solidFill>
                    <w14:schemeClr w14:val="tx1">
                      <w14:lumMod w14:val="95000"/>
                      <w14:lumOff w14:val="5000"/>
                    </w14:schemeClr>
                  </w14:solidFill>
                </w14:textFill>
              </w:rPr>
              <w:t>氨</w:t>
            </w:r>
          </w:p>
        </w:tc>
        <w:tc>
          <w:tcPr>
            <w:tcW w:w="1288" w:type="pct"/>
            <w:vAlign w:val="center"/>
          </w:tcPr>
          <w:p w14:paraId="52385B2D">
            <w:pPr>
              <w:spacing w:line="240" w:lineRule="auto"/>
              <w:jc w:val="center"/>
              <w:rPr>
                <w:rFonts w:cs="Times New Roman"/>
                <w:color w:val="0D0D0D" w:themeColor="text1" w:themeTint="F2"/>
                <w:kern w:val="10"/>
                <w:sz w:val="21"/>
                <w:szCs w:val="21"/>
                <w14:textFill>
                  <w14:solidFill>
                    <w14:schemeClr w14:val="tx1">
                      <w14:lumMod w14:val="95000"/>
                      <w14:lumOff w14:val="5000"/>
                    </w14:schemeClr>
                  </w14:solidFill>
                </w14:textFill>
              </w:rPr>
            </w:pPr>
            <w:r>
              <w:rPr>
                <w:rFonts w:cs="Times New Roman"/>
                <w:color w:val="0D0D0D" w:themeColor="text1" w:themeTint="F2"/>
                <w:kern w:val="10"/>
                <w:sz w:val="21"/>
                <w:szCs w:val="21"/>
                <w14:textFill>
                  <w14:solidFill>
                    <w14:schemeClr w14:val="tx1">
                      <w14:lumMod w14:val="95000"/>
                      <w14:lumOff w14:val="5000"/>
                    </w14:schemeClr>
                  </w14:solidFill>
                </w14:textFill>
              </w:rPr>
              <w:t>200</w:t>
            </w:r>
          </w:p>
        </w:tc>
        <w:tc>
          <w:tcPr>
            <w:tcW w:w="1288" w:type="pct"/>
            <w:vAlign w:val="center"/>
          </w:tcPr>
          <w:p w14:paraId="570EBE43">
            <w:pPr>
              <w:spacing w:line="240" w:lineRule="auto"/>
              <w:jc w:val="center"/>
              <w:rPr>
                <w:rFonts w:cs="Times New Roman"/>
                <w:color w:val="0D0D0D" w:themeColor="text1" w:themeTint="F2"/>
                <w:kern w:val="10"/>
                <w:sz w:val="21"/>
                <w:szCs w:val="21"/>
                <w14:textFill>
                  <w14:solidFill>
                    <w14:schemeClr w14:val="tx1">
                      <w14:lumMod w14:val="95000"/>
                      <w14:lumOff w14:val="5000"/>
                    </w14:schemeClr>
                  </w14:solidFill>
                </w14:textFill>
              </w:rPr>
            </w:pPr>
            <w:r>
              <w:rPr>
                <w:rFonts w:cs="Times New Roman"/>
                <w:color w:val="0D0D0D" w:themeColor="text1" w:themeTint="F2"/>
                <w:kern w:val="10"/>
                <w:sz w:val="21"/>
                <w:szCs w:val="21"/>
                <w14:textFill>
                  <w14:solidFill>
                    <w14:schemeClr w14:val="tx1">
                      <w14:lumMod w14:val="95000"/>
                      <w14:lumOff w14:val="5000"/>
                    </w14:schemeClr>
                  </w14:solidFill>
                </w14:textFill>
              </w:rPr>
              <w:t>/</w:t>
            </w:r>
          </w:p>
        </w:tc>
        <w:tc>
          <w:tcPr>
            <w:tcW w:w="1212" w:type="pct"/>
            <w:vAlign w:val="center"/>
          </w:tcPr>
          <w:p w14:paraId="6BA60646">
            <w:pPr>
              <w:spacing w:line="240" w:lineRule="auto"/>
              <w:jc w:val="center"/>
              <w:rPr>
                <w:rFonts w:cs="Times New Roman"/>
                <w:color w:val="0D0D0D" w:themeColor="text1" w:themeTint="F2"/>
                <w:kern w:val="10"/>
                <w:sz w:val="21"/>
                <w:szCs w:val="21"/>
                <w14:textFill>
                  <w14:solidFill>
                    <w14:schemeClr w14:val="tx1">
                      <w14:lumMod w14:val="95000"/>
                      <w14:lumOff w14:val="5000"/>
                    </w14:schemeClr>
                  </w14:solidFill>
                </w14:textFill>
              </w:rPr>
            </w:pPr>
            <w:r>
              <w:rPr>
                <w:rFonts w:cs="Times New Roman"/>
                <w:color w:val="0D0D0D" w:themeColor="text1" w:themeTint="F2"/>
                <w:kern w:val="10"/>
                <w:sz w:val="21"/>
                <w:szCs w:val="21"/>
                <w14:textFill>
                  <w14:solidFill>
                    <w14:schemeClr w14:val="tx1">
                      <w14:lumMod w14:val="95000"/>
                      <w14:lumOff w14:val="5000"/>
                    </w14:schemeClr>
                  </w14:solidFill>
                </w14:textFill>
              </w:rPr>
              <w:t>/</w:t>
            </w:r>
          </w:p>
        </w:tc>
      </w:tr>
      <w:tr w14:paraId="22F1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2" w:type="pct"/>
            <w:vAlign w:val="center"/>
          </w:tcPr>
          <w:p w14:paraId="00747E12">
            <w:pPr>
              <w:spacing w:line="240" w:lineRule="auto"/>
              <w:jc w:val="center"/>
              <w:rPr>
                <w:rFonts w:cs="Times New Roman"/>
                <w:color w:val="0D0D0D" w:themeColor="text1" w:themeTint="F2"/>
                <w:kern w:val="10"/>
                <w:sz w:val="21"/>
                <w:szCs w:val="21"/>
                <w14:textFill>
                  <w14:solidFill>
                    <w14:schemeClr w14:val="tx1">
                      <w14:lumMod w14:val="95000"/>
                      <w14:lumOff w14:val="5000"/>
                    </w14:schemeClr>
                  </w14:solidFill>
                </w14:textFill>
              </w:rPr>
            </w:pPr>
            <w:r>
              <w:rPr>
                <w:rFonts w:cs="Times New Roman"/>
                <w:color w:val="0D0D0D" w:themeColor="text1" w:themeTint="F2"/>
                <w:kern w:val="10"/>
                <w:sz w:val="21"/>
                <w:szCs w:val="21"/>
                <w14:textFill>
                  <w14:solidFill>
                    <w14:schemeClr w14:val="tx1">
                      <w14:lumMod w14:val="95000"/>
                      <w14:lumOff w14:val="5000"/>
                    </w14:schemeClr>
                  </w14:solidFill>
                </w14:textFill>
              </w:rPr>
              <w:t>硫化氢</w:t>
            </w:r>
          </w:p>
        </w:tc>
        <w:tc>
          <w:tcPr>
            <w:tcW w:w="1288" w:type="pct"/>
            <w:vAlign w:val="center"/>
          </w:tcPr>
          <w:p w14:paraId="10151A69">
            <w:pPr>
              <w:spacing w:line="240" w:lineRule="auto"/>
              <w:jc w:val="center"/>
              <w:rPr>
                <w:rFonts w:cs="Times New Roman"/>
                <w:color w:val="0D0D0D" w:themeColor="text1" w:themeTint="F2"/>
                <w:kern w:val="10"/>
                <w:sz w:val="21"/>
                <w:szCs w:val="21"/>
                <w14:textFill>
                  <w14:solidFill>
                    <w14:schemeClr w14:val="tx1">
                      <w14:lumMod w14:val="95000"/>
                      <w14:lumOff w14:val="5000"/>
                    </w14:schemeClr>
                  </w14:solidFill>
                </w14:textFill>
              </w:rPr>
            </w:pPr>
            <w:r>
              <w:rPr>
                <w:rFonts w:cs="Times New Roman"/>
                <w:color w:val="0D0D0D" w:themeColor="text1" w:themeTint="F2"/>
                <w:kern w:val="10"/>
                <w:sz w:val="21"/>
                <w:szCs w:val="21"/>
                <w14:textFill>
                  <w14:solidFill>
                    <w14:schemeClr w14:val="tx1">
                      <w14:lumMod w14:val="95000"/>
                      <w14:lumOff w14:val="5000"/>
                    </w14:schemeClr>
                  </w14:solidFill>
                </w14:textFill>
              </w:rPr>
              <w:t>10</w:t>
            </w:r>
          </w:p>
        </w:tc>
        <w:tc>
          <w:tcPr>
            <w:tcW w:w="1288" w:type="pct"/>
            <w:vAlign w:val="center"/>
          </w:tcPr>
          <w:p w14:paraId="14A2E585">
            <w:pPr>
              <w:spacing w:line="240" w:lineRule="auto"/>
              <w:jc w:val="center"/>
              <w:rPr>
                <w:rFonts w:cs="Times New Roman"/>
                <w:color w:val="0D0D0D" w:themeColor="text1" w:themeTint="F2"/>
                <w:kern w:val="10"/>
                <w:sz w:val="21"/>
                <w:szCs w:val="21"/>
                <w14:textFill>
                  <w14:solidFill>
                    <w14:schemeClr w14:val="tx1">
                      <w14:lumMod w14:val="95000"/>
                      <w14:lumOff w14:val="5000"/>
                    </w14:schemeClr>
                  </w14:solidFill>
                </w14:textFill>
              </w:rPr>
            </w:pPr>
            <w:r>
              <w:rPr>
                <w:rFonts w:cs="Times New Roman"/>
                <w:color w:val="0D0D0D" w:themeColor="text1" w:themeTint="F2"/>
                <w:kern w:val="10"/>
                <w:sz w:val="21"/>
                <w:szCs w:val="21"/>
                <w14:textFill>
                  <w14:solidFill>
                    <w14:schemeClr w14:val="tx1">
                      <w14:lumMod w14:val="95000"/>
                      <w14:lumOff w14:val="5000"/>
                    </w14:schemeClr>
                  </w14:solidFill>
                </w14:textFill>
              </w:rPr>
              <w:t>/</w:t>
            </w:r>
          </w:p>
        </w:tc>
        <w:tc>
          <w:tcPr>
            <w:tcW w:w="1212" w:type="pct"/>
            <w:vAlign w:val="center"/>
          </w:tcPr>
          <w:p w14:paraId="484BE736">
            <w:pPr>
              <w:spacing w:line="240" w:lineRule="auto"/>
              <w:jc w:val="center"/>
              <w:rPr>
                <w:rFonts w:cs="Times New Roman"/>
                <w:color w:val="0D0D0D" w:themeColor="text1" w:themeTint="F2"/>
                <w:kern w:val="10"/>
                <w:sz w:val="21"/>
                <w:szCs w:val="21"/>
                <w14:textFill>
                  <w14:solidFill>
                    <w14:schemeClr w14:val="tx1">
                      <w14:lumMod w14:val="95000"/>
                      <w14:lumOff w14:val="5000"/>
                    </w14:schemeClr>
                  </w14:solidFill>
                </w14:textFill>
              </w:rPr>
            </w:pPr>
            <w:r>
              <w:rPr>
                <w:rFonts w:cs="Times New Roman"/>
                <w:color w:val="0D0D0D" w:themeColor="text1" w:themeTint="F2"/>
                <w:kern w:val="10"/>
                <w:sz w:val="21"/>
                <w:szCs w:val="21"/>
                <w14:textFill>
                  <w14:solidFill>
                    <w14:schemeClr w14:val="tx1">
                      <w14:lumMod w14:val="95000"/>
                      <w14:lumOff w14:val="5000"/>
                    </w14:schemeClr>
                  </w14:solidFill>
                </w14:textFill>
              </w:rPr>
              <w:t>/</w:t>
            </w:r>
          </w:p>
        </w:tc>
      </w:tr>
      <w:tr w14:paraId="24DD9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2" w:type="pct"/>
            <w:vAlign w:val="center"/>
          </w:tcPr>
          <w:p w14:paraId="3265A481">
            <w:pPr>
              <w:spacing w:line="240" w:lineRule="auto"/>
              <w:jc w:val="center"/>
              <w:rPr>
                <w:rFonts w:cs="Times New Roman"/>
                <w:color w:val="0D0D0D" w:themeColor="text1" w:themeTint="F2"/>
                <w:kern w:val="10"/>
                <w:sz w:val="21"/>
                <w:szCs w:val="21"/>
                <w14:textFill>
                  <w14:solidFill>
                    <w14:schemeClr w14:val="tx1">
                      <w14:lumMod w14:val="95000"/>
                      <w14:lumOff w14:val="5000"/>
                    </w14:schemeClr>
                  </w14:solidFill>
                </w14:textFill>
              </w:rPr>
            </w:pPr>
            <w:r>
              <w:rPr>
                <w:rFonts w:hint="eastAsia" w:cs="Times New Roman"/>
                <w:color w:val="0D0D0D" w:themeColor="text1" w:themeTint="F2"/>
                <w:kern w:val="10"/>
                <w:sz w:val="21"/>
                <w:szCs w:val="21"/>
                <w14:textFill>
                  <w14:solidFill>
                    <w14:schemeClr w14:val="tx1">
                      <w14:lumMod w14:val="95000"/>
                      <w14:lumOff w14:val="5000"/>
                    </w14:schemeClr>
                  </w14:solidFill>
                </w14:textFill>
              </w:rPr>
              <w:t>甲醇</w:t>
            </w:r>
          </w:p>
        </w:tc>
        <w:tc>
          <w:tcPr>
            <w:tcW w:w="1288" w:type="pct"/>
            <w:vAlign w:val="center"/>
          </w:tcPr>
          <w:p w14:paraId="0064C0C2">
            <w:pPr>
              <w:spacing w:line="240" w:lineRule="auto"/>
              <w:jc w:val="center"/>
              <w:rPr>
                <w:rFonts w:cs="Times New Roman"/>
                <w:color w:val="0D0D0D" w:themeColor="text1" w:themeTint="F2"/>
                <w:kern w:val="10"/>
                <w:sz w:val="21"/>
                <w:szCs w:val="21"/>
                <w14:textFill>
                  <w14:solidFill>
                    <w14:schemeClr w14:val="tx1">
                      <w14:lumMod w14:val="95000"/>
                      <w14:lumOff w14:val="5000"/>
                    </w14:schemeClr>
                  </w14:solidFill>
                </w14:textFill>
              </w:rPr>
            </w:pPr>
            <w:r>
              <w:rPr>
                <w:rFonts w:cs="Times New Roman"/>
                <w:color w:val="0D0D0D" w:themeColor="text1" w:themeTint="F2"/>
                <w:kern w:val="10"/>
                <w:sz w:val="21"/>
                <w:szCs w:val="21"/>
                <w14:textFill>
                  <w14:solidFill>
                    <w14:schemeClr w14:val="tx1">
                      <w14:lumMod w14:val="95000"/>
                      <w14:lumOff w14:val="5000"/>
                    </w14:schemeClr>
                  </w14:solidFill>
                </w14:textFill>
              </w:rPr>
              <w:t>3000</w:t>
            </w:r>
          </w:p>
        </w:tc>
        <w:tc>
          <w:tcPr>
            <w:tcW w:w="1288" w:type="pct"/>
            <w:vAlign w:val="center"/>
          </w:tcPr>
          <w:p w14:paraId="3443886D">
            <w:pPr>
              <w:spacing w:line="240" w:lineRule="auto"/>
              <w:jc w:val="center"/>
              <w:rPr>
                <w:rFonts w:cs="Times New Roman"/>
                <w:color w:val="0D0D0D" w:themeColor="text1" w:themeTint="F2"/>
                <w:kern w:val="10"/>
                <w:sz w:val="21"/>
                <w:szCs w:val="21"/>
                <w14:textFill>
                  <w14:solidFill>
                    <w14:schemeClr w14:val="tx1">
                      <w14:lumMod w14:val="95000"/>
                      <w14:lumOff w14:val="5000"/>
                    </w14:schemeClr>
                  </w14:solidFill>
                </w14:textFill>
              </w:rPr>
            </w:pPr>
            <w:r>
              <w:rPr>
                <w:rFonts w:cs="Times New Roman"/>
                <w:color w:val="0D0D0D" w:themeColor="text1" w:themeTint="F2"/>
                <w:kern w:val="10"/>
                <w:sz w:val="21"/>
                <w:szCs w:val="21"/>
                <w14:textFill>
                  <w14:solidFill>
                    <w14:schemeClr w14:val="tx1">
                      <w14:lumMod w14:val="95000"/>
                      <w14:lumOff w14:val="5000"/>
                    </w14:schemeClr>
                  </w14:solidFill>
                </w14:textFill>
              </w:rPr>
              <w:t>/</w:t>
            </w:r>
          </w:p>
        </w:tc>
        <w:tc>
          <w:tcPr>
            <w:tcW w:w="1212" w:type="pct"/>
            <w:vAlign w:val="center"/>
          </w:tcPr>
          <w:p w14:paraId="1DD58F0C">
            <w:pPr>
              <w:spacing w:line="240" w:lineRule="auto"/>
              <w:jc w:val="center"/>
              <w:rPr>
                <w:rFonts w:cs="Times New Roman"/>
                <w:color w:val="0D0D0D" w:themeColor="text1" w:themeTint="F2"/>
                <w:kern w:val="10"/>
                <w:sz w:val="21"/>
                <w:szCs w:val="21"/>
                <w14:textFill>
                  <w14:solidFill>
                    <w14:schemeClr w14:val="tx1">
                      <w14:lumMod w14:val="95000"/>
                      <w14:lumOff w14:val="5000"/>
                    </w14:schemeClr>
                  </w14:solidFill>
                </w14:textFill>
              </w:rPr>
            </w:pPr>
            <w:r>
              <w:rPr>
                <w:rFonts w:cs="Times New Roman"/>
                <w:color w:val="0D0D0D" w:themeColor="text1" w:themeTint="F2"/>
                <w:kern w:val="10"/>
                <w:sz w:val="21"/>
                <w:szCs w:val="21"/>
                <w14:textFill>
                  <w14:solidFill>
                    <w14:schemeClr w14:val="tx1">
                      <w14:lumMod w14:val="95000"/>
                      <w14:lumOff w14:val="5000"/>
                    </w14:schemeClr>
                  </w14:solidFill>
                </w14:textFill>
              </w:rPr>
              <w:t>1000</w:t>
            </w:r>
          </w:p>
        </w:tc>
      </w:tr>
      <w:tr w14:paraId="0187E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2" w:type="pct"/>
            <w:vAlign w:val="center"/>
          </w:tcPr>
          <w:p w14:paraId="633FB73A">
            <w:pPr>
              <w:spacing w:line="240" w:lineRule="auto"/>
              <w:jc w:val="center"/>
              <w:rPr>
                <w:rFonts w:cs="Times New Roman"/>
                <w:color w:val="0D0D0D" w:themeColor="text1" w:themeTint="F2"/>
                <w:kern w:val="10"/>
                <w:sz w:val="21"/>
                <w:szCs w:val="21"/>
                <w14:textFill>
                  <w14:solidFill>
                    <w14:schemeClr w14:val="tx1">
                      <w14:lumMod w14:val="95000"/>
                      <w14:lumOff w14:val="5000"/>
                    </w14:schemeClr>
                  </w14:solidFill>
                </w14:textFill>
              </w:rPr>
            </w:pPr>
            <w:r>
              <w:rPr>
                <w:rFonts w:hint="eastAsia" w:cs="Times New Roman"/>
                <w:color w:val="0D0D0D" w:themeColor="text1" w:themeTint="F2"/>
                <w:kern w:val="10"/>
                <w:sz w:val="21"/>
                <w:szCs w:val="21"/>
                <w14:textFill>
                  <w14:solidFill>
                    <w14:schemeClr w14:val="tx1">
                      <w14:lumMod w14:val="95000"/>
                      <w14:lumOff w14:val="5000"/>
                    </w14:schemeClr>
                  </w14:solidFill>
                </w14:textFill>
              </w:rPr>
              <w:t>T</w:t>
            </w:r>
            <w:r>
              <w:rPr>
                <w:rFonts w:cs="Times New Roman"/>
                <w:color w:val="0D0D0D" w:themeColor="text1" w:themeTint="F2"/>
                <w:kern w:val="10"/>
                <w:sz w:val="21"/>
                <w:szCs w:val="21"/>
                <w14:textFill>
                  <w14:solidFill>
                    <w14:schemeClr w14:val="tx1">
                      <w14:lumMod w14:val="95000"/>
                      <w14:lumOff w14:val="5000"/>
                    </w14:schemeClr>
                  </w14:solidFill>
                </w14:textFill>
              </w:rPr>
              <w:t>VOC</w:t>
            </w:r>
          </w:p>
        </w:tc>
        <w:tc>
          <w:tcPr>
            <w:tcW w:w="1288" w:type="pct"/>
            <w:vAlign w:val="center"/>
          </w:tcPr>
          <w:p w14:paraId="1E650516">
            <w:pPr>
              <w:spacing w:line="240" w:lineRule="auto"/>
              <w:jc w:val="center"/>
              <w:rPr>
                <w:rFonts w:cs="Times New Roman"/>
                <w:color w:val="0D0D0D" w:themeColor="text1" w:themeTint="F2"/>
                <w:kern w:val="10"/>
                <w:sz w:val="21"/>
                <w:szCs w:val="21"/>
                <w14:textFill>
                  <w14:solidFill>
                    <w14:schemeClr w14:val="tx1">
                      <w14:lumMod w14:val="95000"/>
                      <w14:lumOff w14:val="5000"/>
                    </w14:schemeClr>
                  </w14:solidFill>
                </w14:textFill>
              </w:rPr>
            </w:pPr>
            <w:r>
              <w:rPr>
                <w:rFonts w:hint="eastAsia" w:cs="Times New Roman"/>
                <w:color w:val="0D0D0D" w:themeColor="text1" w:themeTint="F2"/>
                <w:kern w:val="10"/>
                <w:sz w:val="21"/>
                <w:szCs w:val="21"/>
                <w14:textFill>
                  <w14:solidFill>
                    <w14:schemeClr w14:val="tx1">
                      <w14:lumMod w14:val="95000"/>
                      <w14:lumOff w14:val="5000"/>
                    </w14:schemeClr>
                  </w14:solidFill>
                </w14:textFill>
              </w:rPr>
              <w:t>/</w:t>
            </w:r>
          </w:p>
        </w:tc>
        <w:tc>
          <w:tcPr>
            <w:tcW w:w="1288" w:type="pct"/>
            <w:vAlign w:val="center"/>
          </w:tcPr>
          <w:p w14:paraId="2480EEBE">
            <w:pPr>
              <w:spacing w:line="240" w:lineRule="auto"/>
              <w:jc w:val="center"/>
              <w:rPr>
                <w:rFonts w:cs="Times New Roman"/>
                <w:color w:val="0D0D0D" w:themeColor="text1" w:themeTint="F2"/>
                <w:kern w:val="10"/>
                <w:sz w:val="21"/>
                <w:szCs w:val="21"/>
                <w14:textFill>
                  <w14:solidFill>
                    <w14:schemeClr w14:val="tx1">
                      <w14:lumMod w14:val="95000"/>
                      <w14:lumOff w14:val="5000"/>
                    </w14:schemeClr>
                  </w14:solidFill>
                </w14:textFill>
              </w:rPr>
            </w:pPr>
            <w:r>
              <w:rPr>
                <w:rFonts w:hint="eastAsia" w:cs="Times New Roman"/>
                <w:color w:val="0D0D0D" w:themeColor="text1" w:themeTint="F2"/>
                <w:kern w:val="10"/>
                <w:sz w:val="21"/>
                <w:szCs w:val="21"/>
                <w14:textFill>
                  <w14:solidFill>
                    <w14:schemeClr w14:val="tx1">
                      <w14:lumMod w14:val="95000"/>
                      <w14:lumOff w14:val="5000"/>
                    </w14:schemeClr>
                  </w14:solidFill>
                </w14:textFill>
              </w:rPr>
              <w:t>6</w:t>
            </w:r>
            <w:r>
              <w:rPr>
                <w:rFonts w:cs="Times New Roman"/>
                <w:color w:val="0D0D0D" w:themeColor="text1" w:themeTint="F2"/>
                <w:kern w:val="10"/>
                <w:sz w:val="21"/>
                <w:szCs w:val="21"/>
                <w14:textFill>
                  <w14:solidFill>
                    <w14:schemeClr w14:val="tx1">
                      <w14:lumMod w14:val="95000"/>
                      <w14:lumOff w14:val="5000"/>
                    </w14:schemeClr>
                  </w14:solidFill>
                </w14:textFill>
              </w:rPr>
              <w:t>00</w:t>
            </w:r>
          </w:p>
        </w:tc>
        <w:tc>
          <w:tcPr>
            <w:tcW w:w="1212" w:type="pct"/>
            <w:vAlign w:val="center"/>
          </w:tcPr>
          <w:p w14:paraId="0153A906">
            <w:pPr>
              <w:spacing w:line="240" w:lineRule="auto"/>
              <w:jc w:val="center"/>
              <w:rPr>
                <w:rFonts w:cs="Times New Roman"/>
                <w:color w:val="0D0D0D" w:themeColor="text1" w:themeTint="F2"/>
                <w:kern w:val="10"/>
                <w:sz w:val="21"/>
                <w:szCs w:val="21"/>
                <w14:textFill>
                  <w14:solidFill>
                    <w14:schemeClr w14:val="tx1">
                      <w14:lumMod w14:val="95000"/>
                      <w14:lumOff w14:val="5000"/>
                    </w14:schemeClr>
                  </w14:solidFill>
                </w14:textFill>
              </w:rPr>
            </w:pPr>
            <w:r>
              <w:rPr>
                <w:rFonts w:hint="eastAsia" w:cs="Times New Roman"/>
                <w:color w:val="0D0D0D" w:themeColor="text1" w:themeTint="F2"/>
                <w:kern w:val="10"/>
                <w:sz w:val="21"/>
                <w:szCs w:val="21"/>
                <w14:textFill>
                  <w14:solidFill>
                    <w14:schemeClr w14:val="tx1">
                      <w14:lumMod w14:val="95000"/>
                      <w14:lumOff w14:val="5000"/>
                    </w14:schemeClr>
                  </w14:solidFill>
                </w14:textFill>
              </w:rPr>
              <w:t>/</w:t>
            </w:r>
          </w:p>
        </w:tc>
      </w:tr>
    </w:tbl>
    <w:p w14:paraId="6FADB5D0">
      <w:pPr>
        <w:pStyle w:val="11"/>
      </w:pPr>
      <w:r>
        <w:rPr>
          <w:rFonts w:hint="eastAsia"/>
        </w:rPr>
        <w:t xml:space="preserve"> 《大气污染物综合排放标准详解》（摘录）</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8"/>
        <w:gridCol w:w="3174"/>
        <w:gridCol w:w="2760"/>
      </w:tblGrid>
      <w:tr w14:paraId="214E6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90" w:type="pct"/>
            <w:vAlign w:val="center"/>
          </w:tcPr>
          <w:p w14:paraId="383B7332">
            <w:pPr>
              <w:spacing w:line="240" w:lineRule="auto"/>
              <w:jc w:val="center"/>
              <w:rPr>
                <w:rFonts w:cs="Times New Roman"/>
                <w:color w:val="0D0D0D" w:themeColor="text1" w:themeTint="F2"/>
                <w:kern w:val="10"/>
                <w:sz w:val="21"/>
                <w:szCs w:val="21"/>
                <w14:textFill>
                  <w14:solidFill>
                    <w14:schemeClr w14:val="tx1">
                      <w14:lumMod w14:val="95000"/>
                      <w14:lumOff w14:val="5000"/>
                    </w14:schemeClr>
                  </w14:solidFill>
                </w14:textFill>
              </w:rPr>
            </w:pPr>
            <w:r>
              <w:rPr>
                <w:rFonts w:cs="Times New Roman"/>
                <w:color w:val="0D0D0D" w:themeColor="text1" w:themeTint="F2"/>
                <w:kern w:val="10"/>
                <w:sz w:val="21"/>
                <w:szCs w:val="21"/>
                <w14:textFill>
                  <w14:solidFill>
                    <w14:schemeClr w14:val="tx1">
                      <w14:lumMod w14:val="95000"/>
                      <w14:lumOff w14:val="5000"/>
                    </w14:schemeClr>
                  </w14:solidFill>
                </w14:textFill>
              </w:rPr>
              <w:t>污染因子</w:t>
            </w:r>
          </w:p>
        </w:tc>
        <w:tc>
          <w:tcPr>
            <w:tcW w:w="1717" w:type="pct"/>
            <w:vAlign w:val="center"/>
          </w:tcPr>
          <w:p w14:paraId="5BBF2692">
            <w:pPr>
              <w:spacing w:line="240" w:lineRule="auto"/>
              <w:jc w:val="center"/>
              <w:rPr>
                <w:rFonts w:cs="Times New Roman"/>
                <w:color w:val="0D0D0D" w:themeColor="text1" w:themeTint="F2"/>
                <w:kern w:val="10"/>
                <w:sz w:val="21"/>
                <w:szCs w:val="21"/>
                <w14:textFill>
                  <w14:solidFill>
                    <w14:schemeClr w14:val="tx1">
                      <w14:lumMod w14:val="95000"/>
                      <w14:lumOff w14:val="5000"/>
                    </w14:schemeClr>
                  </w14:solidFill>
                </w14:textFill>
              </w:rPr>
            </w:pPr>
            <w:r>
              <w:rPr>
                <w:rFonts w:cs="Times New Roman"/>
                <w:color w:val="0D0D0D" w:themeColor="text1" w:themeTint="F2"/>
                <w:kern w:val="10"/>
                <w:sz w:val="21"/>
                <w:szCs w:val="21"/>
                <w14:textFill>
                  <w14:solidFill>
                    <w14:schemeClr w14:val="tx1">
                      <w14:lumMod w14:val="95000"/>
                      <w14:lumOff w14:val="5000"/>
                    </w14:schemeClr>
                  </w14:solidFill>
                </w14:textFill>
              </w:rPr>
              <w:t>平均时间</w:t>
            </w:r>
          </w:p>
        </w:tc>
        <w:tc>
          <w:tcPr>
            <w:tcW w:w="1493" w:type="pct"/>
            <w:vAlign w:val="center"/>
          </w:tcPr>
          <w:p w14:paraId="4F378DF9">
            <w:pPr>
              <w:spacing w:line="240" w:lineRule="auto"/>
              <w:jc w:val="center"/>
              <w:rPr>
                <w:rFonts w:cs="Times New Roman"/>
                <w:color w:val="0D0D0D" w:themeColor="text1" w:themeTint="F2"/>
                <w:kern w:val="10"/>
                <w:sz w:val="21"/>
                <w:szCs w:val="21"/>
                <w14:textFill>
                  <w14:solidFill>
                    <w14:schemeClr w14:val="tx1">
                      <w14:lumMod w14:val="95000"/>
                      <w14:lumOff w14:val="5000"/>
                    </w14:schemeClr>
                  </w14:solidFill>
                </w14:textFill>
              </w:rPr>
            </w:pPr>
            <w:r>
              <w:rPr>
                <w:rFonts w:cs="Times New Roman"/>
                <w:color w:val="0D0D0D" w:themeColor="text1" w:themeTint="F2"/>
                <w:kern w:val="10"/>
                <w:sz w:val="21"/>
                <w:szCs w:val="21"/>
                <w14:textFill>
                  <w14:solidFill>
                    <w14:schemeClr w14:val="tx1">
                      <w14:lumMod w14:val="95000"/>
                      <w14:lumOff w14:val="5000"/>
                    </w14:schemeClr>
                  </w14:solidFill>
                </w14:textFill>
              </w:rPr>
              <w:t>浓度限值</w:t>
            </w:r>
          </w:p>
        </w:tc>
      </w:tr>
      <w:tr w14:paraId="6162A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90" w:type="pct"/>
            <w:vAlign w:val="center"/>
          </w:tcPr>
          <w:p w14:paraId="58104319">
            <w:pPr>
              <w:spacing w:line="240" w:lineRule="auto"/>
              <w:jc w:val="center"/>
              <w:rPr>
                <w:rFonts w:cs="Times New Roman"/>
                <w:color w:val="0D0D0D" w:themeColor="text1" w:themeTint="F2"/>
                <w:kern w:val="10"/>
                <w:sz w:val="21"/>
                <w:szCs w:val="21"/>
                <w14:textFill>
                  <w14:solidFill>
                    <w14:schemeClr w14:val="tx1">
                      <w14:lumMod w14:val="95000"/>
                      <w14:lumOff w14:val="5000"/>
                    </w14:schemeClr>
                  </w14:solidFill>
                </w14:textFill>
              </w:rPr>
            </w:pPr>
            <w:r>
              <w:rPr>
                <w:rFonts w:cs="Times New Roman"/>
                <w:color w:val="0D0D0D" w:themeColor="text1" w:themeTint="F2"/>
                <w:kern w:val="10"/>
                <w:sz w:val="21"/>
                <w:szCs w:val="21"/>
                <w14:textFill>
                  <w14:solidFill>
                    <w14:schemeClr w14:val="tx1">
                      <w14:lumMod w14:val="95000"/>
                      <w14:lumOff w14:val="5000"/>
                    </w14:schemeClr>
                  </w14:solidFill>
                </w14:textFill>
              </w:rPr>
              <w:t>非甲烷总烃</w:t>
            </w:r>
          </w:p>
        </w:tc>
        <w:tc>
          <w:tcPr>
            <w:tcW w:w="1717" w:type="pct"/>
            <w:vAlign w:val="center"/>
          </w:tcPr>
          <w:p w14:paraId="02EAFDC9">
            <w:pPr>
              <w:spacing w:line="240" w:lineRule="auto"/>
              <w:jc w:val="center"/>
              <w:rPr>
                <w:rFonts w:cs="Times New Roman"/>
                <w:color w:val="0D0D0D" w:themeColor="text1" w:themeTint="F2"/>
                <w:kern w:val="10"/>
                <w:sz w:val="21"/>
                <w:szCs w:val="21"/>
                <w14:textFill>
                  <w14:solidFill>
                    <w14:schemeClr w14:val="tx1">
                      <w14:lumMod w14:val="95000"/>
                      <w14:lumOff w14:val="5000"/>
                    </w14:schemeClr>
                  </w14:solidFill>
                </w14:textFill>
              </w:rPr>
            </w:pPr>
            <w:r>
              <w:rPr>
                <w:rFonts w:cs="Times New Roman"/>
                <w:color w:val="0D0D0D" w:themeColor="text1" w:themeTint="F2"/>
                <w:kern w:val="10"/>
                <w:sz w:val="21"/>
                <w:szCs w:val="21"/>
                <w14:textFill>
                  <w14:solidFill>
                    <w14:schemeClr w14:val="tx1">
                      <w14:lumMod w14:val="95000"/>
                      <w14:lumOff w14:val="5000"/>
                    </w14:schemeClr>
                  </w14:solidFill>
                </w14:textFill>
              </w:rPr>
              <w:t>1小时平均</w:t>
            </w:r>
          </w:p>
        </w:tc>
        <w:tc>
          <w:tcPr>
            <w:tcW w:w="1493" w:type="pct"/>
            <w:vAlign w:val="center"/>
          </w:tcPr>
          <w:p w14:paraId="0C16CA7C">
            <w:pPr>
              <w:spacing w:line="240" w:lineRule="auto"/>
              <w:jc w:val="center"/>
              <w:rPr>
                <w:rFonts w:cs="Times New Roman"/>
                <w:color w:val="0D0D0D" w:themeColor="text1" w:themeTint="F2"/>
                <w:kern w:val="10"/>
                <w:sz w:val="21"/>
                <w:szCs w:val="21"/>
                <w14:textFill>
                  <w14:solidFill>
                    <w14:schemeClr w14:val="tx1">
                      <w14:lumMod w14:val="95000"/>
                      <w14:lumOff w14:val="5000"/>
                    </w14:schemeClr>
                  </w14:solidFill>
                </w14:textFill>
              </w:rPr>
            </w:pPr>
            <w:r>
              <w:rPr>
                <w:rFonts w:cs="Times New Roman"/>
                <w:color w:val="0D0D0D" w:themeColor="text1" w:themeTint="F2"/>
                <w:kern w:val="10"/>
                <w:sz w:val="21"/>
                <w:szCs w:val="21"/>
                <w14:textFill>
                  <w14:solidFill>
                    <w14:schemeClr w14:val="tx1">
                      <w14:lumMod w14:val="95000"/>
                      <w14:lumOff w14:val="5000"/>
                    </w14:schemeClr>
                  </w14:solidFill>
                </w14:textFill>
              </w:rPr>
              <w:t>2.0mg/m</w:t>
            </w:r>
            <w:r>
              <w:rPr>
                <w:rFonts w:cs="Times New Roman"/>
                <w:color w:val="0D0D0D" w:themeColor="text1" w:themeTint="F2"/>
                <w:kern w:val="10"/>
                <w:sz w:val="21"/>
                <w:szCs w:val="21"/>
                <w:vertAlign w:val="superscript"/>
                <w14:textFill>
                  <w14:solidFill>
                    <w14:schemeClr w14:val="tx1">
                      <w14:lumMod w14:val="95000"/>
                      <w14:lumOff w14:val="5000"/>
                    </w14:schemeClr>
                  </w14:solidFill>
                </w14:textFill>
              </w:rPr>
              <w:t>3</w:t>
            </w:r>
          </w:p>
        </w:tc>
      </w:tr>
    </w:tbl>
    <w:p w14:paraId="593CB3C2">
      <w:pPr>
        <w:pStyle w:val="2"/>
        <w:ind w:firstLine="240"/>
      </w:pPr>
      <w:r>
        <w:br w:type="page"/>
      </w:r>
    </w:p>
    <w:p w14:paraId="6CED01AA">
      <w:pPr>
        <w:ind w:firstLine="482" w:firstLineChars="200"/>
        <w:rPr>
          <w:b/>
          <w:bCs/>
          <w:color w:val="0D0D0D" w:themeColor="text1" w:themeTint="F2"/>
          <w:u w:val="single"/>
          <w14:textFill>
            <w14:solidFill>
              <w14:schemeClr w14:val="tx1">
                <w14:lumMod w14:val="95000"/>
                <w14:lumOff w14:val="5000"/>
              </w14:schemeClr>
            </w14:solidFill>
          </w14:textFill>
        </w:rPr>
      </w:pPr>
      <w:r>
        <w:rPr>
          <w:rFonts w:hint="eastAsia"/>
          <w:b/>
          <w:bCs/>
          <w:color w:val="0D0D0D" w:themeColor="text1" w:themeTint="F2"/>
          <w:u w:val="single"/>
          <w14:textFill>
            <w14:solidFill>
              <w14:schemeClr w14:val="tx1">
                <w14:lumMod w14:val="95000"/>
                <w14:lumOff w14:val="5000"/>
              </w14:schemeClr>
            </w14:solidFill>
          </w14:textFill>
        </w:rPr>
        <w:t>（2）地表水</w:t>
      </w:r>
    </w:p>
    <w:p w14:paraId="6BAF9BCD">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对坎龙水库执行《地表水环境质量标准》（GB3838-2002）Ⅲ类标准，标准限值详见表2.4-4。</w:t>
      </w:r>
    </w:p>
    <w:p w14:paraId="119E6936">
      <w:pPr>
        <w:pStyle w:val="11"/>
      </w:pPr>
      <w:r>
        <w:rPr>
          <w:rFonts w:hint="eastAsia"/>
        </w:rPr>
        <w:t xml:space="preserve"> 《地表水环境质量标准》（摘录）</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6"/>
        <w:gridCol w:w="3081"/>
        <w:gridCol w:w="3845"/>
      </w:tblGrid>
      <w:tr w14:paraId="70582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3" w:type="pct"/>
            <w:vAlign w:val="center"/>
          </w:tcPr>
          <w:p w14:paraId="585830A3">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序号</w:t>
            </w:r>
          </w:p>
        </w:tc>
        <w:tc>
          <w:tcPr>
            <w:tcW w:w="1667" w:type="pct"/>
            <w:vAlign w:val="center"/>
          </w:tcPr>
          <w:p w14:paraId="4A4ED254">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w:t>
            </w:r>
          </w:p>
        </w:tc>
        <w:tc>
          <w:tcPr>
            <w:tcW w:w="2080" w:type="pct"/>
            <w:vAlign w:val="center"/>
          </w:tcPr>
          <w:p w14:paraId="4CE7B6AF">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Ⅲ类标准</w:t>
            </w:r>
          </w:p>
        </w:tc>
      </w:tr>
      <w:tr w14:paraId="26059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3" w:type="pct"/>
            <w:vAlign w:val="center"/>
          </w:tcPr>
          <w:p w14:paraId="01C5C8AF">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w:t>
            </w:r>
          </w:p>
        </w:tc>
        <w:tc>
          <w:tcPr>
            <w:tcW w:w="1667" w:type="pct"/>
            <w:vAlign w:val="center"/>
          </w:tcPr>
          <w:p w14:paraId="1BB09D72">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pH值</w:t>
            </w:r>
          </w:p>
        </w:tc>
        <w:tc>
          <w:tcPr>
            <w:tcW w:w="2080" w:type="pct"/>
            <w:vAlign w:val="center"/>
          </w:tcPr>
          <w:p w14:paraId="6194D6E9">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6～9</w:t>
            </w:r>
          </w:p>
        </w:tc>
      </w:tr>
      <w:tr w14:paraId="70E37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3" w:type="pct"/>
            <w:vAlign w:val="center"/>
          </w:tcPr>
          <w:p w14:paraId="3F9EDBDC">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w:t>
            </w:r>
          </w:p>
        </w:tc>
        <w:tc>
          <w:tcPr>
            <w:tcW w:w="1667" w:type="pct"/>
            <w:vAlign w:val="center"/>
          </w:tcPr>
          <w:p w14:paraId="4C656F12">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溶解氧</w:t>
            </w:r>
          </w:p>
        </w:tc>
        <w:tc>
          <w:tcPr>
            <w:tcW w:w="2080" w:type="pct"/>
            <w:vAlign w:val="center"/>
          </w:tcPr>
          <w:p w14:paraId="6A62F1CF">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≥5</w:t>
            </w:r>
          </w:p>
        </w:tc>
      </w:tr>
      <w:tr w14:paraId="6C68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3" w:type="pct"/>
            <w:vAlign w:val="center"/>
          </w:tcPr>
          <w:p w14:paraId="62694E23">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w:t>
            </w:r>
          </w:p>
        </w:tc>
        <w:tc>
          <w:tcPr>
            <w:tcW w:w="1667" w:type="pct"/>
            <w:vAlign w:val="center"/>
          </w:tcPr>
          <w:p w14:paraId="7CE77272">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COD</w:t>
            </w:r>
          </w:p>
        </w:tc>
        <w:tc>
          <w:tcPr>
            <w:tcW w:w="2080" w:type="pct"/>
            <w:vAlign w:val="center"/>
          </w:tcPr>
          <w:p w14:paraId="561E8888">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≤20</w:t>
            </w:r>
          </w:p>
        </w:tc>
      </w:tr>
      <w:tr w14:paraId="6A0B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3" w:type="pct"/>
            <w:vAlign w:val="center"/>
          </w:tcPr>
          <w:p w14:paraId="07A15EAA">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w:t>
            </w:r>
          </w:p>
        </w:tc>
        <w:tc>
          <w:tcPr>
            <w:tcW w:w="1667" w:type="pct"/>
            <w:vAlign w:val="center"/>
          </w:tcPr>
          <w:p w14:paraId="54B945BF">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BOD</w:t>
            </w:r>
            <w:r>
              <w:rPr>
                <w:color w:val="0D0D0D" w:themeColor="text1" w:themeTint="F2"/>
                <w:sz w:val="21"/>
                <w:szCs w:val="21"/>
                <w:u w:val="single"/>
                <w:vertAlign w:val="subscript"/>
                <w14:textFill>
                  <w14:solidFill>
                    <w14:schemeClr w14:val="tx1">
                      <w14:lumMod w14:val="95000"/>
                      <w14:lumOff w14:val="5000"/>
                    </w14:schemeClr>
                  </w14:solidFill>
                </w14:textFill>
              </w:rPr>
              <w:t>5</w:t>
            </w:r>
          </w:p>
        </w:tc>
        <w:tc>
          <w:tcPr>
            <w:tcW w:w="2080" w:type="pct"/>
            <w:vAlign w:val="center"/>
          </w:tcPr>
          <w:p w14:paraId="62B58DBF">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w:t>
            </w:r>
          </w:p>
        </w:tc>
      </w:tr>
      <w:tr w14:paraId="0921C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3" w:type="pct"/>
            <w:vAlign w:val="center"/>
          </w:tcPr>
          <w:p w14:paraId="5F9E5746">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5</w:t>
            </w:r>
          </w:p>
        </w:tc>
        <w:tc>
          <w:tcPr>
            <w:tcW w:w="1667" w:type="pct"/>
            <w:vAlign w:val="center"/>
          </w:tcPr>
          <w:p w14:paraId="5886F843">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氨氮</w:t>
            </w:r>
          </w:p>
        </w:tc>
        <w:tc>
          <w:tcPr>
            <w:tcW w:w="2080" w:type="pct"/>
            <w:vAlign w:val="center"/>
          </w:tcPr>
          <w:p w14:paraId="4CEF0864">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≤1.0</w:t>
            </w:r>
          </w:p>
        </w:tc>
      </w:tr>
      <w:tr w14:paraId="64EAD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3" w:type="pct"/>
            <w:vAlign w:val="center"/>
          </w:tcPr>
          <w:p w14:paraId="0B1BE769">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6</w:t>
            </w:r>
          </w:p>
        </w:tc>
        <w:tc>
          <w:tcPr>
            <w:tcW w:w="1667" w:type="pct"/>
            <w:vAlign w:val="center"/>
          </w:tcPr>
          <w:p w14:paraId="488968B5">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总磷</w:t>
            </w:r>
          </w:p>
        </w:tc>
        <w:tc>
          <w:tcPr>
            <w:tcW w:w="2080" w:type="pct"/>
            <w:vAlign w:val="center"/>
          </w:tcPr>
          <w:p w14:paraId="5A82BF1E">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≤0.2</w:t>
            </w:r>
          </w:p>
        </w:tc>
      </w:tr>
      <w:tr w14:paraId="2DE16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3" w:type="pct"/>
            <w:vAlign w:val="center"/>
          </w:tcPr>
          <w:p w14:paraId="316906ED">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7</w:t>
            </w:r>
          </w:p>
        </w:tc>
        <w:tc>
          <w:tcPr>
            <w:tcW w:w="1667" w:type="pct"/>
            <w:vAlign w:val="center"/>
          </w:tcPr>
          <w:p w14:paraId="253B8678">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总氮</w:t>
            </w:r>
          </w:p>
        </w:tc>
        <w:tc>
          <w:tcPr>
            <w:tcW w:w="2080" w:type="pct"/>
            <w:vAlign w:val="center"/>
          </w:tcPr>
          <w:p w14:paraId="77A2714C">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≤1.0</w:t>
            </w:r>
          </w:p>
        </w:tc>
      </w:tr>
      <w:tr w14:paraId="2E285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3" w:type="pct"/>
            <w:vAlign w:val="center"/>
          </w:tcPr>
          <w:p w14:paraId="3B80C72B">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8</w:t>
            </w:r>
          </w:p>
        </w:tc>
        <w:tc>
          <w:tcPr>
            <w:tcW w:w="1667" w:type="pct"/>
            <w:vAlign w:val="center"/>
          </w:tcPr>
          <w:p w14:paraId="56658D51">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石油类</w:t>
            </w:r>
          </w:p>
        </w:tc>
        <w:tc>
          <w:tcPr>
            <w:tcW w:w="2080" w:type="pct"/>
            <w:vAlign w:val="center"/>
          </w:tcPr>
          <w:p w14:paraId="10EB4E52">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≤0.05</w:t>
            </w:r>
          </w:p>
        </w:tc>
      </w:tr>
    </w:tbl>
    <w:p w14:paraId="2B605319">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（3）海水</w:t>
      </w:r>
    </w:p>
    <w:p w14:paraId="2960ABF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东面海域为钦州港大榄坪港口、工业区（GX055DⅣ），南面海域为钦州港果子山港口区（GX054DⅣ）和钦州港金鼓江排污混合区（GX056DⅣ），根据《广西壮族自治区人民政府办公厅关于印发广西壮族自治区近岸海域环境功能区划调整方案的通知》（桂政办发〔2023〕9号），上述海域均执行《海水水质标准》（GB3097-1997）第四类标准。详见表2.4-5。</w:t>
      </w:r>
    </w:p>
    <w:p w14:paraId="0D8249F7">
      <w:pPr>
        <w:pStyle w:val="11"/>
      </w:pPr>
      <w:r>
        <w:rPr>
          <w:rFonts w:hint="eastAsia"/>
        </w:rPr>
        <w:t xml:space="preserve"> 《海水水质标准》（摘录）</w:t>
      </w:r>
    </w:p>
    <w:tbl>
      <w:tblPr>
        <w:tblStyle w:val="3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160"/>
        <w:gridCol w:w="6876"/>
      </w:tblGrid>
      <w:tr w14:paraId="4CC5BA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1195" w:type="pct"/>
            <w:shd w:val="clear" w:color="auto" w:fill="FFFFFF"/>
            <w:vAlign w:val="center"/>
          </w:tcPr>
          <w:p w14:paraId="540FE5D9">
            <w:pPr>
              <w:spacing w:line="0" w:lineRule="atLeast"/>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项目</w:t>
            </w:r>
          </w:p>
        </w:tc>
        <w:tc>
          <w:tcPr>
            <w:tcW w:w="3805" w:type="pct"/>
            <w:shd w:val="clear" w:color="auto" w:fill="FFFFFF"/>
            <w:vAlign w:val="center"/>
          </w:tcPr>
          <w:p w14:paraId="00F1869C">
            <w:pPr>
              <w:spacing w:line="0" w:lineRule="atLeast"/>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第四类</w:t>
            </w:r>
            <w:r>
              <w:rPr>
                <w:rFonts w:hint="eastAsia"/>
                <w:color w:val="0D0D0D" w:themeColor="text1" w:themeTint="F2"/>
                <w:sz w:val="21"/>
                <w:szCs w:val="21"/>
                <w14:textFill>
                  <w14:solidFill>
                    <w14:schemeClr w14:val="tx1">
                      <w14:lumMod w14:val="95000"/>
                      <w14:lumOff w14:val="5000"/>
                    </w14:schemeClr>
                  </w14:solidFill>
                </w14:textFill>
              </w:rPr>
              <w:t>标准（mg/L）</w:t>
            </w:r>
          </w:p>
        </w:tc>
      </w:tr>
      <w:tr w14:paraId="627CE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95" w:type="pct"/>
            <w:shd w:val="clear" w:color="auto" w:fill="FFFFFF"/>
            <w:vAlign w:val="center"/>
          </w:tcPr>
          <w:p w14:paraId="0851CC40">
            <w:pPr>
              <w:spacing w:line="0" w:lineRule="atLeast"/>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水温</w:t>
            </w:r>
          </w:p>
        </w:tc>
        <w:tc>
          <w:tcPr>
            <w:tcW w:w="3805" w:type="pct"/>
            <w:shd w:val="clear" w:color="auto" w:fill="FFFFFF"/>
            <w:vAlign w:val="center"/>
          </w:tcPr>
          <w:p w14:paraId="4515702B">
            <w:pPr>
              <w:spacing w:line="0" w:lineRule="atLeast"/>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人为造成的海水温升不超过当时当地4℃</w:t>
            </w:r>
          </w:p>
        </w:tc>
      </w:tr>
      <w:tr w14:paraId="0A8C0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95" w:type="pct"/>
            <w:shd w:val="clear" w:color="auto" w:fill="FFFFFF"/>
            <w:vAlign w:val="center"/>
          </w:tcPr>
          <w:p w14:paraId="6DE7A522">
            <w:pPr>
              <w:spacing w:line="0" w:lineRule="atLeast"/>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pH值</w:t>
            </w:r>
          </w:p>
        </w:tc>
        <w:tc>
          <w:tcPr>
            <w:tcW w:w="3805" w:type="pct"/>
            <w:shd w:val="clear" w:color="auto" w:fill="FFFFFF"/>
            <w:vAlign w:val="center"/>
          </w:tcPr>
          <w:p w14:paraId="6AB706C7">
            <w:pPr>
              <w:spacing w:line="0" w:lineRule="atLeast"/>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6.8-8.8</w:t>
            </w:r>
          </w:p>
        </w:tc>
      </w:tr>
      <w:tr w14:paraId="36D21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95" w:type="pct"/>
            <w:shd w:val="clear" w:color="auto" w:fill="FFFFFF"/>
            <w:vAlign w:val="center"/>
          </w:tcPr>
          <w:p w14:paraId="38635527">
            <w:pPr>
              <w:spacing w:line="0" w:lineRule="atLeast"/>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DO</w:t>
            </w:r>
          </w:p>
        </w:tc>
        <w:tc>
          <w:tcPr>
            <w:tcW w:w="3805" w:type="pct"/>
            <w:shd w:val="clear" w:color="auto" w:fill="FFFFFF"/>
            <w:vAlign w:val="center"/>
          </w:tcPr>
          <w:p w14:paraId="3EB4BD61">
            <w:pPr>
              <w:spacing w:line="0" w:lineRule="atLeast"/>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＞3</w:t>
            </w:r>
          </w:p>
        </w:tc>
      </w:tr>
      <w:tr w14:paraId="2AB98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95" w:type="pct"/>
            <w:shd w:val="clear" w:color="auto" w:fill="FFFFFF"/>
            <w:vAlign w:val="center"/>
          </w:tcPr>
          <w:p w14:paraId="35091736">
            <w:pPr>
              <w:spacing w:line="0" w:lineRule="atLeast"/>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COD</w:t>
            </w:r>
            <w:r>
              <w:rPr>
                <w:color w:val="0D0D0D" w:themeColor="text1" w:themeTint="F2"/>
                <w:sz w:val="21"/>
                <w:szCs w:val="21"/>
                <w:vertAlign w:val="subscript"/>
                <w14:textFill>
                  <w14:solidFill>
                    <w14:schemeClr w14:val="tx1">
                      <w14:lumMod w14:val="95000"/>
                      <w14:lumOff w14:val="5000"/>
                    </w14:schemeClr>
                  </w14:solidFill>
                </w14:textFill>
              </w:rPr>
              <w:t>Mn</w:t>
            </w:r>
          </w:p>
        </w:tc>
        <w:tc>
          <w:tcPr>
            <w:tcW w:w="3805" w:type="pct"/>
            <w:shd w:val="clear" w:color="auto" w:fill="FFFFFF"/>
            <w:vAlign w:val="center"/>
          </w:tcPr>
          <w:p w14:paraId="1047BA0F">
            <w:pPr>
              <w:spacing w:line="0" w:lineRule="atLeast"/>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≤5</w:t>
            </w:r>
          </w:p>
        </w:tc>
      </w:tr>
      <w:tr w14:paraId="3E400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95" w:type="pct"/>
            <w:shd w:val="clear" w:color="auto" w:fill="FFFFFF"/>
            <w:vAlign w:val="center"/>
          </w:tcPr>
          <w:p w14:paraId="2B63BBCE">
            <w:pPr>
              <w:spacing w:line="0" w:lineRule="atLeast"/>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BOD</w:t>
            </w:r>
            <w:r>
              <w:rPr>
                <w:color w:val="0D0D0D" w:themeColor="text1" w:themeTint="F2"/>
                <w:sz w:val="21"/>
                <w:szCs w:val="21"/>
                <w:vertAlign w:val="subscript"/>
                <w14:textFill>
                  <w14:solidFill>
                    <w14:schemeClr w14:val="tx1">
                      <w14:lumMod w14:val="95000"/>
                      <w14:lumOff w14:val="5000"/>
                    </w14:schemeClr>
                  </w14:solidFill>
                </w14:textFill>
              </w:rPr>
              <w:t>5</w:t>
            </w:r>
          </w:p>
        </w:tc>
        <w:tc>
          <w:tcPr>
            <w:tcW w:w="3805" w:type="pct"/>
            <w:shd w:val="clear" w:color="auto" w:fill="FFFFFF"/>
            <w:vAlign w:val="center"/>
          </w:tcPr>
          <w:p w14:paraId="2B2ED221">
            <w:pPr>
              <w:spacing w:line="0" w:lineRule="atLeast"/>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≤5</w:t>
            </w:r>
          </w:p>
        </w:tc>
      </w:tr>
      <w:tr w14:paraId="05754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95" w:type="pct"/>
            <w:shd w:val="clear" w:color="auto" w:fill="FFFFFF"/>
            <w:vAlign w:val="center"/>
          </w:tcPr>
          <w:p w14:paraId="39F44A50">
            <w:pPr>
              <w:spacing w:line="0" w:lineRule="atLeast"/>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SS</w:t>
            </w:r>
          </w:p>
        </w:tc>
        <w:tc>
          <w:tcPr>
            <w:tcW w:w="3805" w:type="pct"/>
            <w:shd w:val="clear" w:color="auto" w:fill="FFFFFF"/>
            <w:vAlign w:val="center"/>
          </w:tcPr>
          <w:p w14:paraId="314A2B8B">
            <w:pPr>
              <w:spacing w:line="0" w:lineRule="atLeast"/>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人为增加量≤150</w:t>
            </w:r>
          </w:p>
        </w:tc>
      </w:tr>
      <w:tr w14:paraId="3538F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95" w:type="pct"/>
            <w:shd w:val="clear" w:color="auto" w:fill="FFFFFF"/>
            <w:vAlign w:val="center"/>
          </w:tcPr>
          <w:p w14:paraId="7F4A37BD">
            <w:pPr>
              <w:spacing w:line="0" w:lineRule="atLeast"/>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无机氮</w:t>
            </w:r>
          </w:p>
        </w:tc>
        <w:tc>
          <w:tcPr>
            <w:tcW w:w="3805" w:type="pct"/>
            <w:shd w:val="clear" w:color="auto" w:fill="FFFFFF"/>
            <w:vAlign w:val="center"/>
          </w:tcPr>
          <w:p w14:paraId="611D1EF1">
            <w:pPr>
              <w:spacing w:line="0" w:lineRule="atLeast"/>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≤0.5</w:t>
            </w:r>
          </w:p>
        </w:tc>
      </w:tr>
      <w:tr w14:paraId="2E6690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95" w:type="pct"/>
            <w:shd w:val="clear" w:color="auto" w:fill="FFFFFF"/>
            <w:vAlign w:val="center"/>
          </w:tcPr>
          <w:p w14:paraId="661E429F">
            <w:pPr>
              <w:spacing w:line="0" w:lineRule="atLeast"/>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非离子氨</w:t>
            </w:r>
          </w:p>
        </w:tc>
        <w:tc>
          <w:tcPr>
            <w:tcW w:w="3805" w:type="pct"/>
            <w:shd w:val="clear" w:color="auto" w:fill="FFFFFF"/>
            <w:vAlign w:val="center"/>
          </w:tcPr>
          <w:p w14:paraId="31EEBA1C">
            <w:pPr>
              <w:spacing w:line="0" w:lineRule="atLeast"/>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≤0.02</w:t>
            </w:r>
          </w:p>
        </w:tc>
      </w:tr>
      <w:tr w14:paraId="39B8C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95" w:type="pct"/>
            <w:shd w:val="clear" w:color="auto" w:fill="FFFFFF"/>
            <w:vAlign w:val="center"/>
          </w:tcPr>
          <w:p w14:paraId="2FC901C8">
            <w:pPr>
              <w:spacing w:line="0" w:lineRule="atLeast"/>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活性磷酸盐</w:t>
            </w:r>
          </w:p>
        </w:tc>
        <w:tc>
          <w:tcPr>
            <w:tcW w:w="3805" w:type="pct"/>
            <w:shd w:val="clear" w:color="auto" w:fill="FFFFFF"/>
            <w:vAlign w:val="center"/>
          </w:tcPr>
          <w:p w14:paraId="7F09E590">
            <w:pPr>
              <w:spacing w:line="0" w:lineRule="atLeast"/>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≤0.045</w:t>
            </w:r>
          </w:p>
        </w:tc>
      </w:tr>
      <w:tr w14:paraId="10A64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95" w:type="pct"/>
            <w:shd w:val="clear" w:color="auto" w:fill="FFFFFF"/>
            <w:vAlign w:val="center"/>
          </w:tcPr>
          <w:p w14:paraId="0055EC84">
            <w:pPr>
              <w:spacing w:line="0" w:lineRule="atLeast"/>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石油类</w:t>
            </w:r>
          </w:p>
        </w:tc>
        <w:tc>
          <w:tcPr>
            <w:tcW w:w="3805" w:type="pct"/>
            <w:shd w:val="clear" w:color="auto" w:fill="FFFFFF"/>
            <w:vAlign w:val="center"/>
          </w:tcPr>
          <w:p w14:paraId="0CFE3E3C">
            <w:pPr>
              <w:spacing w:line="0" w:lineRule="atLeast"/>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≤0.50</w:t>
            </w:r>
          </w:p>
        </w:tc>
      </w:tr>
    </w:tbl>
    <w:p w14:paraId="5457F1A4">
      <w:pPr>
        <w:pStyle w:val="2"/>
        <w:ind w:firstLine="240"/>
      </w:pPr>
      <w:r>
        <w:br w:type="page"/>
      </w:r>
    </w:p>
    <w:p w14:paraId="4544BA16">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（4）地下水</w:t>
      </w:r>
    </w:p>
    <w:p w14:paraId="1FEEA9E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项目评价区域地下水执行《地下水质量标准》（GB/T14848-2017）Ⅲ类标准，详见表2.4-6。</w:t>
      </w:r>
    </w:p>
    <w:p w14:paraId="52C52B5E">
      <w:pPr>
        <w:pStyle w:val="11"/>
      </w:pPr>
      <w:r>
        <w:rPr>
          <w:rFonts w:hint="eastAsia"/>
        </w:rPr>
        <w:t xml:space="preserve"> 《地下水质量标准》（摘录）</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1"/>
        <w:gridCol w:w="4675"/>
        <w:gridCol w:w="3436"/>
      </w:tblGrid>
      <w:tr w14:paraId="6FC92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12" w:type="pct"/>
            <w:vAlign w:val="center"/>
          </w:tcPr>
          <w:p w14:paraId="491F72A7">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bookmarkStart w:id="37" w:name="_Hlk166949640"/>
            <w:r>
              <w:rPr>
                <w:rFonts w:cs="Times New Roman"/>
                <w:color w:val="0D0D0D" w:themeColor="text1" w:themeTint="F2"/>
                <w:sz w:val="21"/>
                <w14:textFill>
                  <w14:solidFill>
                    <w14:schemeClr w14:val="tx1">
                      <w14:lumMod w14:val="95000"/>
                      <w14:lumOff w14:val="5000"/>
                    </w14:schemeClr>
                  </w14:solidFill>
                </w14:textFill>
              </w:rPr>
              <w:t>序号</w:t>
            </w:r>
          </w:p>
        </w:tc>
        <w:tc>
          <w:tcPr>
            <w:tcW w:w="2529" w:type="pct"/>
            <w:vAlign w:val="center"/>
          </w:tcPr>
          <w:p w14:paraId="567E46E9">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水质指标</w:t>
            </w:r>
          </w:p>
        </w:tc>
        <w:tc>
          <w:tcPr>
            <w:tcW w:w="1859" w:type="pct"/>
            <w:vAlign w:val="center"/>
          </w:tcPr>
          <w:p w14:paraId="4573351B">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Ⅲ</w:t>
            </w:r>
            <w:r>
              <w:rPr>
                <w:rFonts w:cs="Times New Roman"/>
                <w:color w:val="0D0D0D" w:themeColor="text1" w:themeTint="F2"/>
                <w:sz w:val="21"/>
                <w14:textFill>
                  <w14:solidFill>
                    <w14:schemeClr w14:val="tx1">
                      <w14:lumMod w14:val="95000"/>
                      <w14:lumOff w14:val="5000"/>
                    </w14:schemeClr>
                  </w14:solidFill>
                </w14:textFill>
              </w:rPr>
              <w:t>类标准</w:t>
            </w:r>
            <w:r>
              <w:rPr>
                <w:rFonts w:hint="eastAsia" w:cs="Times New Roman"/>
                <w:color w:val="0D0D0D" w:themeColor="text1" w:themeTint="F2"/>
                <w:sz w:val="21"/>
                <w14:textFill>
                  <w14:solidFill>
                    <w14:schemeClr w14:val="tx1">
                      <w14:lumMod w14:val="95000"/>
                      <w14:lumOff w14:val="5000"/>
                    </w14:schemeClr>
                  </w14:solidFill>
                </w14:textFill>
              </w:rPr>
              <w:t>（</w:t>
            </w:r>
            <w:r>
              <w:rPr>
                <w:rFonts w:cs="Times New Roman"/>
                <w:color w:val="0D0D0D" w:themeColor="text1" w:themeTint="F2"/>
                <w:sz w:val="21"/>
                <w14:textFill>
                  <w14:solidFill>
                    <w14:schemeClr w14:val="tx1">
                      <w14:lumMod w14:val="95000"/>
                      <w14:lumOff w14:val="5000"/>
                    </w14:schemeClr>
                  </w14:solidFill>
                </w14:textFill>
              </w:rPr>
              <w:t>mg/L</w:t>
            </w:r>
            <w:r>
              <w:rPr>
                <w:rFonts w:hint="eastAsia" w:cs="Times New Roman"/>
                <w:color w:val="0D0D0D" w:themeColor="text1" w:themeTint="F2"/>
                <w:sz w:val="21"/>
                <w14:textFill>
                  <w14:solidFill>
                    <w14:schemeClr w14:val="tx1">
                      <w14:lumMod w14:val="95000"/>
                      <w14:lumOff w14:val="5000"/>
                    </w14:schemeClr>
                  </w14:solidFill>
                </w14:textFill>
              </w:rPr>
              <w:t>）</w:t>
            </w:r>
          </w:p>
        </w:tc>
      </w:tr>
      <w:tr w14:paraId="7457E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vAlign w:val="center"/>
          </w:tcPr>
          <w:p w14:paraId="13B13669">
            <w:pPr>
              <w:pStyle w:val="46"/>
              <w:numPr>
                <w:ilvl w:val="0"/>
                <w:numId w:val="14"/>
              </w:numPr>
              <w:spacing w:line="240" w:lineRule="auto"/>
              <w:contextualSpacing w:val="0"/>
              <w:jc w:val="center"/>
              <w:rPr>
                <w:rFonts w:cs="Times New Roman"/>
                <w:color w:val="0D0D0D" w:themeColor="text1" w:themeTint="F2"/>
                <w:sz w:val="21"/>
                <w14:textFill>
                  <w14:solidFill>
                    <w14:schemeClr w14:val="tx1">
                      <w14:lumMod w14:val="95000"/>
                      <w14:lumOff w14:val="5000"/>
                    </w14:schemeClr>
                  </w14:solidFill>
                </w14:textFill>
              </w:rPr>
            </w:pPr>
          </w:p>
        </w:tc>
        <w:tc>
          <w:tcPr>
            <w:tcW w:w="2529" w:type="pct"/>
            <w:tcMar>
              <w:left w:w="0" w:type="dxa"/>
              <w:right w:w="0" w:type="dxa"/>
            </w:tcMar>
            <w:vAlign w:val="center"/>
          </w:tcPr>
          <w:p w14:paraId="10810F1F">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pH值（无量纲）</w:t>
            </w:r>
          </w:p>
        </w:tc>
        <w:tc>
          <w:tcPr>
            <w:tcW w:w="1859" w:type="pct"/>
            <w:vAlign w:val="center"/>
          </w:tcPr>
          <w:p w14:paraId="422DDBD9">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6.5~8.5</w:t>
            </w:r>
          </w:p>
        </w:tc>
      </w:tr>
      <w:tr w14:paraId="08BB6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vAlign w:val="center"/>
          </w:tcPr>
          <w:p w14:paraId="6B59FBC2">
            <w:pPr>
              <w:pStyle w:val="46"/>
              <w:numPr>
                <w:ilvl w:val="0"/>
                <w:numId w:val="14"/>
              </w:numPr>
              <w:spacing w:line="240" w:lineRule="auto"/>
              <w:contextualSpacing w:val="0"/>
              <w:jc w:val="center"/>
              <w:rPr>
                <w:rFonts w:cs="Times New Roman"/>
                <w:color w:val="0D0D0D" w:themeColor="text1" w:themeTint="F2"/>
                <w:sz w:val="21"/>
                <w14:textFill>
                  <w14:solidFill>
                    <w14:schemeClr w14:val="tx1">
                      <w14:lumMod w14:val="95000"/>
                      <w14:lumOff w14:val="5000"/>
                    </w14:schemeClr>
                  </w14:solidFill>
                </w14:textFill>
              </w:rPr>
            </w:pPr>
          </w:p>
        </w:tc>
        <w:tc>
          <w:tcPr>
            <w:tcW w:w="2529" w:type="pct"/>
            <w:vAlign w:val="center"/>
          </w:tcPr>
          <w:p w14:paraId="761C39E2">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溶解性总固体</w:t>
            </w:r>
          </w:p>
        </w:tc>
        <w:tc>
          <w:tcPr>
            <w:tcW w:w="1859" w:type="pct"/>
            <w:vAlign w:val="center"/>
          </w:tcPr>
          <w:p w14:paraId="33E58F69">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≤1000</w:t>
            </w:r>
          </w:p>
        </w:tc>
      </w:tr>
      <w:tr w14:paraId="3FF1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vAlign w:val="center"/>
          </w:tcPr>
          <w:p w14:paraId="19BD28AD">
            <w:pPr>
              <w:pStyle w:val="46"/>
              <w:numPr>
                <w:ilvl w:val="0"/>
                <w:numId w:val="14"/>
              </w:numPr>
              <w:spacing w:line="240" w:lineRule="auto"/>
              <w:contextualSpacing w:val="0"/>
              <w:jc w:val="center"/>
              <w:rPr>
                <w:rFonts w:cs="Times New Roman"/>
                <w:color w:val="0D0D0D" w:themeColor="text1" w:themeTint="F2"/>
                <w:sz w:val="21"/>
                <w14:textFill>
                  <w14:solidFill>
                    <w14:schemeClr w14:val="tx1">
                      <w14:lumMod w14:val="95000"/>
                      <w14:lumOff w14:val="5000"/>
                    </w14:schemeClr>
                  </w14:solidFill>
                </w14:textFill>
              </w:rPr>
            </w:pPr>
          </w:p>
        </w:tc>
        <w:tc>
          <w:tcPr>
            <w:tcW w:w="2529" w:type="pct"/>
            <w:vAlign w:val="center"/>
          </w:tcPr>
          <w:p w14:paraId="08CE2B79">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高锰酸盐指数（以O</w:t>
            </w:r>
            <w:r>
              <w:rPr>
                <w:rFonts w:hint="eastAsia" w:cs="Times New Roman"/>
                <w:color w:val="0D0D0D" w:themeColor="text1" w:themeTint="F2"/>
                <w:sz w:val="21"/>
                <w:szCs w:val="21"/>
                <w:vertAlign w:val="subscript"/>
                <w14:textFill>
                  <w14:solidFill>
                    <w14:schemeClr w14:val="tx1">
                      <w14:lumMod w14:val="95000"/>
                      <w14:lumOff w14:val="5000"/>
                    </w14:schemeClr>
                  </w14:solidFill>
                </w14:textFill>
              </w:rPr>
              <w:t>2</w:t>
            </w:r>
            <w:r>
              <w:rPr>
                <w:rFonts w:hint="eastAsia" w:cs="Times New Roman"/>
                <w:color w:val="0D0D0D" w:themeColor="text1" w:themeTint="F2"/>
                <w:sz w:val="21"/>
                <w:szCs w:val="21"/>
                <w14:textFill>
                  <w14:solidFill>
                    <w14:schemeClr w14:val="tx1">
                      <w14:lumMod w14:val="95000"/>
                      <w14:lumOff w14:val="5000"/>
                    </w14:schemeClr>
                  </w14:solidFill>
                </w14:textFill>
              </w:rPr>
              <w:t>计）</w:t>
            </w:r>
          </w:p>
        </w:tc>
        <w:tc>
          <w:tcPr>
            <w:tcW w:w="1859" w:type="pct"/>
            <w:vAlign w:val="center"/>
          </w:tcPr>
          <w:p w14:paraId="68668464">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≤3.0</w:t>
            </w:r>
          </w:p>
        </w:tc>
      </w:tr>
      <w:tr w14:paraId="513EE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vAlign w:val="center"/>
          </w:tcPr>
          <w:p w14:paraId="3CA305BD">
            <w:pPr>
              <w:pStyle w:val="46"/>
              <w:numPr>
                <w:ilvl w:val="0"/>
                <w:numId w:val="14"/>
              </w:numPr>
              <w:spacing w:line="240" w:lineRule="auto"/>
              <w:contextualSpacing w:val="0"/>
              <w:jc w:val="center"/>
              <w:rPr>
                <w:rFonts w:cs="Times New Roman"/>
                <w:color w:val="0D0D0D" w:themeColor="text1" w:themeTint="F2"/>
                <w:sz w:val="21"/>
                <w14:textFill>
                  <w14:solidFill>
                    <w14:schemeClr w14:val="tx1">
                      <w14:lumMod w14:val="95000"/>
                      <w14:lumOff w14:val="5000"/>
                    </w14:schemeClr>
                  </w14:solidFill>
                </w14:textFill>
              </w:rPr>
            </w:pPr>
          </w:p>
        </w:tc>
        <w:tc>
          <w:tcPr>
            <w:tcW w:w="2529" w:type="pct"/>
            <w:vAlign w:val="center"/>
          </w:tcPr>
          <w:p w14:paraId="551FF4F5">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氨氮</w:t>
            </w:r>
          </w:p>
        </w:tc>
        <w:tc>
          <w:tcPr>
            <w:tcW w:w="1859" w:type="pct"/>
            <w:vAlign w:val="center"/>
          </w:tcPr>
          <w:p w14:paraId="460537EA">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≤0.50</w:t>
            </w:r>
          </w:p>
        </w:tc>
      </w:tr>
      <w:tr w14:paraId="5E301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vAlign w:val="center"/>
          </w:tcPr>
          <w:p w14:paraId="765D77FB">
            <w:pPr>
              <w:pStyle w:val="46"/>
              <w:numPr>
                <w:ilvl w:val="0"/>
                <w:numId w:val="14"/>
              </w:numPr>
              <w:spacing w:line="240" w:lineRule="auto"/>
              <w:contextualSpacing w:val="0"/>
              <w:jc w:val="center"/>
              <w:rPr>
                <w:rFonts w:cs="Times New Roman"/>
                <w:color w:val="0D0D0D" w:themeColor="text1" w:themeTint="F2"/>
                <w:sz w:val="21"/>
                <w14:textFill>
                  <w14:solidFill>
                    <w14:schemeClr w14:val="tx1">
                      <w14:lumMod w14:val="95000"/>
                      <w14:lumOff w14:val="5000"/>
                    </w14:schemeClr>
                  </w14:solidFill>
                </w14:textFill>
              </w:rPr>
            </w:pPr>
          </w:p>
        </w:tc>
        <w:tc>
          <w:tcPr>
            <w:tcW w:w="2529" w:type="pct"/>
            <w:vAlign w:val="center"/>
          </w:tcPr>
          <w:p w14:paraId="7AD0DC21">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亚硝酸盐氮</w:t>
            </w:r>
          </w:p>
        </w:tc>
        <w:tc>
          <w:tcPr>
            <w:tcW w:w="1859" w:type="pct"/>
            <w:vAlign w:val="center"/>
          </w:tcPr>
          <w:p w14:paraId="3999D93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≤1.0</w:t>
            </w:r>
          </w:p>
        </w:tc>
      </w:tr>
      <w:tr w14:paraId="028F1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vAlign w:val="center"/>
          </w:tcPr>
          <w:p w14:paraId="7618C16E">
            <w:pPr>
              <w:pStyle w:val="46"/>
              <w:numPr>
                <w:ilvl w:val="0"/>
                <w:numId w:val="14"/>
              </w:numPr>
              <w:spacing w:line="240" w:lineRule="auto"/>
              <w:contextualSpacing w:val="0"/>
              <w:jc w:val="center"/>
              <w:rPr>
                <w:rFonts w:cs="Times New Roman"/>
                <w:color w:val="0D0D0D" w:themeColor="text1" w:themeTint="F2"/>
                <w:sz w:val="21"/>
                <w14:textFill>
                  <w14:solidFill>
                    <w14:schemeClr w14:val="tx1">
                      <w14:lumMod w14:val="95000"/>
                      <w14:lumOff w14:val="5000"/>
                    </w14:schemeClr>
                  </w14:solidFill>
                </w14:textFill>
              </w:rPr>
            </w:pPr>
          </w:p>
        </w:tc>
        <w:tc>
          <w:tcPr>
            <w:tcW w:w="2529" w:type="pct"/>
            <w:vAlign w:val="center"/>
          </w:tcPr>
          <w:p w14:paraId="2EC19711">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硝酸盐氮</w:t>
            </w:r>
          </w:p>
        </w:tc>
        <w:tc>
          <w:tcPr>
            <w:tcW w:w="1859" w:type="pct"/>
            <w:vAlign w:val="center"/>
          </w:tcPr>
          <w:p w14:paraId="53CD35A0">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≤20.0</w:t>
            </w:r>
          </w:p>
        </w:tc>
      </w:tr>
      <w:tr w14:paraId="6992D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vAlign w:val="center"/>
          </w:tcPr>
          <w:p w14:paraId="4729ADA2">
            <w:pPr>
              <w:pStyle w:val="46"/>
              <w:numPr>
                <w:ilvl w:val="0"/>
                <w:numId w:val="14"/>
              </w:numPr>
              <w:spacing w:line="240" w:lineRule="auto"/>
              <w:contextualSpacing w:val="0"/>
              <w:jc w:val="center"/>
              <w:rPr>
                <w:rFonts w:cs="Times New Roman"/>
                <w:color w:val="0D0D0D" w:themeColor="text1" w:themeTint="F2"/>
                <w:sz w:val="21"/>
                <w14:textFill>
                  <w14:solidFill>
                    <w14:schemeClr w14:val="tx1">
                      <w14:lumMod w14:val="95000"/>
                      <w14:lumOff w14:val="5000"/>
                    </w14:schemeClr>
                  </w14:solidFill>
                </w14:textFill>
              </w:rPr>
            </w:pPr>
          </w:p>
        </w:tc>
        <w:tc>
          <w:tcPr>
            <w:tcW w:w="2529" w:type="pct"/>
            <w:vAlign w:val="center"/>
          </w:tcPr>
          <w:p w14:paraId="24F701DD">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挥发酚</w:t>
            </w:r>
          </w:p>
        </w:tc>
        <w:tc>
          <w:tcPr>
            <w:tcW w:w="1859" w:type="pct"/>
            <w:vAlign w:val="center"/>
          </w:tcPr>
          <w:p w14:paraId="330F35E1">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≤0.002</w:t>
            </w:r>
          </w:p>
        </w:tc>
      </w:tr>
      <w:tr w14:paraId="723E4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vAlign w:val="center"/>
          </w:tcPr>
          <w:p w14:paraId="40E48698">
            <w:pPr>
              <w:pStyle w:val="46"/>
              <w:numPr>
                <w:ilvl w:val="0"/>
                <w:numId w:val="14"/>
              </w:numPr>
              <w:spacing w:line="240" w:lineRule="auto"/>
              <w:contextualSpacing w:val="0"/>
              <w:jc w:val="center"/>
              <w:rPr>
                <w:rFonts w:cs="Times New Roman"/>
                <w:color w:val="0D0D0D" w:themeColor="text1" w:themeTint="F2"/>
                <w:sz w:val="21"/>
                <w14:textFill>
                  <w14:solidFill>
                    <w14:schemeClr w14:val="tx1">
                      <w14:lumMod w14:val="95000"/>
                      <w14:lumOff w14:val="5000"/>
                    </w14:schemeClr>
                  </w14:solidFill>
                </w14:textFill>
              </w:rPr>
            </w:pPr>
          </w:p>
        </w:tc>
        <w:tc>
          <w:tcPr>
            <w:tcW w:w="2529" w:type="pct"/>
            <w:vAlign w:val="center"/>
          </w:tcPr>
          <w:p w14:paraId="1A0C40AD">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总硬度</w:t>
            </w:r>
          </w:p>
        </w:tc>
        <w:tc>
          <w:tcPr>
            <w:tcW w:w="1859" w:type="pct"/>
            <w:vAlign w:val="center"/>
          </w:tcPr>
          <w:p w14:paraId="6319DCF3">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≤450</w:t>
            </w:r>
          </w:p>
        </w:tc>
      </w:tr>
      <w:tr w14:paraId="6E7DD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vAlign w:val="center"/>
          </w:tcPr>
          <w:p w14:paraId="5A4F57F6">
            <w:pPr>
              <w:pStyle w:val="46"/>
              <w:numPr>
                <w:ilvl w:val="0"/>
                <w:numId w:val="14"/>
              </w:numPr>
              <w:spacing w:line="240" w:lineRule="auto"/>
              <w:contextualSpacing w:val="0"/>
              <w:jc w:val="center"/>
              <w:rPr>
                <w:rFonts w:cs="Times New Roman"/>
                <w:color w:val="0D0D0D" w:themeColor="text1" w:themeTint="F2"/>
                <w:sz w:val="21"/>
                <w14:textFill>
                  <w14:solidFill>
                    <w14:schemeClr w14:val="tx1">
                      <w14:lumMod w14:val="95000"/>
                      <w14:lumOff w14:val="5000"/>
                    </w14:schemeClr>
                  </w14:solidFill>
                </w14:textFill>
              </w:rPr>
            </w:pPr>
          </w:p>
        </w:tc>
        <w:tc>
          <w:tcPr>
            <w:tcW w:w="2529" w:type="pct"/>
            <w:vAlign w:val="center"/>
          </w:tcPr>
          <w:p w14:paraId="30EE5C19">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铜</w:t>
            </w:r>
          </w:p>
        </w:tc>
        <w:tc>
          <w:tcPr>
            <w:tcW w:w="1859" w:type="pct"/>
            <w:vAlign w:val="center"/>
          </w:tcPr>
          <w:p w14:paraId="434FFBDB">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≤1.0</w:t>
            </w:r>
          </w:p>
        </w:tc>
      </w:tr>
      <w:tr w14:paraId="7E231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vAlign w:val="center"/>
          </w:tcPr>
          <w:p w14:paraId="6C169966">
            <w:pPr>
              <w:pStyle w:val="46"/>
              <w:numPr>
                <w:ilvl w:val="0"/>
                <w:numId w:val="14"/>
              </w:numPr>
              <w:spacing w:line="240" w:lineRule="auto"/>
              <w:contextualSpacing w:val="0"/>
              <w:jc w:val="center"/>
              <w:rPr>
                <w:rFonts w:cs="Times New Roman"/>
                <w:color w:val="0D0D0D" w:themeColor="text1" w:themeTint="F2"/>
                <w:sz w:val="21"/>
                <w14:textFill>
                  <w14:solidFill>
                    <w14:schemeClr w14:val="tx1">
                      <w14:lumMod w14:val="95000"/>
                      <w14:lumOff w14:val="5000"/>
                    </w14:schemeClr>
                  </w14:solidFill>
                </w14:textFill>
              </w:rPr>
            </w:pPr>
          </w:p>
        </w:tc>
        <w:tc>
          <w:tcPr>
            <w:tcW w:w="2529" w:type="pct"/>
            <w:vAlign w:val="center"/>
          </w:tcPr>
          <w:p w14:paraId="3A07CBAD">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铅</w:t>
            </w:r>
          </w:p>
        </w:tc>
        <w:tc>
          <w:tcPr>
            <w:tcW w:w="1859" w:type="pct"/>
            <w:vAlign w:val="center"/>
          </w:tcPr>
          <w:p w14:paraId="581D7BCC">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≤0.01</w:t>
            </w:r>
          </w:p>
        </w:tc>
      </w:tr>
      <w:tr w14:paraId="4609E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vAlign w:val="center"/>
          </w:tcPr>
          <w:p w14:paraId="22B6DA7F">
            <w:pPr>
              <w:pStyle w:val="46"/>
              <w:numPr>
                <w:ilvl w:val="0"/>
                <w:numId w:val="14"/>
              </w:numPr>
              <w:spacing w:line="240" w:lineRule="auto"/>
              <w:contextualSpacing w:val="0"/>
              <w:jc w:val="center"/>
              <w:rPr>
                <w:rFonts w:cs="Times New Roman"/>
                <w:color w:val="0D0D0D" w:themeColor="text1" w:themeTint="F2"/>
                <w:sz w:val="21"/>
                <w14:textFill>
                  <w14:solidFill>
                    <w14:schemeClr w14:val="tx1">
                      <w14:lumMod w14:val="95000"/>
                      <w14:lumOff w14:val="5000"/>
                    </w14:schemeClr>
                  </w14:solidFill>
                </w14:textFill>
              </w:rPr>
            </w:pPr>
          </w:p>
        </w:tc>
        <w:tc>
          <w:tcPr>
            <w:tcW w:w="2529" w:type="pct"/>
            <w:vAlign w:val="center"/>
          </w:tcPr>
          <w:p w14:paraId="5BE8FD59">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锌</w:t>
            </w:r>
          </w:p>
        </w:tc>
        <w:tc>
          <w:tcPr>
            <w:tcW w:w="1859" w:type="pct"/>
            <w:vAlign w:val="center"/>
          </w:tcPr>
          <w:p w14:paraId="144C168D">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≤1.0</w:t>
            </w:r>
          </w:p>
        </w:tc>
      </w:tr>
      <w:tr w14:paraId="6C386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vAlign w:val="center"/>
          </w:tcPr>
          <w:p w14:paraId="045D5240">
            <w:pPr>
              <w:pStyle w:val="46"/>
              <w:numPr>
                <w:ilvl w:val="0"/>
                <w:numId w:val="14"/>
              </w:numPr>
              <w:spacing w:line="240" w:lineRule="auto"/>
              <w:contextualSpacing w:val="0"/>
              <w:jc w:val="center"/>
              <w:rPr>
                <w:rFonts w:cs="Times New Roman"/>
                <w:color w:val="0D0D0D" w:themeColor="text1" w:themeTint="F2"/>
                <w:sz w:val="21"/>
                <w14:textFill>
                  <w14:solidFill>
                    <w14:schemeClr w14:val="tx1">
                      <w14:lumMod w14:val="95000"/>
                      <w14:lumOff w14:val="5000"/>
                    </w14:schemeClr>
                  </w14:solidFill>
                </w14:textFill>
              </w:rPr>
            </w:pPr>
          </w:p>
        </w:tc>
        <w:tc>
          <w:tcPr>
            <w:tcW w:w="2529" w:type="pct"/>
            <w:vAlign w:val="center"/>
          </w:tcPr>
          <w:p w14:paraId="0B29225E">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镉</w:t>
            </w:r>
          </w:p>
        </w:tc>
        <w:tc>
          <w:tcPr>
            <w:tcW w:w="1859" w:type="pct"/>
            <w:vAlign w:val="center"/>
          </w:tcPr>
          <w:p w14:paraId="44181DB4">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≤0.005</w:t>
            </w:r>
          </w:p>
        </w:tc>
      </w:tr>
      <w:tr w14:paraId="7D9C9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vAlign w:val="center"/>
          </w:tcPr>
          <w:p w14:paraId="4BBAF823">
            <w:pPr>
              <w:pStyle w:val="46"/>
              <w:numPr>
                <w:ilvl w:val="0"/>
                <w:numId w:val="14"/>
              </w:numPr>
              <w:spacing w:line="240" w:lineRule="auto"/>
              <w:contextualSpacing w:val="0"/>
              <w:jc w:val="center"/>
              <w:rPr>
                <w:rFonts w:cs="Times New Roman"/>
                <w:color w:val="0D0D0D" w:themeColor="text1" w:themeTint="F2"/>
                <w:sz w:val="21"/>
                <w14:textFill>
                  <w14:solidFill>
                    <w14:schemeClr w14:val="tx1">
                      <w14:lumMod w14:val="95000"/>
                      <w14:lumOff w14:val="5000"/>
                    </w14:schemeClr>
                  </w14:solidFill>
                </w14:textFill>
              </w:rPr>
            </w:pPr>
          </w:p>
        </w:tc>
        <w:tc>
          <w:tcPr>
            <w:tcW w:w="2529" w:type="pct"/>
            <w:vAlign w:val="center"/>
          </w:tcPr>
          <w:p w14:paraId="5ECE2DDB">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六价铬</w:t>
            </w:r>
          </w:p>
        </w:tc>
        <w:tc>
          <w:tcPr>
            <w:tcW w:w="1859" w:type="pct"/>
            <w:vAlign w:val="center"/>
          </w:tcPr>
          <w:p w14:paraId="26C20DEA">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≤0.05</w:t>
            </w:r>
          </w:p>
        </w:tc>
      </w:tr>
      <w:tr w14:paraId="08470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vAlign w:val="center"/>
          </w:tcPr>
          <w:p w14:paraId="7C71D712">
            <w:pPr>
              <w:pStyle w:val="46"/>
              <w:numPr>
                <w:ilvl w:val="0"/>
                <w:numId w:val="14"/>
              </w:numPr>
              <w:spacing w:line="240" w:lineRule="auto"/>
              <w:contextualSpacing w:val="0"/>
              <w:jc w:val="center"/>
              <w:rPr>
                <w:rFonts w:cs="Times New Roman"/>
                <w:color w:val="0D0D0D" w:themeColor="text1" w:themeTint="F2"/>
                <w:sz w:val="21"/>
                <w14:textFill>
                  <w14:solidFill>
                    <w14:schemeClr w14:val="tx1">
                      <w14:lumMod w14:val="95000"/>
                      <w14:lumOff w14:val="5000"/>
                    </w14:schemeClr>
                  </w14:solidFill>
                </w14:textFill>
              </w:rPr>
            </w:pPr>
          </w:p>
        </w:tc>
        <w:tc>
          <w:tcPr>
            <w:tcW w:w="2529" w:type="pct"/>
            <w:vAlign w:val="center"/>
          </w:tcPr>
          <w:p w14:paraId="3654CB58">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汞</w:t>
            </w:r>
          </w:p>
        </w:tc>
        <w:tc>
          <w:tcPr>
            <w:tcW w:w="1859" w:type="pct"/>
            <w:vAlign w:val="center"/>
          </w:tcPr>
          <w:p w14:paraId="6E09C7E8">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≤0.001</w:t>
            </w:r>
          </w:p>
        </w:tc>
      </w:tr>
      <w:tr w14:paraId="1962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vAlign w:val="center"/>
          </w:tcPr>
          <w:p w14:paraId="26E813DD">
            <w:pPr>
              <w:pStyle w:val="46"/>
              <w:numPr>
                <w:ilvl w:val="0"/>
                <w:numId w:val="14"/>
              </w:numPr>
              <w:spacing w:line="240" w:lineRule="auto"/>
              <w:contextualSpacing w:val="0"/>
              <w:jc w:val="center"/>
              <w:rPr>
                <w:rFonts w:cs="Times New Roman"/>
                <w:color w:val="0D0D0D" w:themeColor="text1" w:themeTint="F2"/>
                <w:sz w:val="21"/>
                <w14:textFill>
                  <w14:solidFill>
                    <w14:schemeClr w14:val="tx1">
                      <w14:lumMod w14:val="95000"/>
                      <w14:lumOff w14:val="5000"/>
                    </w14:schemeClr>
                  </w14:solidFill>
                </w14:textFill>
              </w:rPr>
            </w:pPr>
          </w:p>
        </w:tc>
        <w:tc>
          <w:tcPr>
            <w:tcW w:w="2529" w:type="pct"/>
            <w:vAlign w:val="center"/>
          </w:tcPr>
          <w:p w14:paraId="304EDCF4">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砷</w:t>
            </w:r>
          </w:p>
        </w:tc>
        <w:tc>
          <w:tcPr>
            <w:tcW w:w="1859" w:type="pct"/>
            <w:vAlign w:val="center"/>
          </w:tcPr>
          <w:p w14:paraId="5C7F440C">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≤0.01</w:t>
            </w:r>
          </w:p>
        </w:tc>
      </w:tr>
      <w:tr w14:paraId="5F1CD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vAlign w:val="center"/>
          </w:tcPr>
          <w:p w14:paraId="577BDB94">
            <w:pPr>
              <w:pStyle w:val="46"/>
              <w:numPr>
                <w:ilvl w:val="0"/>
                <w:numId w:val="14"/>
              </w:numPr>
              <w:spacing w:line="240" w:lineRule="auto"/>
              <w:contextualSpacing w:val="0"/>
              <w:jc w:val="center"/>
              <w:rPr>
                <w:rFonts w:cs="Times New Roman"/>
                <w:color w:val="0D0D0D" w:themeColor="text1" w:themeTint="F2"/>
                <w:sz w:val="21"/>
                <w14:textFill>
                  <w14:solidFill>
                    <w14:schemeClr w14:val="tx1">
                      <w14:lumMod w14:val="95000"/>
                      <w14:lumOff w14:val="5000"/>
                    </w14:schemeClr>
                  </w14:solidFill>
                </w14:textFill>
              </w:rPr>
            </w:pPr>
          </w:p>
        </w:tc>
        <w:tc>
          <w:tcPr>
            <w:tcW w:w="2529" w:type="pct"/>
            <w:vAlign w:val="center"/>
          </w:tcPr>
          <w:p w14:paraId="45A39F99">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氯化物</w:t>
            </w:r>
          </w:p>
        </w:tc>
        <w:tc>
          <w:tcPr>
            <w:tcW w:w="1859" w:type="pct"/>
            <w:vAlign w:val="center"/>
          </w:tcPr>
          <w:p w14:paraId="312E7A76">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≤250</w:t>
            </w:r>
          </w:p>
        </w:tc>
      </w:tr>
      <w:tr w14:paraId="576E9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vAlign w:val="center"/>
          </w:tcPr>
          <w:p w14:paraId="718EDCF5">
            <w:pPr>
              <w:pStyle w:val="46"/>
              <w:numPr>
                <w:ilvl w:val="0"/>
                <w:numId w:val="14"/>
              </w:numPr>
              <w:spacing w:line="240" w:lineRule="auto"/>
              <w:contextualSpacing w:val="0"/>
              <w:jc w:val="center"/>
              <w:rPr>
                <w:rFonts w:cs="Times New Roman"/>
                <w:color w:val="0D0D0D" w:themeColor="text1" w:themeTint="F2"/>
                <w:sz w:val="21"/>
                <w14:textFill>
                  <w14:solidFill>
                    <w14:schemeClr w14:val="tx1">
                      <w14:lumMod w14:val="95000"/>
                      <w14:lumOff w14:val="5000"/>
                    </w14:schemeClr>
                  </w14:solidFill>
                </w14:textFill>
              </w:rPr>
            </w:pPr>
          </w:p>
        </w:tc>
        <w:tc>
          <w:tcPr>
            <w:tcW w:w="2529" w:type="pct"/>
            <w:vAlign w:val="center"/>
          </w:tcPr>
          <w:p w14:paraId="10BF9486">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硫化物</w:t>
            </w:r>
          </w:p>
        </w:tc>
        <w:tc>
          <w:tcPr>
            <w:tcW w:w="1859" w:type="pct"/>
            <w:vAlign w:val="center"/>
          </w:tcPr>
          <w:p w14:paraId="20B1935A">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≤0.02</w:t>
            </w:r>
          </w:p>
        </w:tc>
      </w:tr>
      <w:bookmarkEnd w:id="37"/>
    </w:tbl>
    <w:p w14:paraId="39D17B33">
      <w:pPr>
        <w:ind w:firstLine="482"/>
        <w:rPr>
          <w:rFonts w:cs="Times New Roman"/>
          <w:b/>
          <w:bCs/>
          <w:color w:val="0D0D0D" w:themeColor="text1" w:themeTint="F2"/>
          <w:szCs w:val="24"/>
          <w14:textFill>
            <w14:solidFill>
              <w14:schemeClr w14:val="tx1">
                <w14:lumMod w14:val="95000"/>
                <w14:lumOff w14:val="5000"/>
              </w14:schemeClr>
            </w14:solidFill>
          </w14:textFill>
        </w:rPr>
      </w:pPr>
      <w:r>
        <w:rPr>
          <w:rFonts w:hint="eastAsia"/>
          <w:b/>
          <w:bCs/>
          <w:color w:val="0D0D0D" w:themeColor="text1" w:themeTint="F2"/>
          <w:szCs w:val="24"/>
          <w14:textFill>
            <w14:solidFill>
              <w14:schemeClr w14:val="tx1">
                <w14:lumMod w14:val="95000"/>
                <w14:lumOff w14:val="5000"/>
              </w14:schemeClr>
            </w14:solidFill>
          </w14:textFill>
        </w:rPr>
        <w:t>（5）</w:t>
      </w:r>
      <w:r>
        <w:rPr>
          <w:rFonts w:cs="Times New Roman"/>
          <w:b/>
          <w:bCs/>
          <w:color w:val="0D0D0D" w:themeColor="text1" w:themeTint="F2"/>
          <w:szCs w:val="24"/>
          <w14:textFill>
            <w14:solidFill>
              <w14:schemeClr w14:val="tx1">
                <w14:lumMod w14:val="95000"/>
                <w14:lumOff w14:val="5000"/>
              </w14:schemeClr>
            </w14:solidFill>
          </w14:textFill>
        </w:rPr>
        <w:t>声环境</w:t>
      </w:r>
    </w:p>
    <w:p w14:paraId="34702DF8">
      <w:pPr>
        <w:ind w:firstLine="48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项目区域</w:t>
      </w:r>
      <w:r>
        <w:rPr>
          <w:rFonts w:cs="Times New Roman"/>
          <w:color w:val="0D0D0D" w:themeColor="text1" w:themeTint="F2"/>
          <w:szCs w:val="24"/>
          <w14:textFill>
            <w14:solidFill>
              <w14:schemeClr w14:val="tx1">
                <w14:lumMod w14:val="95000"/>
                <w14:lumOff w14:val="5000"/>
              </w14:schemeClr>
            </w14:solidFill>
          </w14:textFill>
        </w:rPr>
        <w:t>声环境</w:t>
      </w:r>
      <w:r>
        <w:rPr>
          <w:rFonts w:hint="eastAsia" w:cs="Times New Roman"/>
          <w:color w:val="0D0D0D" w:themeColor="text1" w:themeTint="F2"/>
          <w:szCs w:val="24"/>
          <w14:textFill>
            <w14:solidFill>
              <w14:schemeClr w14:val="tx1">
                <w14:lumMod w14:val="95000"/>
                <w14:lumOff w14:val="5000"/>
              </w14:schemeClr>
            </w14:solidFill>
          </w14:textFill>
        </w:rPr>
        <w:t>质量</w:t>
      </w:r>
      <w:r>
        <w:rPr>
          <w:rFonts w:cs="Times New Roman"/>
          <w:color w:val="0D0D0D" w:themeColor="text1" w:themeTint="F2"/>
          <w:szCs w:val="24"/>
          <w14:textFill>
            <w14:solidFill>
              <w14:schemeClr w14:val="tx1">
                <w14:lumMod w14:val="95000"/>
                <w14:lumOff w14:val="5000"/>
              </w14:schemeClr>
            </w14:solidFill>
          </w14:textFill>
        </w:rPr>
        <w:t>执行《声环境质量标准》（GB3096-2008）</w:t>
      </w:r>
      <w:r>
        <w:rPr>
          <w:rFonts w:hint="eastAsia" w:cs="Times New Roman"/>
          <w:color w:val="0D0D0D" w:themeColor="text1" w:themeTint="F2"/>
          <w:szCs w:val="24"/>
          <w14:textFill>
            <w14:solidFill>
              <w14:schemeClr w14:val="tx1">
                <w14:lumMod w14:val="95000"/>
                <w14:lumOff w14:val="5000"/>
              </w14:schemeClr>
            </w14:solidFill>
          </w14:textFill>
        </w:rPr>
        <w:t>3</w:t>
      </w:r>
      <w:r>
        <w:rPr>
          <w:rFonts w:cs="Times New Roman"/>
          <w:color w:val="0D0D0D" w:themeColor="text1" w:themeTint="F2"/>
          <w:szCs w:val="24"/>
          <w14:textFill>
            <w14:solidFill>
              <w14:schemeClr w14:val="tx1">
                <w14:lumMod w14:val="95000"/>
                <w14:lumOff w14:val="5000"/>
              </w14:schemeClr>
            </w14:solidFill>
          </w14:textFill>
        </w:rPr>
        <w:t>类标准</w:t>
      </w:r>
      <w:r>
        <w:rPr>
          <w:rFonts w:hint="eastAsia" w:cs="Times New Roman"/>
          <w:color w:val="0D0D0D" w:themeColor="text1" w:themeTint="F2"/>
          <w:szCs w:val="24"/>
          <w14:textFill>
            <w14:solidFill>
              <w14:schemeClr w14:val="tx1">
                <w14:lumMod w14:val="95000"/>
                <w14:lumOff w14:val="5000"/>
              </w14:schemeClr>
            </w14:solidFill>
          </w14:textFill>
        </w:rPr>
        <w:t>，详见</w:t>
      </w:r>
      <w:r>
        <w:rPr>
          <w:rFonts w:cs="Times New Roman"/>
          <w:color w:val="0D0D0D" w:themeColor="text1" w:themeTint="F2"/>
          <w:szCs w:val="24"/>
          <w14:textFill>
            <w14:solidFill>
              <w14:schemeClr w14:val="tx1">
                <w14:lumMod w14:val="95000"/>
                <w14:lumOff w14:val="5000"/>
              </w14:schemeClr>
            </w14:solidFill>
          </w14:textFill>
        </w:rPr>
        <w:t>表</w:t>
      </w:r>
      <w:r>
        <w:rPr>
          <w:rFonts w:hint="eastAsia" w:cs="Times New Roman"/>
          <w:color w:val="0D0D0D" w:themeColor="text1" w:themeTint="F2"/>
          <w:szCs w:val="24"/>
          <w14:textFill>
            <w14:solidFill>
              <w14:schemeClr w14:val="tx1">
                <w14:lumMod w14:val="95000"/>
                <w14:lumOff w14:val="5000"/>
              </w14:schemeClr>
            </w14:solidFill>
          </w14:textFill>
        </w:rPr>
        <w:t>2</w:t>
      </w:r>
      <w:r>
        <w:rPr>
          <w:rFonts w:cs="Times New Roman"/>
          <w:color w:val="0D0D0D" w:themeColor="text1" w:themeTint="F2"/>
          <w:szCs w:val="24"/>
          <w14:textFill>
            <w14:solidFill>
              <w14:schemeClr w14:val="tx1">
                <w14:lumMod w14:val="95000"/>
                <w14:lumOff w14:val="5000"/>
              </w14:schemeClr>
            </w14:solidFill>
          </w14:textFill>
        </w:rPr>
        <w:t>.4-</w:t>
      </w:r>
      <w:r>
        <w:rPr>
          <w:rFonts w:hint="eastAsia" w:cs="Times New Roman"/>
          <w:color w:val="0D0D0D" w:themeColor="text1" w:themeTint="F2"/>
          <w:szCs w:val="24"/>
          <w14:textFill>
            <w14:solidFill>
              <w14:schemeClr w14:val="tx1">
                <w14:lumMod w14:val="95000"/>
                <w14:lumOff w14:val="5000"/>
              </w14:schemeClr>
            </w14:solidFill>
          </w14:textFill>
        </w:rPr>
        <w:t>7</w:t>
      </w:r>
      <w:r>
        <w:rPr>
          <w:rFonts w:cs="Times New Roman"/>
          <w:color w:val="0D0D0D" w:themeColor="text1" w:themeTint="F2"/>
          <w:szCs w:val="24"/>
          <w14:textFill>
            <w14:solidFill>
              <w14:schemeClr w14:val="tx1">
                <w14:lumMod w14:val="95000"/>
                <w14:lumOff w14:val="5000"/>
              </w14:schemeClr>
            </w14:solidFill>
          </w14:textFill>
        </w:rPr>
        <w:t>。</w:t>
      </w:r>
    </w:p>
    <w:p w14:paraId="4EA03FC9">
      <w:pPr>
        <w:pStyle w:val="11"/>
      </w:pPr>
      <w:r>
        <w:rPr>
          <w:rFonts w:hint="eastAsia"/>
        </w:rPr>
        <w:t xml:space="preserve"> 《</w:t>
      </w:r>
      <w:r>
        <w:t>声环境质量标准</w:t>
      </w:r>
      <w:r>
        <w:rPr>
          <w:rFonts w:hint="eastAsia"/>
        </w:rPr>
        <w:t>》（摘录）</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6"/>
        <w:gridCol w:w="3473"/>
        <w:gridCol w:w="3473"/>
      </w:tblGrid>
      <w:tr w14:paraId="419D1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2" w:type="pct"/>
            <w:vAlign w:val="center"/>
          </w:tcPr>
          <w:p w14:paraId="74BBE0CD">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类别</w:t>
            </w:r>
          </w:p>
        </w:tc>
        <w:tc>
          <w:tcPr>
            <w:tcW w:w="1879" w:type="pct"/>
            <w:vAlign w:val="center"/>
          </w:tcPr>
          <w:p w14:paraId="66AC100E">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昼间</w:t>
            </w:r>
          </w:p>
        </w:tc>
        <w:tc>
          <w:tcPr>
            <w:tcW w:w="1879" w:type="pct"/>
            <w:vAlign w:val="center"/>
          </w:tcPr>
          <w:p w14:paraId="71F0E564">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夜间</w:t>
            </w:r>
          </w:p>
        </w:tc>
      </w:tr>
      <w:tr w14:paraId="0EB26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2" w:type="pct"/>
            <w:vAlign w:val="center"/>
          </w:tcPr>
          <w:p w14:paraId="4262972E">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3</w:t>
            </w:r>
            <w:r>
              <w:rPr>
                <w:rFonts w:cs="Times New Roman"/>
                <w:color w:val="0D0D0D" w:themeColor="text1" w:themeTint="F2"/>
                <w:sz w:val="21"/>
                <w14:textFill>
                  <w14:solidFill>
                    <w14:schemeClr w14:val="tx1">
                      <w14:lumMod w14:val="95000"/>
                      <w14:lumOff w14:val="5000"/>
                    </w14:schemeClr>
                  </w14:solidFill>
                </w14:textFill>
              </w:rPr>
              <w:t>类</w:t>
            </w:r>
          </w:p>
        </w:tc>
        <w:tc>
          <w:tcPr>
            <w:tcW w:w="1879" w:type="pct"/>
            <w:vAlign w:val="center"/>
          </w:tcPr>
          <w:p w14:paraId="5B4E8C5C">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65</w:t>
            </w:r>
            <w:r>
              <w:rPr>
                <w:color w:val="0D0D0D" w:themeColor="text1" w:themeTint="F2"/>
                <w:sz w:val="21"/>
                <w14:textFill>
                  <w14:solidFill>
                    <w14:schemeClr w14:val="tx1">
                      <w14:lumMod w14:val="95000"/>
                      <w14:lumOff w14:val="5000"/>
                    </w14:schemeClr>
                  </w14:solidFill>
                </w14:textFill>
              </w:rPr>
              <w:t>dB(A)</w:t>
            </w:r>
          </w:p>
        </w:tc>
        <w:tc>
          <w:tcPr>
            <w:tcW w:w="1879" w:type="pct"/>
            <w:vAlign w:val="center"/>
          </w:tcPr>
          <w:p w14:paraId="6F6B9EA7">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55</w:t>
            </w:r>
            <w:r>
              <w:rPr>
                <w:color w:val="0D0D0D" w:themeColor="text1" w:themeTint="F2"/>
                <w:sz w:val="21"/>
                <w14:textFill>
                  <w14:solidFill>
                    <w14:schemeClr w14:val="tx1">
                      <w14:lumMod w14:val="95000"/>
                      <w14:lumOff w14:val="5000"/>
                    </w14:schemeClr>
                  </w14:solidFill>
                </w14:textFill>
              </w:rPr>
              <w:t>dB(A)</w:t>
            </w:r>
          </w:p>
        </w:tc>
      </w:tr>
    </w:tbl>
    <w:p w14:paraId="6D6C3FBD">
      <w:pPr>
        <w:overflowPunct w:val="0"/>
        <w:autoSpaceDE w:val="0"/>
        <w:autoSpaceDN w:val="0"/>
        <w:adjustRightInd w:val="0"/>
        <w:ind w:firstLine="482"/>
        <w:rPr>
          <w:rFonts w:cs="Times New Roman"/>
          <w:b/>
          <w:bCs/>
          <w:color w:val="0D0D0D" w:themeColor="text1" w:themeTint="F2"/>
          <w:szCs w:val="24"/>
          <w14:textFill>
            <w14:solidFill>
              <w14:schemeClr w14:val="tx1">
                <w14:lumMod w14:val="95000"/>
                <w14:lumOff w14:val="5000"/>
              </w14:schemeClr>
            </w14:solidFill>
          </w14:textFill>
        </w:rPr>
      </w:pPr>
      <w:r>
        <w:rPr>
          <w:rFonts w:hint="eastAsia"/>
          <w:b/>
          <w:bCs/>
          <w:color w:val="0D0D0D" w:themeColor="text1" w:themeTint="F2"/>
          <w:szCs w:val="24"/>
          <w14:textFill>
            <w14:solidFill>
              <w14:schemeClr w14:val="tx1">
                <w14:lumMod w14:val="95000"/>
                <w14:lumOff w14:val="5000"/>
              </w14:schemeClr>
            </w14:solidFill>
          </w14:textFill>
        </w:rPr>
        <w:t>（6）</w:t>
      </w:r>
      <w:r>
        <w:rPr>
          <w:rFonts w:cs="Times New Roman"/>
          <w:b/>
          <w:bCs/>
          <w:color w:val="0D0D0D" w:themeColor="text1" w:themeTint="F2"/>
          <w:szCs w:val="24"/>
          <w14:textFill>
            <w14:solidFill>
              <w14:schemeClr w14:val="tx1">
                <w14:lumMod w14:val="95000"/>
                <w14:lumOff w14:val="5000"/>
              </w14:schemeClr>
            </w14:solidFill>
          </w14:textFill>
        </w:rPr>
        <w:t>土壤</w:t>
      </w:r>
    </w:p>
    <w:p w14:paraId="6CD634BC">
      <w:pPr>
        <w:overflowPunct w:val="0"/>
        <w:autoSpaceDE w:val="0"/>
        <w:autoSpaceDN w:val="0"/>
        <w:adjustRightInd w:val="0"/>
        <w:ind w:firstLine="480"/>
        <w:rPr>
          <w:rFonts w:cs="Times New Roman"/>
          <w:color w:val="0D0D0D" w:themeColor="text1" w:themeTint="F2"/>
          <w:szCs w:val="24"/>
          <w14:textFill>
            <w14:solidFill>
              <w14:schemeClr w14:val="tx1">
                <w14:lumMod w14:val="95000"/>
                <w14:lumOff w14:val="5000"/>
              </w14:schemeClr>
            </w14:solidFill>
          </w14:textFill>
        </w:rPr>
      </w:pPr>
      <w:bookmarkStart w:id="38" w:name="_Hlk181306245"/>
      <w:r>
        <w:rPr>
          <w:rFonts w:hint="eastAsia" w:cs="Times New Roman"/>
          <w:color w:val="0D0D0D" w:themeColor="text1" w:themeTint="F2"/>
          <w:szCs w:val="24"/>
          <w14:textFill>
            <w14:solidFill>
              <w14:schemeClr w14:val="tx1">
                <w14:lumMod w14:val="95000"/>
                <w14:lumOff w14:val="5000"/>
              </w14:schemeClr>
            </w14:solidFill>
          </w14:textFill>
        </w:rPr>
        <w:t>项目评价范围内土壤执行</w:t>
      </w:r>
      <w:r>
        <w:rPr>
          <w:rFonts w:cs="Times New Roman"/>
          <w:color w:val="0D0D0D" w:themeColor="text1" w:themeTint="F2"/>
          <w:szCs w:val="24"/>
          <w14:textFill>
            <w14:solidFill>
              <w14:schemeClr w14:val="tx1">
                <w14:lumMod w14:val="95000"/>
                <w14:lumOff w14:val="5000"/>
              </w14:schemeClr>
            </w14:solidFill>
          </w14:textFill>
        </w:rPr>
        <w:t>《</w:t>
      </w:r>
      <w:r>
        <w:rPr>
          <w:rFonts w:hint="eastAsia" w:cs="Times New Roman"/>
          <w:color w:val="0D0D0D" w:themeColor="text1" w:themeTint="F2"/>
          <w:szCs w:val="24"/>
          <w14:textFill>
            <w14:solidFill>
              <w14:schemeClr w14:val="tx1">
                <w14:lumMod w14:val="95000"/>
                <w14:lumOff w14:val="5000"/>
              </w14:schemeClr>
            </w14:solidFill>
          </w14:textFill>
        </w:rPr>
        <w:t>土壤环境质量  建设用地土壤污染风险管控标准（试行）</w:t>
      </w:r>
      <w:r>
        <w:rPr>
          <w:rFonts w:cs="Times New Roman"/>
          <w:color w:val="0D0D0D" w:themeColor="text1" w:themeTint="F2"/>
          <w:szCs w:val="24"/>
          <w14:textFill>
            <w14:solidFill>
              <w14:schemeClr w14:val="tx1">
                <w14:lumMod w14:val="95000"/>
                <w14:lumOff w14:val="5000"/>
              </w14:schemeClr>
            </w14:solidFill>
          </w14:textFill>
        </w:rPr>
        <w:t>》</w:t>
      </w:r>
      <w:bookmarkEnd w:id="38"/>
      <w:r>
        <w:rPr>
          <w:rFonts w:cs="Times New Roman"/>
          <w:color w:val="0D0D0D" w:themeColor="text1" w:themeTint="F2"/>
          <w:szCs w:val="24"/>
          <w14:textFill>
            <w14:solidFill>
              <w14:schemeClr w14:val="tx1">
                <w14:lumMod w14:val="95000"/>
                <w14:lumOff w14:val="5000"/>
              </w14:schemeClr>
            </w14:solidFill>
          </w14:textFill>
        </w:rPr>
        <w:t>（GB36600-2018）</w:t>
      </w:r>
      <w:r>
        <w:rPr>
          <w:rFonts w:hint="eastAsia" w:cs="Times New Roman"/>
          <w:color w:val="0D0D0D" w:themeColor="text1" w:themeTint="F2"/>
          <w:szCs w:val="24"/>
          <w14:textFill>
            <w14:solidFill>
              <w14:schemeClr w14:val="tx1">
                <w14:lumMod w14:val="95000"/>
                <w14:lumOff w14:val="5000"/>
              </w14:schemeClr>
            </w14:solidFill>
          </w14:textFill>
        </w:rPr>
        <w:t>表1第二类用地的筛选值标准，详见</w:t>
      </w:r>
      <w:r>
        <w:rPr>
          <w:rFonts w:cs="Times New Roman"/>
          <w:color w:val="0D0D0D" w:themeColor="text1" w:themeTint="F2"/>
          <w:szCs w:val="24"/>
          <w14:textFill>
            <w14:solidFill>
              <w14:schemeClr w14:val="tx1">
                <w14:lumMod w14:val="95000"/>
                <w14:lumOff w14:val="5000"/>
              </w14:schemeClr>
            </w14:solidFill>
          </w14:textFill>
        </w:rPr>
        <w:t>表</w:t>
      </w:r>
      <w:r>
        <w:rPr>
          <w:rFonts w:hint="eastAsia" w:cs="Times New Roman"/>
          <w:color w:val="0D0D0D" w:themeColor="text1" w:themeTint="F2"/>
          <w:szCs w:val="24"/>
          <w14:textFill>
            <w14:solidFill>
              <w14:schemeClr w14:val="tx1">
                <w14:lumMod w14:val="95000"/>
                <w14:lumOff w14:val="5000"/>
              </w14:schemeClr>
            </w14:solidFill>
          </w14:textFill>
        </w:rPr>
        <w:t>2.4-8</w:t>
      </w:r>
      <w:r>
        <w:rPr>
          <w:rFonts w:cs="Times New Roman"/>
          <w:color w:val="0D0D0D" w:themeColor="text1" w:themeTint="F2"/>
          <w:szCs w:val="24"/>
          <w14:textFill>
            <w14:solidFill>
              <w14:schemeClr w14:val="tx1">
                <w14:lumMod w14:val="95000"/>
                <w14:lumOff w14:val="5000"/>
              </w14:schemeClr>
            </w14:solidFill>
          </w14:textFill>
        </w:rPr>
        <w:t>。</w:t>
      </w:r>
    </w:p>
    <w:p w14:paraId="70B212E5">
      <w:pPr>
        <w:pStyle w:val="11"/>
      </w:pPr>
      <w:r>
        <w:rPr>
          <w:rFonts w:hint="eastAsia"/>
        </w:rPr>
        <w:t xml:space="preserve"> 《土壤环境质量 建设用地土壤污染风险管控标准（试行）》（摘录）</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692"/>
        <w:gridCol w:w="2030"/>
        <w:gridCol w:w="1188"/>
        <w:gridCol w:w="1303"/>
        <w:gridCol w:w="1305"/>
        <w:gridCol w:w="1306"/>
        <w:gridCol w:w="1304"/>
      </w:tblGrid>
      <w:tr w14:paraId="220A1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blHeader/>
          <w:jc w:val="center"/>
        </w:trPr>
        <w:tc>
          <w:tcPr>
            <w:tcW w:w="379" w:type="pct"/>
            <w:vMerge w:val="restart"/>
            <w:vAlign w:val="center"/>
          </w:tcPr>
          <w:p w14:paraId="7A8BCC1B">
            <w:pPr>
              <w:pStyle w:val="55"/>
              <w:spacing w:line="240" w:lineRule="auto"/>
              <w:jc w:val="center"/>
              <w:rPr>
                <w:color w:val="0D0D0D" w:themeColor="text1" w:themeTint="F2"/>
                <w:szCs w:val="21"/>
                <w14:textFill>
                  <w14:solidFill>
                    <w14:schemeClr w14:val="tx1">
                      <w14:lumMod w14:val="95000"/>
                      <w14:lumOff w14:val="5000"/>
                    </w14:schemeClr>
                  </w14:solidFill>
                </w14:textFill>
              </w:rPr>
            </w:pPr>
            <w:bookmarkStart w:id="39" w:name="_Hlk192001336"/>
            <w:r>
              <w:rPr>
                <w:color w:val="0D0D0D" w:themeColor="text1" w:themeTint="F2"/>
                <w:szCs w:val="21"/>
                <w14:textFill>
                  <w14:solidFill>
                    <w14:schemeClr w14:val="tx1">
                      <w14:lumMod w14:val="95000"/>
                      <w14:lumOff w14:val="5000"/>
                    </w14:schemeClr>
                  </w14:solidFill>
                </w14:textFill>
              </w:rPr>
              <w:t>序号</w:t>
            </w:r>
          </w:p>
        </w:tc>
        <w:tc>
          <w:tcPr>
            <w:tcW w:w="1112" w:type="pct"/>
            <w:vMerge w:val="restart"/>
            <w:vAlign w:val="center"/>
          </w:tcPr>
          <w:p w14:paraId="60221DD2">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污染物项目</w:t>
            </w:r>
          </w:p>
        </w:tc>
        <w:tc>
          <w:tcPr>
            <w:tcW w:w="651" w:type="pct"/>
            <w:vMerge w:val="restart"/>
            <w:vAlign w:val="center"/>
          </w:tcPr>
          <w:p w14:paraId="17DEDE6D">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CAS编号</w:t>
            </w:r>
          </w:p>
        </w:tc>
        <w:tc>
          <w:tcPr>
            <w:tcW w:w="1429" w:type="pct"/>
            <w:gridSpan w:val="2"/>
            <w:vAlign w:val="center"/>
          </w:tcPr>
          <w:p w14:paraId="5C07CCF8">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筛选值</w:t>
            </w:r>
            <w:r>
              <w:rPr>
                <w:rFonts w:hint="eastAsia"/>
                <w:color w:val="0D0D0D" w:themeColor="text1" w:themeTint="F2"/>
                <w:szCs w:val="21"/>
                <w14:textFill>
                  <w14:solidFill>
                    <w14:schemeClr w14:val="tx1">
                      <w14:lumMod w14:val="95000"/>
                      <w14:lumOff w14:val="5000"/>
                    </w14:schemeClr>
                  </w14:solidFill>
                </w14:textFill>
              </w:rPr>
              <w:t>（</w:t>
            </w:r>
            <w:r>
              <w:rPr>
                <w:color w:val="0D0D0D" w:themeColor="text1" w:themeTint="F2"/>
                <w:szCs w:val="21"/>
                <w14:textFill>
                  <w14:solidFill>
                    <w14:schemeClr w14:val="tx1">
                      <w14:lumMod w14:val="95000"/>
                      <w14:lumOff w14:val="5000"/>
                    </w14:schemeClr>
                  </w14:solidFill>
                </w14:textFill>
              </w:rPr>
              <w:t>mg/kg</w:t>
            </w:r>
            <w:r>
              <w:rPr>
                <w:rFonts w:hint="eastAsia"/>
                <w:color w:val="0D0D0D" w:themeColor="text1" w:themeTint="F2"/>
                <w:szCs w:val="21"/>
                <w14:textFill>
                  <w14:solidFill>
                    <w14:schemeClr w14:val="tx1">
                      <w14:lumMod w14:val="95000"/>
                      <w14:lumOff w14:val="5000"/>
                    </w14:schemeClr>
                  </w14:solidFill>
                </w14:textFill>
              </w:rPr>
              <w:t>）</w:t>
            </w:r>
          </w:p>
        </w:tc>
        <w:tc>
          <w:tcPr>
            <w:tcW w:w="1430" w:type="pct"/>
            <w:gridSpan w:val="2"/>
            <w:vAlign w:val="center"/>
          </w:tcPr>
          <w:p w14:paraId="324F29F9">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管制值</w:t>
            </w:r>
            <w:r>
              <w:rPr>
                <w:rFonts w:hint="eastAsia"/>
                <w:color w:val="0D0D0D" w:themeColor="text1" w:themeTint="F2"/>
                <w:szCs w:val="21"/>
                <w14:textFill>
                  <w14:solidFill>
                    <w14:schemeClr w14:val="tx1">
                      <w14:lumMod w14:val="95000"/>
                      <w14:lumOff w14:val="5000"/>
                    </w14:schemeClr>
                  </w14:solidFill>
                </w14:textFill>
              </w:rPr>
              <w:t>（</w:t>
            </w:r>
            <w:r>
              <w:rPr>
                <w:color w:val="0D0D0D" w:themeColor="text1" w:themeTint="F2"/>
                <w:szCs w:val="21"/>
                <w14:textFill>
                  <w14:solidFill>
                    <w14:schemeClr w14:val="tx1">
                      <w14:lumMod w14:val="95000"/>
                      <w14:lumOff w14:val="5000"/>
                    </w14:schemeClr>
                  </w14:solidFill>
                </w14:textFill>
              </w:rPr>
              <w:t>mg/kg</w:t>
            </w:r>
            <w:r>
              <w:rPr>
                <w:rFonts w:hint="eastAsia"/>
                <w:color w:val="0D0D0D" w:themeColor="text1" w:themeTint="F2"/>
                <w:szCs w:val="21"/>
                <w14:textFill>
                  <w14:solidFill>
                    <w14:schemeClr w14:val="tx1">
                      <w14:lumMod w14:val="95000"/>
                      <w14:lumOff w14:val="5000"/>
                    </w14:schemeClr>
                  </w14:solidFill>
                </w14:textFill>
              </w:rPr>
              <w:t>）</w:t>
            </w:r>
          </w:p>
        </w:tc>
      </w:tr>
      <w:tr w14:paraId="19156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blHeader/>
          <w:jc w:val="center"/>
        </w:trPr>
        <w:tc>
          <w:tcPr>
            <w:tcW w:w="379" w:type="pct"/>
            <w:vMerge w:val="continue"/>
            <w:vAlign w:val="center"/>
          </w:tcPr>
          <w:p w14:paraId="77B47FDF">
            <w:pPr>
              <w:pStyle w:val="55"/>
              <w:spacing w:line="240" w:lineRule="auto"/>
              <w:jc w:val="center"/>
              <w:rPr>
                <w:color w:val="0D0D0D" w:themeColor="text1" w:themeTint="F2"/>
                <w:szCs w:val="21"/>
                <w14:textFill>
                  <w14:solidFill>
                    <w14:schemeClr w14:val="tx1">
                      <w14:lumMod w14:val="95000"/>
                      <w14:lumOff w14:val="5000"/>
                    </w14:schemeClr>
                  </w14:solidFill>
                </w14:textFill>
              </w:rPr>
            </w:pPr>
          </w:p>
        </w:tc>
        <w:tc>
          <w:tcPr>
            <w:tcW w:w="1112" w:type="pct"/>
            <w:vMerge w:val="continue"/>
            <w:vAlign w:val="center"/>
          </w:tcPr>
          <w:p w14:paraId="629A8E70">
            <w:pPr>
              <w:pStyle w:val="55"/>
              <w:spacing w:line="240" w:lineRule="auto"/>
              <w:jc w:val="center"/>
              <w:rPr>
                <w:color w:val="0D0D0D" w:themeColor="text1" w:themeTint="F2"/>
                <w:szCs w:val="21"/>
                <w14:textFill>
                  <w14:solidFill>
                    <w14:schemeClr w14:val="tx1">
                      <w14:lumMod w14:val="95000"/>
                      <w14:lumOff w14:val="5000"/>
                    </w14:schemeClr>
                  </w14:solidFill>
                </w14:textFill>
              </w:rPr>
            </w:pPr>
          </w:p>
        </w:tc>
        <w:tc>
          <w:tcPr>
            <w:tcW w:w="651" w:type="pct"/>
            <w:vMerge w:val="continue"/>
            <w:vAlign w:val="center"/>
          </w:tcPr>
          <w:p w14:paraId="5E57456A">
            <w:pPr>
              <w:pStyle w:val="55"/>
              <w:spacing w:line="240" w:lineRule="auto"/>
              <w:jc w:val="center"/>
              <w:rPr>
                <w:color w:val="0D0D0D" w:themeColor="text1" w:themeTint="F2"/>
                <w:szCs w:val="21"/>
                <w14:textFill>
                  <w14:solidFill>
                    <w14:schemeClr w14:val="tx1">
                      <w14:lumMod w14:val="95000"/>
                      <w14:lumOff w14:val="5000"/>
                    </w14:schemeClr>
                  </w14:solidFill>
                </w14:textFill>
              </w:rPr>
            </w:pPr>
          </w:p>
        </w:tc>
        <w:tc>
          <w:tcPr>
            <w:tcW w:w="714" w:type="pct"/>
            <w:vAlign w:val="center"/>
          </w:tcPr>
          <w:p w14:paraId="550ECE78">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第一类用地</w:t>
            </w:r>
          </w:p>
        </w:tc>
        <w:tc>
          <w:tcPr>
            <w:tcW w:w="715" w:type="pct"/>
            <w:vAlign w:val="center"/>
          </w:tcPr>
          <w:p w14:paraId="3413BF11">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第二类用地</w:t>
            </w:r>
          </w:p>
        </w:tc>
        <w:tc>
          <w:tcPr>
            <w:tcW w:w="715" w:type="pct"/>
            <w:vAlign w:val="center"/>
          </w:tcPr>
          <w:p w14:paraId="7495B11C">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第一类用地</w:t>
            </w:r>
          </w:p>
        </w:tc>
        <w:tc>
          <w:tcPr>
            <w:tcW w:w="715" w:type="pct"/>
            <w:vAlign w:val="center"/>
          </w:tcPr>
          <w:p w14:paraId="2DB87962">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第二类用地</w:t>
            </w:r>
          </w:p>
        </w:tc>
      </w:tr>
      <w:tr w14:paraId="40D81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000" w:type="pct"/>
            <w:gridSpan w:val="7"/>
            <w:vAlign w:val="center"/>
          </w:tcPr>
          <w:p w14:paraId="645C37DD">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重金属和无机物</w:t>
            </w:r>
          </w:p>
        </w:tc>
      </w:tr>
      <w:tr w14:paraId="375C2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3C3CEEC2">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w:t>
            </w:r>
          </w:p>
        </w:tc>
        <w:tc>
          <w:tcPr>
            <w:tcW w:w="1112" w:type="pct"/>
            <w:vAlign w:val="center"/>
          </w:tcPr>
          <w:p w14:paraId="08A04FBD">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砷</w:t>
            </w:r>
          </w:p>
        </w:tc>
        <w:tc>
          <w:tcPr>
            <w:tcW w:w="651" w:type="pct"/>
            <w:vAlign w:val="center"/>
          </w:tcPr>
          <w:p w14:paraId="091FAF2D">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7440-38-2</w:t>
            </w:r>
          </w:p>
        </w:tc>
        <w:tc>
          <w:tcPr>
            <w:tcW w:w="714" w:type="pct"/>
            <w:vAlign w:val="center"/>
          </w:tcPr>
          <w:p w14:paraId="1F8FF697">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20</w:t>
            </w:r>
            <w:r>
              <w:rPr>
                <w:rFonts w:hint="eastAsia" w:cs="宋体"/>
                <w:color w:val="0D0D0D" w:themeColor="text1" w:themeTint="F2"/>
                <w:szCs w:val="21"/>
                <w:vertAlign w:val="superscript"/>
                <w14:textFill>
                  <w14:solidFill>
                    <w14:schemeClr w14:val="tx1">
                      <w14:lumMod w14:val="95000"/>
                      <w14:lumOff w14:val="5000"/>
                    </w14:schemeClr>
                  </w14:solidFill>
                </w14:textFill>
              </w:rPr>
              <w:t>①</w:t>
            </w:r>
          </w:p>
        </w:tc>
        <w:tc>
          <w:tcPr>
            <w:tcW w:w="715" w:type="pct"/>
            <w:vAlign w:val="center"/>
          </w:tcPr>
          <w:p w14:paraId="70F3BCE5">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60</w:t>
            </w:r>
            <w:r>
              <w:rPr>
                <w:rFonts w:hint="eastAsia" w:cs="宋体"/>
                <w:color w:val="0D0D0D" w:themeColor="text1" w:themeTint="F2"/>
                <w:szCs w:val="21"/>
                <w:vertAlign w:val="superscript"/>
                <w14:textFill>
                  <w14:solidFill>
                    <w14:schemeClr w14:val="tx1">
                      <w14:lumMod w14:val="95000"/>
                      <w14:lumOff w14:val="5000"/>
                    </w14:schemeClr>
                  </w14:solidFill>
                </w14:textFill>
              </w:rPr>
              <w:t>①</w:t>
            </w:r>
          </w:p>
        </w:tc>
        <w:tc>
          <w:tcPr>
            <w:tcW w:w="715" w:type="pct"/>
            <w:vAlign w:val="center"/>
          </w:tcPr>
          <w:p w14:paraId="51A28651">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120</w:t>
            </w:r>
          </w:p>
        </w:tc>
        <w:tc>
          <w:tcPr>
            <w:tcW w:w="715" w:type="pct"/>
            <w:vAlign w:val="center"/>
          </w:tcPr>
          <w:p w14:paraId="6307A545">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140</w:t>
            </w:r>
          </w:p>
        </w:tc>
      </w:tr>
      <w:tr w14:paraId="54C9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66062202">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w:t>
            </w:r>
          </w:p>
        </w:tc>
        <w:tc>
          <w:tcPr>
            <w:tcW w:w="1112" w:type="pct"/>
            <w:vAlign w:val="center"/>
          </w:tcPr>
          <w:p w14:paraId="1453A3B6">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镉</w:t>
            </w:r>
          </w:p>
        </w:tc>
        <w:tc>
          <w:tcPr>
            <w:tcW w:w="651" w:type="pct"/>
            <w:vAlign w:val="center"/>
          </w:tcPr>
          <w:p w14:paraId="67BC2FB1">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7440-43-9</w:t>
            </w:r>
          </w:p>
        </w:tc>
        <w:tc>
          <w:tcPr>
            <w:tcW w:w="714" w:type="pct"/>
            <w:vAlign w:val="center"/>
          </w:tcPr>
          <w:p w14:paraId="397E8A71">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20</w:t>
            </w:r>
          </w:p>
        </w:tc>
        <w:tc>
          <w:tcPr>
            <w:tcW w:w="715" w:type="pct"/>
            <w:vAlign w:val="center"/>
          </w:tcPr>
          <w:p w14:paraId="4691F588">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65</w:t>
            </w:r>
          </w:p>
        </w:tc>
        <w:tc>
          <w:tcPr>
            <w:tcW w:w="715" w:type="pct"/>
            <w:vAlign w:val="center"/>
          </w:tcPr>
          <w:p w14:paraId="68852C22">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47</w:t>
            </w:r>
          </w:p>
        </w:tc>
        <w:tc>
          <w:tcPr>
            <w:tcW w:w="715" w:type="pct"/>
            <w:vAlign w:val="center"/>
          </w:tcPr>
          <w:p w14:paraId="57FB0A5D">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172</w:t>
            </w:r>
          </w:p>
        </w:tc>
      </w:tr>
      <w:tr w14:paraId="15C10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4EAE453C">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w:t>
            </w:r>
          </w:p>
        </w:tc>
        <w:tc>
          <w:tcPr>
            <w:tcW w:w="1112" w:type="pct"/>
            <w:vAlign w:val="center"/>
          </w:tcPr>
          <w:p w14:paraId="0EA2F6CD">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铬</w:t>
            </w:r>
            <w:r>
              <w:rPr>
                <w:rFonts w:hint="eastAsia"/>
                <w:color w:val="0D0D0D" w:themeColor="text1" w:themeTint="F2"/>
                <w:szCs w:val="21"/>
                <w14:textFill>
                  <w14:solidFill>
                    <w14:schemeClr w14:val="tx1">
                      <w14:lumMod w14:val="95000"/>
                      <w14:lumOff w14:val="5000"/>
                    </w14:schemeClr>
                  </w14:solidFill>
                </w14:textFill>
              </w:rPr>
              <w:t>（</w:t>
            </w:r>
            <w:r>
              <w:rPr>
                <w:color w:val="0D0D0D" w:themeColor="text1" w:themeTint="F2"/>
                <w:szCs w:val="21"/>
                <w14:textFill>
                  <w14:solidFill>
                    <w14:schemeClr w14:val="tx1">
                      <w14:lumMod w14:val="95000"/>
                      <w14:lumOff w14:val="5000"/>
                    </w14:schemeClr>
                  </w14:solidFill>
                </w14:textFill>
              </w:rPr>
              <w:t>六价</w:t>
            </w:r>
            <w:r>
              <w:rPr>
                <w:rFonts w:hint="eastAsia"/>
                <w:color w:val="0D0D0D" w:themeColor="text1" w:themeTint="F2"/>
                <w:szCs w:val="21"/>
                <w14:textFill>
                  <w14:solidFill>
                    <w14:schemeClr w14:val="tx1">
                      <w14:lumMod w14:val="95000"/>
                      <w14:lumOff w14:val="5000"/>
                    </w14:schemeClr>
                  </w14:solidFill>
                </w14:textFill>
              </w:rPr>
              <w:t>）</w:t>
            </w:r>
          </w:p>
        </w:tc>
        <w:tc>
          <w:tcPr>
            <w:tcW w:w="651" w:type="pct"/>
            <w:vAlign w:val="center"/>
          </w:tcPr>
          <w:p w14:paraId="1CE2CE72">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18540-29-9</w:t>
            </w:r>
          </w:p>
        </w:tc>
        <w:tc>
          <w:tcPr>
            <w:tcW w:w="714" w:type="pct"/>
            <w:vAlign w:val="center"/>
          </w:tcPr>
          <w:p w14:paraId="4416B931">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w:t>
            </w:r>
          </w:p>
        </w:tc>
        <w:tc>
          <w:tcPr>
            <w:tcW w:w="715" w:type="pct"/>
            <w:vAlign w:val="center"/>
          </w:tcPr>
          <w:p w14:paraId="36CB551C">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5.7</w:t>
            </w:r>
          </w:p>
        </w:tc>
        <w:tc>
          <w:tcPr>
            <w:tcW w:w="715" w:type="pct"/>
            <w:vAlign w:val="center"/>
          </w:tcPr>
          <w:p w14:paraId="318CD183">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30</w:t>
            </w:r>
          </w:p>
        </w:tc>
        <w:tc>
          <w:tcPr>
            <w:tcW w:w="715" w:type="pct"/>
            <w:vAlign w:val="center"/>
          </w:tcPr>
          <w:p w14:paraId="024E6D3A">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78</w:t>
            </w:r>
          </w:p>
        </w:tc>
      </w:tr>
      <w:tr w14:paraId="3A783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2A2A3A3F">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4</w:t>
            </w:r>
          </w:p>
        </w:tc>
        <w:tc>
          <w:tcPr>
            <w:tcW w:w="1112" w:type="pct"/>
            <w:vAlign w:val="center"/>
          </w:tcPr>
          <w:p w14:paraId="310959BB">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铜</w:t>
            </w:r>
          </w:p>
        </w:tc>
        <w:tc>
          <w:tcPr>
            <w:tcW w:w="651" w:type="pct"/>
            <w:vAlign w:val="center"/>
          </w:tcPr>
          <w:p w14:paraId="4EC4226A">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7440-50-8</w:t>
            </w:r>
          </w:p>
        </w:tc>
        <w:tc>
          <w:tcPr>
            <w:tcW w:w="714" w:type="pct"/>
            <w:vAlign w:val="center"/>
          </w:tcPr>
          <w:p w14:paraId="55692149">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2000</w:t>
            </w:r>
          </w:p>
        </w:tc>
        <w:tc>
          <w:tcPr>
            <w:tcW w:w="715" w:type="pct"/>
            <w:vAlign w:val="center"/>
          </w:tcPr>
          <w:p w14:paraId="3D2ED31F">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18000</w:t>
            </w:r>
          </w:p>
        </w:tc>
        <w:tc>
          <w:tcPr>
            <w:tcW w:w="715" w:type="pct"/>
            <w:vAlign w:val="center"/>
          </w:tcPr>
          <w:p w14:paraId="486631CA">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8000</w:t>
            </w:r>
          </w:p>
        </w:tc>
        <w:tc>
          <w:tcPr>
            <w:tcW w:w="715" w:type="pct"/>
            <w:vAlign w:val="center"/>
          </w:tcPr>
          <w:p w14:paraId="1390F0F2">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36000</w:t>
            </w:r>
          </w:p>
        </w:tc>
      </w:tr>
      <w:tr w14:paraId="1D6DD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2FDF29BE">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w:t>
            </w:r>
          </w:p>
        </w:tc>
        <w:tc>
          <w:tcPr>
            <w:tcW w:w="1112" w:type="pct"/>
            <w:vAlign w:val="center"/>
          </w:tcPr>
          <w:p w14:paraId="1F511D7D">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铅</w:t>
            </w:r>
          </w:p>
        </w:tc>
        <w:tc>
          <w:tcPr>
            <w:tcW w:w="651" w:type="pct"/>
            <w:vAlign w:val="center"/>
          </w:tcPr>
          <w:p w14:paraId="05E5187C">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7439-92-1</w:t>
            </w:r>
          </w:p>
        </w:tc>
        <w:tc>
          <w:tcPr>
            <w:tcW w:w="714" w:type="pct"/>
            <w:vAlign w:val="center"/>
          </w:tcPr>
          <w:p w14:paraId="40E8F8E1">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400</w:t>
            </w:r>
          </w:p>
        </w:tc>
        <w:tc>
          <w:tcPr>
            <w:tcW w:w="715" w:type="pct"/>
            <w:vAlign w:val="center"/>
          </w:tcPr>
          <w:p w14:paraId="44A0B38B">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800</w:t>
            </w:r>
          </w:p>
        </w:tc>
        <w:tc>
          <w:tcPr>
            <w:tcW w:w="715" w:type="pct"/>
            <w:vAlign w:val="center"/>
          </w:tcPr>
          <w:p w14:paraId="6414B33C">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800</w:t>
            </w:r>
          </w:p>
        </w:tc>
        <w:tc>
          <w:tcPr>
            <w:tcW w:w="715" w:type="pct"/>
            <w:vAlign w:val="center"/>
          </w:tcPr>
          <w:p w14:paraId="092CF98A">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2500</w:t>
            </w:r>
          </w:p>
        </w:tc>
      </w:tr>
      <w:tr w14:paraId="6CB4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19C9309B">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6</w:t>
            </w:r>
          </w:p>
        </w:tc>
        <w:tc>
          <w:tcPr>
            <w:tcW w:w="1112" w:type="pct"/>
            <w:vAlign w:val="center"/>
          </w:tcPr>
          <w:p w14:paraId="565A6593">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汞</w:t>
            </w:r>
          </w:p>
        </w:tc>
        <w:tc>
          <w:tcPr>
            <w:tcW w:w="651" w:type="pct"/>
            <w:vAlign w:val="center"/>
          </w:tcPr>
          <w:p w14:paraId="64F7AC3D">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7439-97-6</w:t>
            </w:r>
          </w:p>
        </w:tc>
        <w:tc>
          <w:tcPr>
            <w:tcW w:w="714" w:type="pct"/>
            <w:vAlign w:val="center"/>
          </w:tcPr>
          <w:p w14:paraId="0C979953">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8</w:t>
            </w:r>
          </w:p>
        </w:tc>
        <w:tc>
          <w:tcPr>
            <w:tcW w:w="715" w:type="pct"/>
            <w:vAlign w:val="center"/>
          </w:tcPr>
          <w:p w14:paraId="2EE1AD9D">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38</w:t>
            </w:r>
          </w:p>
        </w:tc>
        <w:tc>
          <w:tcPr>
            <w:tcW w:w="715" w:type="pct"/>
            <w:vAlign w:val="center"/>
          </w:tcPr>
          <w:p w14:paraId="22CE3D2C">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33</w:t>
            </w:r>
          </w:p>
        </w:tc>
        <w:tc>
          <w:tcPr>
            <w:tcW w:w="715" w:type="pct"/>
            <w:vAlign w:val="center"/>
          </w:tcPr>
          <w:p w14:paraId="5D0D925B">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82</w:t>
            </w:r>
          </w:p>
        </w:tc>
      </w:tr>
      <w:tr w14:paraId="1DFB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662925E5">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7</w:t>
            </w:r>
          </w:p>
        </w:tc>
        <w:tc>
          <w:tcPr>
            <w:tcW w:w="1112" w:type="pct"/>
            <w:vAlign w:val="center"/>
          </w:tcPr>
          <w:p w14:paraId="539FB2CF">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镍</w:t>
            </w:r>
          </w:p>
        </w:tc>
        <w:tc>
          <w:tcPr>
            <w:tcW w:w="651" w:type="pct"/>
            <w:vAlign w:val="center"/>
          </w:tcPr>
          <w:p w14:paraId="309B8944">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7440-02-0</w:t>
            </w:r>
          </w:p>
        </w:tc>
        <w:tc>
          <w:tcPr>
            <w:tcW w:w="714" w:type="pct"/>
            <w:vAlign w:val="center"/>
          </w:tcPr>
          <w:p w14:paraId="59EDB5EA">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150</w:t>
            </w:r>
          </w:p>
        </w:tc>
        <w:tc>
          <w:tcPr>
            <w:tcW w:w="715" w:type="pct"/>
            <w:vAlign w:val="center"/>
          </w:tcPr>
          <w:p w14:paraId="0F68C567">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900</w:t>
            </w:r>
          </w:p>
        </w:tc>
        <w:tc>
          <w:tcPr>
            <w:tcW w:w="715" w:type="pct"/>
            <w:vAlign w:val="center"/>
          </w:tcPr>
          <w:p w14:paraId="4169A967">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600</w:t>
            </w:r>
          </w:p>
        </w:tc>
        <w:tc>
          <w:tcPr>
            <w:tcW w:w="715" w:type="pct"/>
            <w:vAlign w:val="center"/>
          </w:tcPr>
          <w:p w14:paraId="0D94BBF9">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2000</w:t>
            </w:r>
          </w:p>
        </w:tc>
      </w:tr>
      <w:tr w14:paraId="562B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000" w:type="pct"/>
            <w:gridSpan w:val="7"/>
            <w:vAlign w:val="center"/>
          </w:tcPr>
          <w:p w14:paraId="65CBCAAF">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挥发性有机物</w:t>
            </w:r>
          </w:p>
        </w:tc>
      </w:tr>
      <w:tr w14:paraId="0C49A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5F0D151B">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8</w:t>
            </w:r>
          </w:p>
        </w:tc>
        <w:tc>
          <w:tcPr>
            <w:tcW w:w="1112" w:type="pct"/>
            <w:vAlign w:val="center"/>
          </w:tcPr>
          <w:p w14:paraId="13EF93FD">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四氯化碳</w:t>
            </w:r>
          </w:p>
        </w:tc>
        <w:tc>
          <w:tcPr>
            <w:tcW w:w="651" w:type="pct"/>
            <w:vAlign w:val="center"/>
          </w:tcPr>
          <w:p w14:paraId="690D08F4">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56-23-5</w:t>
            </w:r>
          </w:p>
        </w:tc>
        <w:tc>
          <w:tcPr>
            <w:tcW w:w="714" w:type="pct"/>
            <w:vAlign w:val="center"/>
          </w:tcPr>
          <w:p w14:paraId="341D73C0">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0.9</w:t>
            </w:r>
          </w:p>
        </w:tc>
        <w:tc>
          <w:tcPr>
            <w:tcW w:w="715" w:type="pct"/>
            <w:vAlign w:val="center"/>
          </w:tcPr>
          <w:p w14:paraId="68EE50EF">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2.8</w:t>
            </w:r>
          </w:p>
        </w:tc>
        <w:tc>
          <w:tcPr>
            <w:tcW w:w="715" w:type="pct"/>
            <w:vAlign w:val="center"/>
          </w:tcPr>
          <w:p w14:paraId="19A3C5E8">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9</w:t>
            </w:r>
          </w:p>
        </w:tc>
        <w:tc>
          <w:tcPr>
            <w:tcW w:w="715" w:type="pct"/>
            <w:vAlign w:val="center"/>
          </w:tcPr>
          <w:p w14:paraId="3AEC0A08">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36</w:t>
            </w:r>
          </w:p>
        </w:tc>
      </w:tr>
      <w:tr w14:paraId="1AC1E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0109AF57">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9</w:t>
            </w:r>
          </w:p>
        </w:tc>
        <w:tc>
          <w:tcPr>
            <w:tcW w:w="1112" w:type="pct"/>
            <w:vAlign w:val="center"/>
          </w:tcPr>
          <w:p w14:paraId="6B984AD5">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氯仿</w:t>
            </w:r>
          </w:p>
        </w:tc>
        <w:tc>
          <w:tcPr>
            <w:tcW w:w="651" w:type="pct"/>
            <w:vAlign w:val="center"/>
          </w:tcPr>
          <w:p w14:paraId="4C7BD05B">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67-66-3</w:t>
            </w:r>
          </w:p>
        </w:tc>
        <w:tc>
          <w:tcPr>
            <w:tcW w:w="714" w:type="pct"/>
            <w:vAlign w:val="center"/>
          </w:tcPr>
          <w:p w14:paraId="44F5058E">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0.3</w:t>
            </w:r>
          </w:p>
        </w:tc>
        <w:tc>
          <w:tcPr>
            <w:tcW w:w="715" w:type="pct"/>
            <w:vAlign w:val="center"/>
          </w:tcPr>
          <w:p w14:paraId="06E2F1E7">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0.9</w:t>
            </w:r>
          </w:p>
        </w:tc>
        <w:tc>
          <w:tcPr>
            <w:tcW w:w="715" w:type="pct"/>
            <w:vAlign w:val="center"/>
          </w:tcPr>
          <w:p w14:paraId="4B66F22D">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w:t>
            </w:r>
          </w:p>
        </w:tc>
        <w:tc>
          <w:tcPr>
            <w:tcW w:w="715" w:type="pct"/>
            <w:vAlign w:val="center"/>
          </w:tcPr>
          <w:p w14:paraId="47657839">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10</w:t>
            </w:r>
          </w:p>
        </w:tc>
      </w:tr>
      <w:tr w14:paraId="1ADA2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1CE0311B">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10</w:t>
            </w:r>
          </w:p>
        </w:tc>
        <w:tc>
          <w:tcPr>
            <w:tcW w:w="1112" w:type="pct"/>
            <w:vAlign w:val="center"/>
          </w:tcPr>
          <w:p w14:paraId="5FC89B91">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氯甲烷</w:t>
            </w:r>
          </w:p>
        </w:tc>
        <w:tc>
          <w:tcPr>
            <w:tcW w:w="651" w:type="pct"/>
            <w:vAlign w:val="center"/>
          </w:tcPr>
          <w:p w14:paraId="2E0503CF">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74-87-3</w:t>
            </w:r>
          </w:p>
        </w:tc>
        <w:tc>
          <w:tcPr>
            <w:tcW w:w="714" w:type="pct"/>
            <w:vAlign w:val="center"/>
          </w:tcPr>
          <w:p w14:paraId="116FF8E4">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12</w:t>
            </w:r>
          </w:p>
        </w:tc>
        <w:tc>
          <w:tcPr>
            <w:tcW w:w="715" w:type="pct"/>
            <w:vAlign w:val="center"/>
          </w:tcPr>
          <w:p w14:paraId="0FABEA65">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37</w:t>
            </w:r>
          </w:p>
        </w:tc>
        <w:tc>
          <w:tcPr>
            <w:tcW w:w="715" w:type="pct"/>
            <w:vAlign w:val="center"/>
          </w:tcPr>
          <w:p w14:paraId="514BD492">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21</w:t>
            </w:r>
          </w:p>
        </w:tc>
        <w:tc>
          <w:tcPr>
            <w:tcW w:w="715" w:type="pct"/>
            <w:vAlign w:val="center"/>
          </w:tcPr>
          <w:p w14:paraId="6526C180">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120</w:t>
            </w:r>
          </w:p>
        </w:tc>
      </w:tr>
      <w:tr w14:paraId="6FD71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3EAC02B5">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11</w:t>
            </w:r>
          </w:p>
        </w:tc>
        <w:tc>
          <w:tcPr>
            <w:tcW w:w="1112" w:type="pct"/>
            <w:vAlign w:val="center"/>
          </w:tcPr>
          <w:p w14:paraId="67F0B517">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1,1-二氯乙烷</w:t>
            </w:r>
          </w:p>
        </w:tc>
        <w:tc>
          <w:tcPr>
            <w:tcW w:w="651" w:type="pct"/>
            <w:vAlign w:val="center"/>
          </w:tcPr>
          <w:p w14:paraId="18601D4F">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75-34-3</w:t>
            </w:r>
          </w:p>
        </w:tc>
        <w:tc>
          <w:tcPr>
            <w:tcW w:w="714" w:type="pct"/>
            <w:vAlign w:val="center"/>
          </w:tcPr>
          <w:p w14:paraId="3A510D08">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w:t>
            </w:r>
          </w:p>
        </w:tc>
        <w:tc>
          <w:tcPr>
            <w:tcW w:w="715" w:type="pct"/>
            <w:vAlign w:val="center"/>
          </w:tcPr>
          <w:p w14:paraId="526DC1A0">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9</w:t>
            </w:r>
          </w:p>
        </w:tc>
        <w:tc>
          <w:tcPr>
            <w:tcW w:w="715" w:type="pct"/>
            <w:vAlign w:val="center"/>
          </w:tcPr>
          <w:p w14:paraId="57A9E92C">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20</w:t>
            </w:r>
          </w:p>
        </w:tc>
        <w:tc>
          <w:tcPr>
            <w:tcW w:w="715" w:type="pct"/>
            <w:vAlign w:val="center"/>
          </w:tcPr>
          <w:p w14:paraId="2C6312DB">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100</w:t>
            </w:r>
          </w:p>
        </w:tc>
      </w:tr>
      <w:tr w14:paraId="57DD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29545357">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12</w:t>
            </w:r>
          </w:p>
        </w:tc>
        <w:tc>
          <w:tcPr>
            <w:tcW w:w="1112" w:type="pct"/>
            <w:vAlign w:val="center"/>
          </w:tcPr>
          <w:p w14:paraId="230DEAFA">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1,2-二氯乙烷</w:t>
            </w:r>
          </w:p>
        </w:tc>
        <w:tc>
          <w:tcPr>
            <w:tcW w:w="651" w:type="pct"/>
            <w:vAlign w:val="center"/>
          </w:tcPr>
          <w:p w14:paraId="67FC3F67">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107-06-2</w:t>
            </w:r>
          </w:p>
        </w:tc>
        <w:tc>
          <w:tcPr>
            <w:tcW w:w="714" w:type="pct"/>
            <w:vAlign w:val="center"/>
          </w:tcPr>
          <w:p w14:paraId="5319304D">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0.52</w:t>
            </w:r>
          </w:p>
        </w:tc>
        <w:tc>
          <w:tcPr>
            <w:tcW w:w="715" w:type="pct"/>
            <w:vAlign w:val="center"/>
          </w:tcPr>
          <w:p w14:paraId="085EEAAB">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w:t>
            </w:r>
          </w:p>
        </w:tc>
        <w:tc>
          <w:tcPr>
            <w:tcW w:w="715" w:type="pct"/>
            <w:vAlign w:val="center"/>
          </w:tcPr>
          <w:p w14:paraId="3C5D5CCA">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6</w:t>
            </w:r>
          </w:p>
        </w:tc>
        <w:tc>
          <w:tcPr>
            <w:tcW w:w="715" w:type="pct"/>
            <w:vAlign w:val="center"/>
          </w:tcPr>
          <w:p w14:paraId="64BD93D6">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21</w:t>
            </w:r>
          </w:p>
        </w:tc>
      </w:tr>
      <w:tr w14:paraId="0DD7B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6498830D">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13</w:t>
            </w:r>
          </w:p>
        </w:tc>
        <w:tc>
          <w:tcPr>
            <w:tcW w:w="1112" w:type="pct"/>
            <w:vAlign w:val="center"/>
          </w:tcPr>
          <w:p w14:paraId="49E88308">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1,1-二氯乙烯</w:t>
            </w:r>
          </w:p>
        </w:tc>
        <w:tc>
          <w:tcPr>
            <w:tcW w:w="651" w:type="pct"/>
            <w:vAlign w:val="center"/>
          </w:tcPr>
          <w:p w14:paraId="77F7A6AA">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75-35-4</w:t>
            </w:r>
          </w:p>
        </w:tc>
        <w:tc>
          <w:tcPr>
            <w:tcW w:w="714" w:type="pct"/>
            <w:vAlign w:val="center"/>
          </w:tcPr>
          <w:p w14:paraId="72C1C303">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12</w:t>
            </w:r>
          </w:p>
        </w:tc>
        <w:tc>
          <w:tcPr>
            <w:tcW w:w="715" w:type="pct"/>
            <w:vAlign w:val="center"/>
          </w:tcPr>
          <w:p w14:paraId="0E6342A7">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66</w:t>
            </w:r>
          </w:p>
        </w:tc>
        <w:tc>
          <w:tcPr>
            <w:tcW w:w="715" w:type="pct"/>
            <w:vAlign w:val="center"/>
          </w:tcPr>
          <w:p w14:paraId="1100BE30">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40</w:t>
            </w:r>
          </w:p>
        </w:tc>
        <w:tc>
          <w:tcPr>
            <w:tcW w:w="715" w:type="pct"/>
            <w:vAlign w:val="center"/>
          </w:tcPr>
          <w:p w14:paraId="648CEFC8">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200</w:t>
            </w:r>
          </w:p>
        </w:tc>
      </w:tr>
      <w:tr w14:paraId="6EC4E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285EA37F">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14</w:t>
            </w:r>
          </w:p>
        </w:tc>
        <w:tc>
          <w:tcPr>
            <w:tcW w:w="1112" w:type="pct"/>
            <w:vAlign w:val="center"/>
          </w:tcPr>
          <w:p w14:paraId="51B2FF59">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顺-1,2-二氯乙烯</w:t>
            </w:r>
          </w:p>
        </w:tc>
        <w:tc>
          <w:tcPr>
            <w:tcW w:w="651" w:type="pct"/>
            <w:vAlign w:val="center"/>
          </w:tcPr>
          <w:p w14:paraId="5AFAECB8">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156-59-2</w:t>
            </w:r>
          </w:p>
        </w:tc>
        <w:tc>
          <w:tcPr>
            <w:tcW w:w="714" w:type="pct"/>
            <w:vAlign w:val="center"/>
          </w:tcPr>
          <w:p w14:paraId="6758448E">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66</w:t>
            </w:r>
          </w:p>
        </w:tc>
        <w:tc>
          <w:tcPr>
            <w:tcW w:w="715" w:type="pct"/>
            <w:vAlign w:val="center"/>
          </w:tcPr>
          <w:p w14:paraId="404AE323">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596</w:t>
            </w:r>
          </w:p>
        </w:tc>
        <w:tc>
          <w:tcPr>
            <w:tcW w:w="715" w:type="pct"/>
            <w:vAlign w:val="center"/>
          </w:tcPr>
          <w:p w14:paraId="13F8909B">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200</w:t>
            </w:r>
          </w:p>
        </w:tc>
        <w:tc>
          <w:tcPr>
            <w:tcW w:w="715" w:type="pct"/>
            <w:vAlign w:val="center"/>
          </w:tcPr>
          <w:p w14:paraId="41D04A73">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2000</w:t>
            </w:r>
          </w:p>
        </w:tc>
      </w:tr>
      <w:tr w14:paraId="5A6EA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12655C37">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15</w:t>
            </w:r>
          </w:p>
        </w:tc>
        <w:tc>
          <w:tcPr>
            <w:tcW w:w="1112" w:type="pct"/>
            <w:vAlign w:val="center"/>
          </w:tcPr>
          <w:p w14:paraId="558F6AF1">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反-1,2-二氯乙烯</w:t>
            </w:r>
          </w:p>
        </w:tc>
        <w:tc>
          <w:tcPr>
            <w:tcW w:w="651" w:type="pct"/>
            <w:vAlign w:val="center"/>
          </w:tcPr>
          <w:p w14:paraId="7A068BE5">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156-60-5</w:t>
            </w:r>
          </w:p>
        </w:tc>
        <w:tc>
          <w:tcPr>
            <w:tcW w:w="714" w:type="pct"/>
            <w:vAlign w:val="center"/>
          </w:tcPr>
          <w:p w14:paraId="6831C30E">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10</w:t>
            </w:r>
          </w:p>
        </w:tc>
        <w:tc>
          <w:tcPr>
            <w:tcW w:w="715" w:type="pct"/>
            <w:vAlign w:val="center"/>
          </w:tcPr>
          <w:p w14:paraId="5814DB75">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54</w:t>
            </w:r>
          </w:p>
        </w:tc>
        <w:tc>
          <w:tcPr>
            <w:tcW w:w="715" w:type="pct"/>
            <w:vAlign w:val="center"/>
          </w:tcPr>
          <w:p w14:paraId="3333FC82">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31</w:t>
            </w:r>
          </w:p>
        </w:tc>
        <w:tc>
          <w:tcPr>
            <w:tcW w:w="715" w:type="pct"/>
            <w:vAlign w:val="center"/>
          </w:tcPr>
          <w:p w14:paraId="6C6ADB5E">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163</w:t>
            </w:r>
          </w:p>
        </w:tc>
      </w:tr>
      <w:tr w14:paraId="4649F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61B060AE">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16</w:t>
            </w:r>
          </w:p>
        </w:tc>
        <w:tc>
          <w:tcPr>
            <w:tcW w:w="1112" w:type="pct"/>
            <w:vAlign w:val="center"/>
          </w:tcPr>
          <w:p w14:paraId="4679D943">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二氯甲烷</w:t>
            </w:r>
          </w:p>
        </w:tc>
        <w:tc>
          <w:tcPr>
            <w:tcW w:w="651" w:type="pct"/>
            <w:vAlign w:val="center"/>
          </w:tcPr>
          <w:p w14:paraId="4B90C850">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1975/9/2</w:t>
            </w:r>
          </w:p>
        </w:tc>
        <w:tc>
          <w:tcPr>
            <w:tcW w:w="714" w:type="pct"/>
            <w:vAlign w:val="center"/>
          </w:tcPr>
          <w:p w14:paraId="0C619143">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94</w:t>
            </w:r>
          </w:p>
        </w:tc>
        <w:tc>
          <w:tcPr>
            <w:tcW w:w="715" w:type="pct"/>
            <w:vAlign w:val="center"/>
          </w:tcPr>
          <w:p w14:paraId="160E75E8">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616</w:t>
            </w:r>
          </w:p>
        </w:tc>
        <w:tc>
          <w:tcPr>
            <w:tcW w:w="715" w:type="pct"/>
            <w:vAlign w:val="center"/>
          </w:tcPr>
          <w:p w14:paraId="43CE1275">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300</w:t>
            </w:r>
          </w:p>
        </w:tc>
        <w:tc>
          <w:tcPr>
            <w:tcW w:w="715" w:type="pct"/>
            <w:vAlign w:val="center"/>
          </w:tcPr>
          <w:p w14:paraId="53A6EFCA">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2000</w:t>
            </w:r>
          </w:p>
        </w:tc>
      </w:tr>
      <w:tr w14:paraId="16407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1EB01CF1">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17</w:t>
            </w:r>
          </w:p>
        </w:tc>
        <w:tc>
          <w:tcPr>
            <w:tcW w:w="1112" w:type="pct"/>
            <w:vAlign w:val="center"/>
          </w:tcPr>
          <w:p w14:paraId="655302A5">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1,2-二氯丙烷</w:t>
            </w:r>
          </w:p>
        </w:tc>
        <w:tc>
          <w:tcPr>
            <w:tcW w:w="651" w:type="pct"/>
            <w:vAlign w:val="center"/>
          </w:tcPr>
          <w:p w14:paraId="3C995D84">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78-87-5</w:t>
            </w:r>
          </w:p>
        </w:tc>
        <w:tc>
          <w:tcPr>
            <w:tcW w:w="714" w:type="pct"/>
            <w:vAlign w:val="center"/>
          </w:tcPr>
          <w:p w14:paraId="62A5682B">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w:t>
            </w:r>
          </w:p>
        </w:tc>
        <w:tc>
          <w:tcPr>
            <w:tcW w:w="715" w:type="pct"/>
            <w:vAlign w:val="center"/>
          </w:tcPr>
          <w:p w14:paraId="7E9A23F1">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w:t>
            </w:r>
          </w:p>
        </w:tc>
        <w:tc>
          <w:tcPr>
            <w:tcW w:w="715" w:type="pct"/>
            <w:vAlign w:val="center"/>
          </w:tcPr>
          <w:p w14:paraId="7A61CB16">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w:t>
            </w:r>
          </w:p>
        </w:tc>
        <w:tc>
          <w:tcPr>
            <w:tcW w:w="715" w:type="pct"/>
            <w:vAlign w:val="center"/>
          </w:tcPr>
          <w:p w14:paraId="14B8F29F">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47</w:t>
            </w:r>
          </w:p>
        </w:tc>
      </w:tr>
      <w:tr w14:paraId="57F5D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427B74DD">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18</w:t>
            </w:r>
          </w:p>
        </w:tc>
        <w:tc>
          <w:tcPr>
            <w:tcW w:w="1112" w:type="pct"/>
            <w:vAlign w:val="center"/>
          </w:tcPr>
          <w:p w14:paraId="153F2AF7">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1,1,1,2-四氯乙烷</w:t>
            </w:r>
          </w:p>
        </w:tc>
        <w:tc>
          <w:tcPr>
            <w:tcW w:w="651" w:type="pct"/>
            <w:vAlign w:val="center"/>
          </w:tcPr>
          <w:p w14:paraId="335FEFB1">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630-20-6</w:t>
            </w:r>
          </w:p>
        </w:tc>
        <w:tc>
          <w:tcPr>
            <w:tcW w:w="714" w:type="pct"/>
            <w:vAlign w:val="center"/>
          </w:tcPr>
          <w:p w14:paraId="027B285B">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2.6</w:t>
            </w:r>
          </w:p>
        </w:tc>
        <w:tc>
          <w:tcPr>
            <w:tcW w:w="715" w:type="pct"/>
            <w:vAlign w:val="center"/>
          </w:tcPr>
          <w:p w14:paraId="49C7D05F">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10</w:t>
            </w:r>
          </w:p>
        </w:tc>
        <w:tc>
          <w:tcPr>
            <w:tcW w:w="715" w:type="pct"/>
            <w:vAlign w:val="center"/>
          </w:tcPr>
          <w:p w14:paraId="1191B7E4">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26</w:t>
            </w:r>
          </w:p>
        </w:tc>
        <w:tc>
          <w:tcPr>
            <w:tcW w:w="715" w:type="pct"/>
            <w:vAlign w:val="center"/>
          </w:tcPr>
          <w:p w14:paraId="1E48551C">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100</w:t>
            </w:r>
          </w:p>
        </w:tc>
      </w:tr>
      <w:tr w14:paraId="49DE5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0E5C173E">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19</w:t>
            </w:r>
          </w:p>
        </w:tc>
        <w:tc>
          <w:tcPr>
            <w:tcW w:w="1112" w:type="pct"/>
            <w:vAlign w:val="center"/>
          </w:tcPr>
          <w:p w14:paraId="7DF45EC4">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1,1,2,2-四氯乙烷</w:t>
            </w:r>
          </w:p>
        </w:tc>
        <w:tc>
          <w:tcPr>
            <w:tcW w:w="651" w:type="pct"/>
            <w:vAlign w:val="center"/>
          </w:tcPr>
          <w:p w14:paraId="22E47CB7">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79-34-5</w:t>
            </w:r>
          </w:p>
        </w:tc>
        <w:tc>
          <w:tcPr>
            <w:tcW w:w="714" w:type="pct"/>
            <w:vAlign w:val="center"/>
          </w:tcPr>
          <w:p w14:paraId="32914788">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1.6</w:t>
            </w:r>
          </w:p>
        </w:tc>
        <w:tc>
          <w:tcPr>
            <w:tcW w:w="715" w:type="pct"/>
            <w:vAlign w:val="center"/>
          </w:tcPr>
          <w:p w14:paraId="0A71F816">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6.8</w:t>
            </w:r>
          </w:p>
        </w:tc>
        <w:tc>
          <w:tcPr>
            <w:tcW w:w="715" w:type="pct"/>
            <w:vAlign w:val="center"/>
          </w:tcPr>
          <w:p w14:paraId="51472900">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14</w:t>
            </w:r>
          </w:p>
        </w:tc>
        <w:tc>
          <w:tcPr>
            <w:tcW w:w="715" w:type="pct"/>
            <w:vAlign w:val="center"/>
          </w:tcPr>
          <w:p w14:paraId="31FCCA01">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50</w:t>
            </w:r>
          </w:p>
        </w:tc>
      </w:tr>
      <w:tr w14:paraId="02AE3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728FC063">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20</w:t>
            </w:r>
          </w:p>
        </w:tc>
        <w:tc>
          <w:tcPr>
            <w:tcW w:w="1112" w:type="pct"/>
            <w:vAlign w:val="center"/>
          </w:tcPr>
          <w:p w14:paraId="0FD49C04">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四氯乙烯</w:t>
            </w:r>
          </w:p>
        </w:tc>
        <w:tc>
          <w:tcPr>
            <w:tcW w:w="651" w:type="pct"/>
            <w:vAlign w:val="center"/>
          </w:tcPr>
          <w:p w14:paraId="6A71F747">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127-18-4</w:t>
            </w:r>
          </w:p>
        </w:tc>
        <w:tc>
          <w:tcPr>
            <w:tcW w:w="714" w:type="pct"/>
            <w:vAlign w:val="center"/>
          </w:tcPr>
          <w:p w14:paraId="312856FB">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11</w:t>
            </w:r>
          </w:p>
        </w:tc>
        <w:tc>
          <w:tcPr>
            <w:tcW w:w="715" w:type="pct"/>
            <w:vAlign w:val="center"/>
          </w:tcPr>
          <w:p w14:paraId="739D9C25">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53</w:t>
            </w:r>
          </w:p>
        </w:tc>
        <w:tc>
          <w:tcPr>
            <w:tcW w:w="715" w:type="pct"/>
            <w:vAlign w:val="center"/>
          </w:tcPr>
          <w:p w14:paraId="007C23CB">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34</w:t>
            </w:r>
          </w:p>
        </w:tc>
        <w:tc>
          <w:tcPr>
            <w:tcW w:w="715" w:type="pct"/>
            <w:vAlign w:val="center"/>
          </w:tcPr>
          <w:p w14:paraId="3575C909">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183</w:t>
            </w:r>
          </w:p>
        </w:tc>
      </w:tr>
      <w:tr w14:paraId="5E947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6FA01355">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21</w:t>
            </w:r>
          </w:p>
        </w:tc>
        <w:tc>
          <w:tcPr>
            <w:tcW w:w="1112" w:type="pct"/>
            <w:vAlign w:val="center"/>
          </w:tcPr>
          <w:p w14:paraId="6B129B3D">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1,1,1-三氯乙烷</w:t>
            </w:r>
          </w:p>
        </w:tc>
        <w:tc>
          <w:tcPr>
            <w:tcW w:w="651" w:type="pct"/>
            <w:vAlign w:val="center"/>
          </w:tcPr>
          <w:p w14:paraId="43DA7190">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71-55-6</w:t>
            </w:r>
          </w:p>
        </w:tc>
        <w:tc>
          <w:tcPr>
            <w:tcW w:w="714" w:type="pct"/>
            <w:vAlign w:val="center"/>
          </w:tcPr>
          <w:p w14:paraId="2E438BA3">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701</w:t>
            </w:r>
          </w:p>
        </w:tc>
        <w:tc>
          <w:tcPr>
            <w:tcW w:w="715" w:type="pct"/>
            <w:vAlign w:val="center"/>
          </w:tcPr>
          <w:p w14:paraId="7050BC63">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840</w:t>
            </w:r>
          </w:p>
        </w:tc>
        <w:tc>
          <w:tcPr>
            <w:tcW w:w="715" w:type="pct"/>
            <w:vAlign w:val="center"/>
          </w:tcPr>
          <w:p w14:paraId="64580970">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840</w:t>
            </w:r>
          </w:p>
        </w:tc>
        <w:tc>
          <w:tcPr>
            <w:tcW w:w="715" w:type="pct"/>
            <w:vAlign w:val="center"/>
          </w:tcPr>
          <w:p w14:paraId="206F080C">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840</w:t>
            </w:r>
          </w:p>
        </w:tc>
      </w:tr>
      <w:tr w14:paraId="42505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01EF856C">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22</w:t>
            </w:r>
          </w:p>
        </w:tc>
        <w:tc>
          <w:tcPr>
            <w:tcW w:w="1112" w:type="pct"/>
            <w:vAlign w:val="center"/>
          </w:tcPr>
          <w:p w14:paraId="5CDE313C">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1,1,2-三氯乙烷</w:t>
            </w:r>
          </w:p>
        </w:tc>
        <w:tc>
          <w:tcPr>
            <w:tcW w:w="651" w:type="pct"/>
            <w:vAlign w:val="center"/>
          </w:tcPr>
          <w:p w14:paraId="5313C30F">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79-00-5</w:t>
            </w:r>
          </w:p>
        </w:tc>
        <w:tc>
          <w:tcPr>
            <w:tcW w:w="714" w:type="pct"/>
            <w:vAlign w:val="center"/>
          </w:tcPr>
          <w:p w14:paraId="382EF562">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0.6</w:t>
            </w:r>
          </w:p>
        </w:tc>
        <w:tc>
          <w:tcPr>
            <w:tcW w:w="715" w:type="pct"/>
            <w:vAlign w:val="center"/>
          </w:tcPr>
          <w:p w14:paraId="7C888FC2">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2.8</w:t>
            </w:r>
          </w:p>
        </w:tc>
        <w:tc>
          <w:tcPr>
            <w:tcW w:w="715" w:type="pct"/>
            <w:vAlign w:val="center"/>
          </w:tcPr>
          <w:p w14:paraId="1DFFF98B">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w:t>
            </w:r>
          </w:p>
        </w:tc>
        <w:tc>
          <w:tcPr>
            <w:tcW w:w="715" w:type="pct"/>
            <w:vAlign w:val="center"/>
          </w:tcPr>
          <w:p w14:paraId="00150AEA">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15</w:t>
            </w:r>
          </w:p>
        </w:tc>
      </w:tr>
      <w:tr w14:paraId="4777D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1F02F10B">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23</w:t>
            </w:r>
          </w:p>
        </w:tc>
        <w:tc>
          <w:tcPr>
            <w:tcW w:w="1112" w:type="pct"/>
            <w:vAlign w:val="center"/>
          </w:tcPr>
          <w:p w14:paraId="4EE607D0">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三氯乙烯</w:t>
            </w:r>
          </w:p>
        </w:tc>
        <w:tc>
          <w:tcPr>
            <w:tcW w:w="651" w:type="pct"/>
            <w:vAlign w:val="center"/>
          </w:tcPr>
          <w:p w14:paraId="69C6A814">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1979/1/6</w:t>
            </w:r>
          </w:p>
        </w:tc>
        <w:tc>
          <w:tcPr>
            <w:tcW w:w="714" w:type="pct"/>
            <w:vAlign w:val="center"/>
          </w:tcPr>
          <w:p w14:paraId="052AE83A">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0.7</w:t>
            </w:r>
          </w:p>
        </w:tc>
        <w:tc>
          <w:tcPr>
            <w:tcW w:w="715" w:type="pct"/>
            <w:vAlign w:val="center"/>
          </w:tcPr>
          <w:p w14:paraId="5A1BAE31">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2.8</w:t>
            </w:r>
          </w:p>
        </w:tc>
        <w:tc>
          <w:tcPr>
            <w:tcW w:w="715" w:type="pct"/>
            <w:vAlign w:val="center"/>
          </w:tcPr>
          <w:p w14:paraId="72F685AF">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7</w:t>
            </w:r>
          </w:p>
        </w:tc>
        <w:tc>
          <w:tcPr>
            <w:tcW w:w="715" w:type="pct"/>
            <w:vAlign w:val="center"/>
          </w:tcPr>
          <w:p w14:paraId="76737C63">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20</w:t>
            </w:r>
          </w:p>
        </w:tc>
      </w:tr>
      <w:tr w14:paraId="6695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5CADE30F">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24</w:t>
            </w:r>
          </w:p>
        </w:tc>
        <w:tc>
          <w:tcPr>
            <w:tcW w:w="1112" w:type="pct"/>
            <w:vAlign w:val="center"/>
          </w:tcPr>
          <w:p w14:paraId="15EC8C52">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1,2,3-三氯丙烷</w:t>
            </w:r>
          </w:p>
        </w:tc>
        <w:tc>
          <w:tcPr>
            <w:tcW w:w="651" w:type="pct"/>
            <w:vAlign w:val="center"/>
          </w:tcPr>
          <w:p w14:paraId="2ECFDF69">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96-18-4</w:t>
            </w:r>
          </w:p>
        </w:tc>
        <w:tc>
          <w:tcPr>
            <w:tcW w:w="714" w:type="pct"/>
            <w:vAlign w:val="center"/>
          </w:tcPr>
          <w:p w14:paraId="77BA8CC4">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0.05</w:t>
            </w:r>
          </w:p>
        </w:tc>
        <w:tc>
          <w:tcPr>
            <w:tcW w:w="715" w:type="pct"/>
            <w:vAlign w:val="center"/>
          </w:tcPr>
          <w:p w14:paraId="4AB7424C">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0.5</w:t>
            </w:r>
          </w:p>
        </w:tc>
        <w:tc>
          <w:tcPr>
            <w:tcW w:w="715" w:type="pct"/>
            <w:vAlign w:val="center"/>
          </w:tcPr>
          <w:p w14:paraId="73774AA1">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0.5</w:t>
            </w:r>
          </w:p>
        </w:tc>
        <w:tc>
          <w:tcPr>
            <w:tcW w:w="715" w:type="pct"/>
            <w:vAlign w:val="center"/>
          </w:tcPr>
          <w:p w14:paraId="4276E758">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w:t>
            </w:r>
          </w:p>
        </w:tc>
      </w:tr>
      <w:tr w14:paraId="6785F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1EF21C80">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25</w:t>
            </w:r>
          </w:p>
        </w:tc>
        <w:tc>
          <w:tcPr>
            <w:tcW w:w="1112" w:type="pct"/>
            <w:vAlign w:val="center"/>
          </w:tcPr>
          <w:p w14:paraId="493C0AD4">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氯乙烯</w:t>
            </w:r>
          </w:p>
        </w:tc>
        <w:tc>
          <w:tcPr>
            <w:tcW w:w="651" w:type="pct"/>
            <w:vAlign w:val="center"/>
          </w:tcPr>
          <w:p w14:paraId="1F7846ED">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1975/1/4</w:t>
            </w:r>
          </w:p>
        </w:tc>
        <w:tc>
          <w:tcPr>
            <w:tcW w:w="714" w:type="pct"/>
            <w:vAlign w:val="center"/>
          </w:tcPr>
          <w:p w14:paraId="6445B8C1">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0.12</w:t>
            </w:r>
          </w:p>
        </w:tc>
        <w:tc>
          <w:tcPr>
            <w:tcW w:w="715" w:type="pct"/>
            <w:vAlign w:val="center"/>
          </w:tcPr>
          <w:p w14:paraId="61CDA8F7">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0.43</w:t>
            </w:r>
          </w:p>
        </w:tc>
        <w:tc>
          <w:tcPr>
            <w:tcW w:w="715" w:type="pct"/>
            <w:vAlign w:val="center"/>
          </w:tcPr>
          <w:p w14:paraId="29D7F84E">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1.2</w:t>
            </w:r>
          </w:p>
        </w:tc>
        <w:tc>
          <w:tcPr>
            <w:tcW w:w="715" w:type="pct"/>
            <w:vAlign w:val="center"/>
          </w:tcPr>
          <w:p w14:paraId="5D5D8361">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4.3</w:t>
            </w:r>
          </w:p>
        </w:tc>
      </w:tr>
      <w:tr w14:paraId="5B81A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1A9B1A25">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26</w:t>
            </w:r>
          </w:p>
        </w:tc>
        <w:tc>
          <w:tcPr>
            <w:tcW w:w="1112" w:type="pct"/>
            <w:vAlign w:val="center"/>
          </w:tcPr>
          <w:p w14:paraId="4B46CB24">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苯</w:t>
            </w:r>
          </w:p>
        </w:tc>
        <w:tc>
          <w:tcPr>
            <w:tcW w:w="651" w:type="pct"/>
            <w:vAlign w:val="center"/>
          </w:tcPr>
          <w:p w14:paraId="75EC0BC7">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71-43-2</w:t>
            </w:r>
          </w:p>
        </w:tc>
        <w:tc>
          <w:tcPr>
            <w:tcW w:w="714" w:type="pct"/>
            <w:vAlign w:val="center"/>
          </w:tcPr>
          <w:p w14:paraId="7B8CBA1D">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w:t>
            </w:r>
          </w:p>
        </w:tc>
        <w:tc>
          <w:tcPr>
            <w:tcW w:w="715" w:type="pct"/>
            <w:vAlign w:val="center"/>
          </w:tcPr>
          <w:p w14:paraId="60CCEF3B">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4</w:t>
            </w:r>
          </w:p>
        </w:tc>
        <w:tc>
          <w:tcPr>
            <w:tcW w:w="715" w:type="pct"/>
            <w:vAlign w:val="center"/>
          </w:tcPr>
          <w:p w14:paraId="31029EA6">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10</w:t>
            </w:r>
          </w:p>
        </w:tc>
        <w:tc>
          <w:tcPr>
            <w:tcW w:w="715" w:type="pct"/>
            <w:vAlign w:val="center"/>
          </w:tcPr>
          <w:p w14:paraId="4C8D1594">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40</w:t>
            </w:r>
          </w:p>
        </w:tc>
      </w:tr>
      <w:tr w14:paraId="61A60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1930C858">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27</w:t>
            </w:r>
          </w:p>
        </w:tc>
        <w:tc>
          <w:tcPr>
            <w:tcW w:w="1112" w:type="pct"/>
            <w:vAlign w:val="center"/>
          </w:tcPr>
          <w:p w14:paraId="7F8297BB">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氯苯</w:t>
            </w:r>
          </w:p>
        </w:tc>
        <w:tc>
          <w:tcPr>
            <w:tcW w:w="651" w:type="pct"/>
            <w:vAlign w:val="center"/>
          </w:tcPr>
          <w:p w14:paraId="5003D0E0">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108-90-7</w:t>
            </w:r>
          </w:p>
        </w:tc>
        <w:tc>
          <w:tcPr>
            <w:tcW w:w="714" w:type="pct"/>
            <w:vAlign w:val="center"/>
          </w:tcPr>
          <w:p w14:paraId="3D71099A">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68</w:t>
            </w:r>
          </w:p>
        </w:tc>
        <w:tc>
          <w:tcPr>
            <w:tcW w:w="715" w:type="pct"/>
            <w:vAlign w:val="center"/>
          </w:tcPr>
          <w:p w14:paraId="348A25D3">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270</w:t>
            </w:r>
          </w:p>
        </w:tc>
        <w:tc>
          <w:tcPr>
            <w:tcW w:w="715" w:type="pct"/>
            <w:vAlign w:val="center"/>
          </w:tcPr>
          <w:p w14:paraId="32D9D111">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200</w:t>
            </w:r>
          </w:p>
        </w:tc>
        <w:tc>
          <w:tcPr>
            <w:tcW w:w="715" w:type="pct"/>
            <w:vAlign w:val="center"/>
          </w:tcPr>
          <w:p w14:paraId="6936429A">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1000</w:t>
            </w:r>
          </w:p>
        </w:tc>
      </w:tr>
      <w:tr w14:paraId="5D5FA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3A8518F6">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28</w:t>
            </w:r>
          </w:p>
        </w:tc>
        <w:tc>
          <w:tcPr>
            <w:tcW w:w="1112" w:type="pct"/>
            <w:vAlign w:val="center"/>
          </w:tcPr>
          <w:p w14:paraId="1F1B5E46">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1,2-二氯苯</w:t>
            </w:r>
          </w:p>
        </w:tc>
        <w:tc>
          <w:tcPr>
            <w:tcW w:w="651" w:type="pct"/>
            <w:vAlign w:val="center"/>
          </w:tcPr>
          <w:p w14:paraId="77FC7326">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95-50-1</w:t>
            </w:r>
          </w:p>
        </w:tc>
        <w:tc>
          <w:tcPr>
            <w:tcW w:w="714" w:type="pct"/>
            <w:vAlign w:val="center"/>
          </w:tcPr>
          <w:p w14:paraId="2ADA8333">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560</w:t>
            </w:r>
          </w:p>
        </w:tc>
        <w:tc>
          <w:tcPr>
            <w:tcW w:w="715" w:type="pct"/>
            <w:vAlign w:val="center"/>
          </w:tcPr>
          <w:p w14:paraId="1BE801E3">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560</w:t>
            </w:r>
          </w:p>
        </w:tc>
        <w:tc>
          <w:tcPr>
            <w:tcW w:w="715" w:type="pct"/>
            <w:vAlign w:val="center"/>
          </w:tcPr>
          <w:p w14:paraId="2E9D2A72">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560</w:t>
            </w:r>
          </w:p>
        </w:tc>
        <w:tc>
          <w:tcPr>
            <w:tcW w:w="715" w:type="pct"/>
            <w:vAlign w:val="center"/>
          </w:tcPr>
          <w:p w14:paraId="5E722E1B">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560</w:t>
            </w:r>
          </w:p>
        </w:tc>
      </w:tr>
      <w:tr w14:paraId="48879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38CBD680">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29</w:t>
            </w:r>
          </w:p>
        </w:tc>
        <w:tc>
          <w:tcPr>
            <w:tcW w:w="1112" w:type="pct"/>
            <w:vAlign w:val="center"/>
          </w:tcPr>
          <w:p w14:paraId="7EF0D15A">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1,4-二氯苯</w:t>
            </w:r>
          </w:p>
        </w:tc>
        <w:tc>
          <w:tcPr>
            <w:tcW w:w="651" w:type="pct"/>
            <w:vAlign w:val="center"/>
          </w:tcPr>
          <w:p w14:paraId="779C5643">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106-46-7</w:t>
            </w:r>
          </w:p>
        </w:tc>
        <w:tc>
          <w:tcPr>
            <w:tcW w:w="714" w:type="pct"/>
            <w:vAlign w:val="center"/>
          </w:tcPr>
          <w:p w14:paraId="43A6502F">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5.6</w:t>
            </w:r>
          </w:p>
        </w:tc>
        <w:tc>
          <w:tcPr>
            <w:tcW w:w="715" w:type="pct"/>
            <w:vAlign w:val="center"/>
          </w:tcPr>
          <w:p w14:paraId="5E5F010D">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20</w:t>
            </w:r>
          </w:p>
        </w:tc>
        <w:tc>
          <w:tcPr>
            <w:tcW w:w="715" w:type="pct"/>
            <w:vAlign w:val="center"/>
          </w:tcPr>
          <w:p w14:paraId="7DB831BA">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56</w:t>
            </w:r>
          </w:p>
        </w:tc>
        <w:tc>
          <w:tcPr>
            <w:tcW w:w="715" w:type="pct"/>
            <w:vAlign w:val="center"/>
          </w:tcPr>
          <w:p w14:paraId="1E589CE4">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200</w:t>
            </w:r>
          </w:p>
        </w:tc>
      </w:tr>
      <w:tr w14:paraId="2359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146F9163">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30</w:t>
            </w:r>
          </w:p>
        </w:tc>
        <w:tc>
          <w:tcPr>
            <w:tcW w:w="1112" w:type="pct"/>
            <w:vAlign w:val="center"/>
          </w:tcPr>
          <w:p w14:paraId="17294A60">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乙苯</w:t>
            </w:r>
          </w:p>
        </w:tc>
        <w:tc>
          <w:tcPr>
            <w:tcW w:w="651" w:type="pct"/>
            <w:vAlign w:val="center"/>
          </w:tcPr>
          <w:p w14:paraId="2616FC53">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100-41-4</w:t>
            </w:r>
          </w:p>
        </w:tc>
        <w:tc>
          <w:tcPr>
            <w:tcW w:w="714" w:type="pct"/>
            <w:vAlign w:val="center"/>
          </w:tcPr>
          <w:p w14:paraId="5ADABF83">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7.2</w:t>
            </w:r>
          </w:p>
        </w:tc>
        <w:tc>
          <w:tcPr>
            <w:tcW w:w="715" w:type="pct"/>
            <w:vAlign w:val="center"/>
          </w:tcPr>
          <w:p w14:paraId="14F1E9BF">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28</w:t>
            </w:r>
          </w:p>
        </w:tc>
        <w:tc>
          <w:tcPr>
            <w:tcW w:w="715" w:type="pct"/>
            <w:vAlign w:val="center"/>
          </w:tcPr>
          <w:p w14:paraId="1FA1001B">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72</w:t>
            </w:r>
          </w:p>
        </w:tc>
        <w:tc>
          <w:tcPr>
            <w:tcW w:w="715" w:type="pct"/>
            <w:vAlign w:val="center"/>
          </w:tcPr>
          <w:p w14:paraId="7E8DDCBA">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280</w:t>
            </w:r>
          </w:p>
        </w:tc>
      </w:tr>
      <w:tr w14:paraId="6A47A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47E8314C">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31</w:t>
            </w:r>
          </w:p>
        </w:tc>
        <w:tc>
          <w:tcPr>
            <w:tcW w:w="1112" w:type="pct"/>
            <w:vAlign w:val="center"/>
          </w:tcPr>
          <w:p w14:paraId="31B7FF96">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苯乙烯</w:t>
            </w:r>
          </w:p>
        </w:tc>
        <w:tc>
          <w:tcPr>
            <w:tcW w:w="651" w:type="pct"/>
            <w:vAlign w:val="center"/>
          </w:tcPr>
          <w:p w14:paraId="7AD4E233">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100-42-5</w:t>
            </w:r>
          </w:p>
        </w:tc>
        <w:tc>
          <w:tcPr>
            <w:tcW w:w="714" w:type="pct"/>
            <w:vAlign w:val="center"/>
          </w:tcPr>
          <w:p w14:paraId="53F6AE05">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1290</w:t>
            </w:r>
          </w:p>
        </w:tc>
        <w:tc>
          <w:tcPr>
            <w:tcW w:w="715" w:type="pct"/>
            <w:vAlign w:val="center"/>
          </w:tcPr>
          <w:p w14:paraId="397EDA72">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1290</w:t>
            </w:r>
          </w:p>
        </w:tc>
        <w:tc>
          <w:tcPr>
            <w:tcW w:w="715" w:type="pct"/>
            <w:vAlign w:val="center"/>
          </w:tcPr>
          <w:p w14:paraId="528F1F14">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1290</w:t>
            </w:r>
          </w:p>
        </w:tc>
        <w:tc>
          <w:tcPr>
            <w:tcW w:w="715" w:type="pct"/>
            <w:vAlign w:val="center"/>
          </w:tcPr>
          <w:p w14:paraId="57A83009">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1290</w:t>
            </w:r>
          </w:p>
        </w:tc>
      </w:tr>
      <w:tr w14:paraId="5AAF8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59E193FD">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32</w:t>
            </w:r>
          </w:p>
        </w:tc>
        <w:tc>
          <w:tcPr>
            <w:tcW w:w="1112" w:type="pct"/>
            <w:vAlign w:val="center"/>
          </w:tcPr>
          <w:p w14:paraId="3DF73610">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甲苯</w:t>
            </w:r>
          </w:p>
        </w:tc>
        <w:tc>
          <w:tcPr>
            <w:tcW w:w="651" w:type="pct"/>
            <w:vAlign w:val="center"/>
          </w:tcPr>
          <w:p w14:paraId="4FE1E5E5">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108-88-3</w:t>
            </w:r>
          </w:p>
        </w:tc>
        <w:tc>
          <w:tcPr>
            <w:tcW w:w="714" w:type="pct"/>
            <w:vAlign w:val="center"/>
          </w:tcPr>
          <w:p w14:paraId="283D531E">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1200</w:t>
            </w:r>
          </w:p>
        </w:tc>
        <w:tc>
          <w:tcPr>
            <w:tcW w:w="715" w:type="pct"/>
            <w:vAlign w:val="center"/>
          </w:tcPr>
          <w:p w14:paraId="53AA5FF8">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1200</w:t>
            </w:r>
          </w:p>
        </w:tc>
        <w:tc>
          <w:tcPr>
            <w:tcW w:w="715" w:type="pct"/>
            <w:vAlign w:val="center"/>
          </w:tcPr>
          <w:p w14:paraId="4A307E2A">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1200</w:t>
            </w:r>
          </w:p>
        </w:tc>
        <w:tc>
          <w:tcPr>
            <w:tcW w:w="715" w:type="pct"/>
            <w:vAlign w:val="center"/>
          </w:tcPr>
          <w:p w14:paraId="4164FFA1">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1200</w:t>
            </w:r>
          </w:p>
        </w:tc>
      </w:tr>
      <w:tr w14:paraId="3404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1BA6EE8C">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33</w:t>
            </w:r>
          </w:p>
        </w:tc>
        <w:tc>
          <w:tcPr>
            <w:tcW w:w="1112" w:type="pct"/>
            <w:vAlign w:val="center"/>
          </w:tcPr>
          <w:p w14:paraId="6E1A32A5">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间二甲苯+对二甲苯</w:t>
            </w:r>
          </w:p>
        </w:tc>
        <w:tc>
          <w:tcPr>
            <w:tcW w:w="651" w:type="pct"/>
            <w:vAlign w:val="center"/>
          </w:tcPr>
          <w:p w14:paraId="7E15D036">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108-38-3</w:t>
            </w:r>
          </w:p>
          <w:p w14:paraId="25E19397">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106-42-3</w:t>
            </w:r>
          </w:p>
        </w:tc>
        <w:tc>
          <w:tcPr>
            <w:tcW w:w="714" w:type="pct"/>
            <w:vAlign w:val="center"/>
          </w:tcPr>
          <w:p w14:paraId="59E7D7F4">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163</w:t>
            </w:r>
          </w:p>
        </w:tc>
        <w:tc>
          <w:tcPr>
            <w:tcW w:w="715" w:type="pct"/>
            <w:vAlign w:val="center"/>
          </w:tcPr>
          <w:p w14:paraId="2E548C26">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570</w:t>
            </w:r>
          </w:p>
        </w:tc>
        <w:tc>
          <w:tcPr>
            <w:tcW w:w="715" w:type="pct"/>
            <w:vAlign w:val="center"/>
          </w:tcPr>
          <w:p w14:paraId="7C9165D8">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500</w:t>
            </w:r>
          </w:p>
        </w:tc>
        <w:tc>
          <w:tcPr>
            <w:tcW w:w="715" w:type="pct"/>
            <w:vAlign w:val="center"/>
          </w:tcPr>
          <w:p w14:paraId="70FCF9B7">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570</w:t>
            </w:r>
          </w:p>
        </w:tc>
      </w:tr>
      <w:tr w14:paraId="45998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37DA64C6">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34</w:t>
            </w:r>
          </w:p>
        </w:tc>
        <w:tc>
          <w:tcPr>
            <w:tcW w:w="1112" w:type="pct"/>
            <w:vAlign w:val="center"/>
          </w:tcPr>
          <w:p w14:paraId="5058D233">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邻二甲苯</w:t>
            </w:r>
          </w:p>
        </w:tc>
        <w:tc>
          <w:tcPr>
            <w:tcW w:w="651" w:type="pct"/>
            <w:vAlign w:val="center"/>
          </w:tcPr>
          <w:p w14:paraId="7A84D94C">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95-47-6</w:t>
            </w:r>
          </w:p>
        </w:tc>
        <w:tc>
          <w:tcPr>
            <w:tcW w:w="714" w:type="pct"/>
            <w:vAlign w:val="center"/>
          </w:tcPr>
          <w:p w14:paraId="55913297">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222</w:t>
            </w:r>
          </w:p>
        </w:tc>
        <w:tc>
          <w:tcPr>
            <w:tcW w:w="715" w:type="pct"/>
            <w:vAlign w:val="center"/>
          </w:tcPr>
          <w:p w14:paraId="3E4EBFF8">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640</w:t>
            </w:r>
          </w:p>
        </w:tc>
        <w:tc>
          <w:tcPr>
            <w:tcW w:w="715" w:type="pct"/>
            <w:vAlign w:val="center"/>
          </w:tcPr>
          <w:p w14:paraId="6E276342">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640</w:t>
            </w:r>
          </w:p>
        </w:tc>
        <w:tc>
          <w:tcPr>
            <w:tcW w:w="715" w:type="pct"/>
            <w:vAlign w:val="center"/>
          </w:tcPr>
          <w:p w14:paraId="7817D6D4">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640</w:t>
            </w:r>
          </w:p>
        </w:tc>
      </w:tr>
      <w:tr w14:paraId="4FC99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000" w:type="pct"/>
            <w:gridSpan w:val="7"/>
            <w:vAlign w:val="center"/>
          </w:tcPr>
          <w:p w14:paraId="2EC17C48">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半挥发性有机物</w:t>
            </w:r>
          </w:p>
        </w:tc>
      </w:tr>
      <w:tr w14:paraId="10398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02DFAFF3">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35</w:t>
            </w:r>
          </w:p>
        </w:tc>
        <w:tc>
          <w:tcPr>
            <w:tcW w:w="1112" w:type="pct"/>
            <w:vAlign w:val="center"/>
          </w:tcPr>
          <w:p w14:paraId="5A6DA596">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硝基苯</w:t>
            </w:r>
          </w:p>
        </w:tc>
        <w:tc>
          <w:tcPr>
            <w:tcW w:w="651" w:type="pct"/>
            <w:vAlign w:val="center"/>
          </w:tcPr>
          <w:p w14:paraId="3B76610F">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98-95-3</w:t>
            </w:r>
          </w:p>
        </w:tc>
        <w:tc>
          <w:tcPr>
            <w:tcW w:w="714" w:type="pct"/>
            <w:vAlign w:val="center"/>
          </w:tcPr>
          <w:p w14:paraId="477646B4">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34</w:t>
            </w:r>
          </w:p>
        </w:tc>
        <w:tc>
          <w:tcPr>
            <w:tcW w:w="715" w:type="pct"/>
            <w:vAlign w:val="center"/>
          </w:tcPr>
          <w:p w14:paraId="1F834175">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76</w:t>
            </w:r>
          </w:p>
        </w:tc>
        <w:tc>
          <w:tcPr>
            <w:tcW w:w="715" w:type="pct"/>
            <w:vAlign w:val="center"/>
          </w:tcPr>
          <w:p w14:paraId="0972E5B9">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190</w:t>
            </w:r>
          </w:p>
        </w:tc>
        <w:tc>
          <w:tcPr>
            <w:tcW w:w="715" w:type="pct"/>
            <w:vAlign w:val="center"/>
          </w:tcPr>
          <w:p w14:paraId="17E390DF">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760</w:t>
            </w:r>
          </w:p>
        </w:tc>
      </w:tr>
      <w:tr w14:paraId="0AD5A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0A7DD2FA">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36</w:t>
            </w:r>
          </w:p>
        </w:tc>
        <w:tc>
          <w:tcPr>
            <w:tcW w:w="1112" w:type="pct"/>
            <w:vAlign w:val="center"/>
          </w:tcPr>
          <w:p w14:paraId="18137559">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苯胺</w:t>
            </w:r>
          </w:p>
        </w:tc>
        <w:tc>
          <w:tcPr>
            <w:tcW w:w="651" w:type="pct"/>
            <w:vAlign w:val="center"/>
          </w:tcPr>
          <w:p w14:paraId="3D899779">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62-53-3</w:t>
            </w:r>
          </w:p>
        </w:tc>
        <w:tc>
          <w:tcPr>
            <w:tcW w:w="714" w:type="pct"/>
            <w:vAlign w:val="center"/>
          </w:tcPr>
          <w:p w14:paraId="6284C303">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92</w:t>
            </w:r>
          </w:p>
        </w:tc>
        <w:tc>
          <w:tcPr>
            <w:tcW w:w="715" w:type="pct"/>
            <w:vAlign w:val="center"/>
          </w:tcPr>
          <w:p w14:paraId="1A3A43ED">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260</w:t>
            </w:r>
          </w:p>
        </w:tc>
        <w:tc>
          <w:tcPr>
            <w:tcW w:w="715" w:type="pct"/>
            <w:vAlign w:val="center"/>
          </w:tcPr>
          <w:p w14:paraId="484C9BE9">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211</w:t>
            </w:r>
          </w:p>
        </w:tc>
        <w:tc>
          <w:tcPr>
            <w:tcW w:w="715" w:type="pct"/>
            <w:vAlign w:val="center"/>
          </w:tcPr>
          <w:p w14:paraId="3E06180E">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663</w:t>
            </w:r>
          </w:p>
        </w:tc>
      </w:tr>
      <w:tr w14:paraId="2D5E1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4147A090">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37</w:t>
            </w:r>
          </w:p>
        </w:tc>
        <w:tc>
          <w:tcPr>
            <w:tcW w:w="1112" w:type="pct"/>
            <w:vAlign w:val="center"/>
          </w:tcPr>
          <w:p w14:paraId="73E79963">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2-氯酚</w:t>
            </w:r>
          </w:p>
        </w:tc>
        <w:tc>
          <w:tcPr>
            <w:tcW w:w="651" w:type="pct"/>
            <w:vAlign w:val="center"/>
          </w:tcPr>
          <w:p w14:paraId="16F46C72">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95-57-8</w:t>
            </w:r>
          </w:p>
        </w:tc>
        <w:tc>
          <w:tcPr>
            <w:tcW w:w="714" w:type="pct"/>
            <w:vAlign w:val="center"/>
          </w:tcPr>
          <w:p w14:paraId="39F10018">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250</w:t>
            </w:r>
          </w:p>
        </w:tc>
        <w:tc>
          <w:tcPr>
            <w:tcW w:w="715" w:type="pct"/>
            <w:vAlign w:val="center"/>
          </w:tcPr>
          <w:p w14:paraId="6D9D78C6">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2256</w:t>
            </w:r>
          </w:p>
        </w:tc>
        <w:tc>
          <w:tcPr>
            <w:tcW w:w="715" w:type="pct"/>
            <w:vAlign w:val="center"/>
          </w:tcPr>
          <w:p w14:paraId="4D2F3EE3">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500</w:t>
            </w:r>
          </w:p>
        </w:tc>
        <w:tc>
          <w:tcPr>
            <w:tcW w:w="715" w:type="pct"/>
            <w:vAlign w:val="center"/>
          </w:tcPr>
          <w:p w14:paraId="288C6727">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4500</w:t>
            </w:r>
          </w:p>
        </w:tc>
      </w:tr>
      <w:tr w14:paraId="10B3F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0CC29BF7">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38</w:t>
            </w:r>
          </w:p>
        </w:tc>
        <w:tc>
          <w:tcPr>
            <w:tcW w:w="1112" w:type="pct"/>
            <w:vAlign w:val="center"/>
          </w:tcPr>
          <w:p w14:paraId="20E608D5">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苯并[a]蒽</w:t>
            </w:r>
          </w:p>
        </w:tc>
        <w:tc>
          <w:tcPr>
            <w:tcW w:w="651" w:type="pct"/>
            <w:vAlign w:val="center"/>
          </w:tcPr>
          <w:p w14:paraId="33ED8C67">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56-55-3</w:t>
            </w:r>
          </w:p>
        </w:tc>
        <w:tc>
          <w:tcPr>
            <w:tcW w:w="714" w:type="pct"/>
            <w:vAlign w:val="center"/>
          </w:tcPr>
          <w:p w14:paraId="3B3007A9">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5.5</w:t>
            </w:r>
          </w:p>
        </w:tc>
        <w:tc>
          <w:tcPr>
            <w:tcW w:w="715" w:type="pct"/>
            <w:vAlign w:val="center"/>
          </w:tcPr>
          <w:p w14:paraId="3CA2B9BC">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15</w:t>
            </w:r>
          </w:p>
        </w:tc>
        <w:tc>
          <w:tcPr>
            <w:tcW w:w="715" w:type="pct"/>
            <w:vAlign w:val="center"/>
          </w:tcPr>
          <w:p w14:paraId="49BC24E2">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55</w:t>
            </w:r>
          </w:p>
        </w:tc>
        <w:tc>
          <w:tcPr>
            <w:tcW w:w="715" w:type="pct"/>
            <w:vAlign w:val="center"/>
          </w:tcPr>
          <w:p w14:paraId="51DFC5CC">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151</w:t>
            </w:r>
          </w:p>
        </w:tc>
      </w:tr>
      <w:tr w14:paraId="6E2F8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635DAF0F">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39</w:t>
            </w:r>
          </w:p>
        </w:tc>
        <w:tc>
          <w:tcPr>
            <w:tcW w:w="1112" w:type="pct"/>
            <w:vAlign w:val="center"/>
          </w:tcPr>
          <w:p w14:paraId="1C11CEAF">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苯并[a]芘</w:t>
            </w:r>
          </w:p>
        </w:tc>
        <w:tc>
          <w:tcPr>
            <w:tcW w:w="651" w:type="pct"/>
            <w:vAlign w:val="center"/>
          </w:tcPr>
          <w:p w14:paraId="7232C931">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50-32-8</w:t>
            </w:r>
          </w:p>
        </w:tc>
        <w:tc>
          <w:tcPr>
            <w:tcW w:w="714" w:type="pct"/>
            <w:vAlign w:val="center"/>
          </w:tcPr>
          <w:p w14:paraId="215D50CB">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0.55</w:t>
            </w:r>
          </w:p>
        </w:tc>
        <w:tc>
          <w:tcPr>
            <w:tcW w:w="715" w:type="pct"/>
            <w:vAlign w:val="center"/>
          </w:tcPr>
          <w:p w14:paraId="13F1361E">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1.5</w:t>
            </w:r>
          </w:p>
        </w:tc>
        <w:tc>
          <w:tcPr>
            <w:tcW w:w="715" w:type="pct"/>
            <w:vAlign w:val="center"/>
          </w:tcPr>
          <w:p w14:paraId="27B5E37C">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5.5</w:t>
            </w:r>
          </w:p>
        </w:tc>
        <w:tc>
          <w:tcPr>
            <w:tcW w:w="715" w:type="pct"/>
            <w:vAlign w:val="center"/>
          </w:tcPr>
          <w:p w14:paraId="07E4C393">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15</w:t>
            </w:r>
          </w:p>
        </w:tc>
      </w:tr>
      <w:tr w14:paraId="1B3B4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2FA9312F">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40</w:t>
            </w:r>
          </w:p>
        </w:tc>
        <w:tc>
          <w:tcPr>
            <w:tcW w:w="1112" w:type="pct"/>
            <w:vAlign w:val="center"/>
          </w:tcPr>
          <w:p w14:paraId="08D0943F">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苯并[b]荧蒽</w:t>
            </w:r>
          </w:p>
        </w:tc>
        <w:tc>
          <w:tcPr>
            <w:tcW w:w="651" w:type="pct"/>
            <w:vAlign w:val="center"/>
          </w:tcPr>
          <w:p w14:paraId="44D3E2E5">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205-99-2</w:t>
            </w:r>
          </w:p>
        </w:tc>
        <w:tc>
          <w:tcPr>
            <w:tcW w:w="714" w:type="pct"/>
            <w:vAlign w:val="center"/>
          </w:tcPr>
          <w:p w14:paraId="0FB432E7">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5.5</w:t>
            </w:r>
          </w:p>
        </w:tc>
        <w:tc>
          <w:tcPr>
            <w:tcW w:w="715" w:type="pct"/>
            <w:vAlign w:val="center"/>
          </w:tcPr>
          <w:p w14:paraId="0F1174E1">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15</w:t>
            </w:r>
          </w:p>
        </w:tc>
        <w:tc>
          <w:tcPr>
            <w:tcW w:w="715" w:type="pct"/>
            <w:vAlign w:val="center"/>
          </w:tcPr>
          <w:p w14:paraId="2BBD8E9E">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55</w:t>
            </w:r>
          </w:p>
        </w:tc>
        <w:tc>
          <w:tcPr>
            <w:tcW w:w="715" w:type="pct"/>
            <w:vAlign w:val="center"/>
          </w:tcPr>
          <w:p w14:paraId="221503B0">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151</w:t>
            </w:r>
          </w:p>
        </w:tc>
      </w:tr>
      <w:tr w14:paraId="5C618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4CB67E0D">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41</w:t>
            </w:r>
          </w:p>
        </w:tc>
        <w:tc>
          <w:tcPr>
            <w:tcW w:w="1112" w:type="pct"/>
            <w:vAlign w:val="center"/>
          </w:tcPr>
          <w:p w14:paraId="100EA0A7">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苯并[k]荧蒽</w:t>
            </w:r>
          </w:p>
        </w:tc>
        <w:tc>
          <w:tcPr>
            <w:tcW w:w="651" w:type="pct"/>
            <w:vAlign w:val="center"/>
          </w:tcPr>
          <w:p w14:paraId="1C35D7AC">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207-08-9</w:t>
            </w:r>
          </w:p>
        </w:tc>
        <w:tc>
          <w:tcPr>
            <w:tcW w:w="714" w:type="pct"/>
            <w:vAlign w:val="center"/>
          </w:tcPr>
          <w:p w14:paraId="589FB361">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55</w:t>
            </w:r>
          </w:p>
        </w:tc>
        <w:tc>
          <w:tcPr>
            <w:tcW w:w="715" w:type="pct"/>
            <w:vAlign w:val="center"/>
          </w:tcPr>
          <w:p w14:paraId="01B17E89">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151</w:t>
            </w:r>
          </w:p>
        </w:tc>
        <w:tc>
          <w:tcPr>
            <w:tcW w:w="715" w:type="pct"/>
            <w:vAlign w:val="center"/>
          </w:tcPr>
          <w:p w14:paraId="11500FA2">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550</w:t>
            </w:r>
          </w:p>
        </w:tc>
        <w:tc>
          <w:tcPr>
            <w:tcW w:w="715" w:type="pct"/>
            <w:vAlign w:val="center"/>
          </w:tcPr>
          <w:p w14:paraId="477486BB">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1500</w:t>
            </w:r>
          </w:p>
        </w:tc>
      </w:tr>
      <w:tr w14:paraId="3A3B5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25521910">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42</w:t>
            </w:r>
          </w:p>
        </w:tc>
        <w:tc>
          <w:tcPr>
            <w:tcW w:w="1112" w:type="pct"/>
            <w:vAlign w:val="center"/>
          </w:tcPr>
          <w:p w14:paraId="59982F69">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䓛</w:t>
            </w:r>
          </w:p>
        </w:tc>
        <w:tc>
          <w:tcPr>
            <w:tcW w:w="651" w:type="pct"/>
            <w:vAlign w:val="center"/>
          </w:tcPr>
          <w:p w14:paraId="3E5FBC9D">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218-01-9</w:t>
            </w:r>
          </w:p>
        </w:tc>
        <w:tc>
          <w:tcPr>
            <w:tcW w:w="714" w:type="pct"/>
            <w:vAlign w:val="center"/>
          </w:tcPr>
          <w:p w14:paraId="79D3BB55">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490</w:t>
            </w:r>
          </w:p>
        </w:tc>
        <w:tc>
          <w:tcPr>
            <w:tcW w:w="715" w:type="pct"/>
            <w:vAlign w:val="center"/>
          </w:tcPr>
          <w:p w14:paraId="4AC6A616">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1293</w:t>
            </w:r>
          </w:p>
        </w:tc>
        <w:tc>
          <w:tcPr>
            <w:tcW w:w="715" w:type="pct"/>
            <w:vAlign w:val="center"/>
          </w:tcPr>
          <w:p w14:paraId="41DE7DB9">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4900</w:t>
            </w:r>
          </w:p>
        </w:tc>
        <w:tc>
          <w:tcPr>
            <w:tcW w:w="715" w:type="pct"/>
            <w:vAlign w:val="center"/>
          </w:tcPr>
          <w:p w14:paraId="0F89F2FC">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12900</w:t>
            </w:r>
          </w:p>
        </w:tc>
      </w:tr>
      <w:tr w14:paraId="48C5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11EC4187">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43</w:t>
            </w:r>
          </w:p>
        </w:tc>
        <w:tc>
          <w:tcPr>
            <w:tcW w:w="1112" w:type="pct"/>
            <w:vAlign w:val="center"/>
          </w:tcPr>
          <w:p w14:paraId="2F9A9F4D">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二苯并[a,h]蒽</w:t>
            </w:r>
          </w:p>
        </w:tc>
        <w:tc>
          <w:tcPr>
            <w:tcW w:w="651" w:type="pct"/>
            <w:vAlign w:val="center"/>
          </w:tcPr>
          <w:p w14:paraId="59DE1CD8">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53-70-3</w:t>
            </w:r>
          </w:p>
        </w:tc>
        <w:tc>
          <w:tcPr>
            <w:tcW w:w="714" w:type="pct"/>
            <w:vAlign w:val="center"/>
          </w:tcPr>
          <w:p w14:paraId="39057C6F">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0.55</w:t>
            </w:r>
          </w:p>
        </w:tc>
        <w:tc>
          <w:tcPr>
            <w:tcW w:w="715" w:type="pct"/>
            <w:vAlign w:val="center"/>
          </w:tcPr>
          <w:p w14:paraId="228392BB">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1.5</w:t>
            </w:r>
          </w:p>
        </w:tc>
        <w:tc>
          <w:tcPr>
            <w:tcW w:w="715" w:type="pct"/>
            <w:vAlign w:val="center"/>
          </w:tcPr>
          <w:p w14:paraId="2CA0D2B2">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5.5</w:t>
            </w:r>
          </w:p>
        </w:tc>
        <w:tc>
          <w:tcPr>
            <w:tcW w:w="715" w:type="pct"/>
            <w:vAlign w:val="center"/>
          </w:tcPr>
          <w:p w14:paraId="30BFCA6F">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15</w:t>
            </w:r>
          </w:p>
        </w:tc>
      </w:tr>
      <w:tr w14:paraId="00246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6A55FE03">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44</w:t>
            </w:r>
          </w:p>
        </w:tc>
        <w:tc>
          <w:tcPr>
            <w:tcW w:w="1112" w:type="pct"/>
            <w:vAlign w:val="center"/>
          </w:tcPr>
          <w:p w14:paraId="7FFEB5B1">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茚并[1,2,3-cd]芘</w:t>
            </w:r>
          </w:p>
        </w:tc>
        <w:tc>
          <w:tcPr>
            <w:tcW w:w="651" w:type="pct"/>
            <w:vAlign w:val="center"/>
          </w:tcPr>
          <w:p w14:paraId="698D4A20">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193-39-5</w:t>
            </w:r>
          </w:p>
        </w:tc>
        <w:tc>
          <w:tcPr>
            <w:tcW w:w="714" w:type="pct"/>
            <w:vAlign w:val="center"/>
          </w:tcPr>
          <w:p w14:paraId="6C618D28">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5.5</w:t>
            </w:r>
          </w:p>
        </w:tc>
        <w:tc>
          <w:tcPr>
            <w:tcW w:w="715" w:type="pct"/>
            <w:vAlign w:val="center"/>
          </w:tcPr>
          <w:p w14:paraId="75712812">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15</w:t>
            </w:r>
          </w:p>
        </w:tc>
        <w:tc>
          <w:tcPr>
            <w:tcW w:w="715" w:type="pct"/>
            <w:vAlign w:val="center"/>
          </w:tcPr>
          <w:p w14:paraId="111B3427">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55</w:t>
            </w:r>
          </w:p>
        </w:tc>
        <w:tc>
          <w:tcPr>
            <w:tcW w:w="715" w:type="pct"/>
            <w:vAlign w:val="center"/>
          </w:tcPr>
          <w:p w14:paraId="5BAC6826">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151</w:t>
            </w:r>
          </w:p>
        </w:tc>
      </w:tr>
      <w:tr w14:paraId="3AEC0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79" w:type="pct"/>
            <w:vAlign w:val="center"/>
          </w:tcPr>
          <w:p w14:paraId="103EA95D">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45</w:t>
            </w:r>
          </w:p>
        </w:tc>
        <w:tc>
          <w:tcPr>
            <w:tcW w:w="1112" w:type="pct"/>
            <w:vAlign w:val="center"/>
          </w:tcPr>
          <w:p w14:paraId="4EF3FD8C">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萘</w:t>
            </w:r>
          </w:p>
        </w:tc>
        <w:tc>
          <w:tcPr>
            <w:tcW w:w="651" w:type="pct"/>
            <w:vAlign w:val="center"/>
          </w:tcPr>
          <w:p w14:paraId="0152C4E0">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91-20-3</w:t>
            </w:r>
          </w:p>
        </w:tc>
        <w:tc>
          <w:tcPr>
            <w:tcW w:w="714" w:type="pct"/>
            <w:vAlign w:val="center"/>
          </w:tcPr>
          <w:p w14:paraId="5F578955">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25</w:t>
            </w:r>
          </w:p>
        </w:tc>
        <w:tc>
          <w:tcPr>
            <w:tcW w:w="715" w:type="pct"/>
            <w:vAlign w:val="center"/>
          </w:tcPr>
          <w:p w14:paraId="3C3C786B">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70</w:t>
            </w:r>
          </w:p>
        </w:tc>
        <w:tc>
          <w:tcPr>
            <w:tcW w:w="715" w:type="pct"/>
            <w:vAlign w:val="center"/>
          </w:tcPr>
          <w:p w14:paraId="76E46D72">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255</w:t>
            </w:r>
          </w:p>
        </w:tc>
        <w:tc>
          <w:tcPr>
            <w:tcW w:w="715" w:type="pct"/>
            <w:vAlign w:val="center"/>
          </w:tcPr>
          <w:p w14:paraId="3447A0AE">
            <w:pPr>
              <w:pStyle w:val="55"/>
              <w:spacing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700</w:t>
            </w:r>
          </w:p>
        </w:tc>
      </w:tr>
      <w:bookmarkEnd w:id="39"/>
    </w:tbl>
    <w:p w14:paraId="67C0E3BB">
      <w:pPr>
        <w:pStyle w:val="9"/>
      </w:pPr>
      <w:bookmarkStart w:id="40" w:name="_Toc204062543"/>
      <w:r>
        <w:rPr>
          <w:rFonts w:hint="eastAsia"/>
        </w:rPr>
        <w:t>污染物排放标准</w:t>
      </w:r>
      <w:bookmarkEnd w:id="40"/>
    </w:p>
    <w:p w14:paraId="7E1E00A1">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（1）废气</w:t>
      </w:r>
    </w:p>
    <w:p w14:paraId="63B19F69">
      <w:pPr>
        <w:ind w:firstLine="480" w:firstLineChars="200"/>
        <w:rPr>
          <w:color w:val="0D0D0D" w:themeColor="text1" w:themeTint="F2"/>
          <w14:textFill>
            <w14:solidFill>
              <w14:schemeClr w14:val="tx1">
                <w14:lumMod w14:val="95000"/>
                <w14:lumOff w14:val="5000"/>
              </w14:schemeClr>
            </w14:solidFill>
          </w14:textFill>
        </w:rPr>
      </w:pPr>
      <w:r>
        <w:rPr>
          <w:rFonts w:cs="Times New Roman"/>
          <w:color w:val="0D0D0D" w:themeColor="text1" w:themeTint="F2"/>
          <w:szCs w:val="24"/>
          <w14:textFill>
            <w14:solidFill>
              <w14:schemeClr w14:val="tx1">
                <w14:lumMod w14:val="95000"/>
                <w14:lumOff w14:val="5000"/>
              </w14:schemeClr>
            </w14:solidFill>
          </w14:textFill>
        </w:rPr>
        <w:t>项目施工期</w:t>
      </w:r>
      <w:r>
        <w:rPr>
          <w:rFonts w:hint="eastAsia" w:cs="Times New Roman"/>
          <w:color w:val="0D0D0D" w:themeColor="text1" w:themeTint="F2"/>
          <w:szCs w:val="24"/>
          <w14:textFill>
            <w14:solidFill>
              <w14:schemeClr w14:val="tx1">
                <w14:lumMod w14:val="95000"/>
                <w14:lumOff w14:val="5000"/>
              </w14:schemeClr>
            </w14:solidFill>
          </w14:textFill>
        </w:rPr>
        <w:t>扬尘</w:t>
      </w:r>
      <w:r>
        <w:rPr>
          <w:rFonts w:cs="Times New Roman"/>
          <w:color w:val="0D0D0D" w:themeColor="text1" w:themeTint="F2"/>
          <w:szCs w:val="24"/>
          <w14:textFill>
            <w14:solidFill>
              <w14:schemeClr w14:val="tx1">
                <w14:lumMod w14:val="95000"/>
                <w14:lumOff w14:val="5000"/>
              </w14:schemeClr>
            </w14:solidFill>
          </w14:textFill>
        </w:rPr>
        <w:t>执行《大气污染物综合排放标准》（GB16297-1996）表2</w:t>
      </w:r>
      <w:r>
        <w:rPr>
          <w:rFonts w:hint="eastAsia" w:cs="Times New Roman"/>
          <w:color w:val="0D0D0D" w:themeColor="text1" w:themeTint="F2"/>
          <w:szCs w:val="24"/>
          <w14:textFill>
            <w14:solidFill>
              <w14:schemeClr w14:val="tx1">
                <w14:lumMod w14:val="95000"/>
                <w14:lumOff w14:val="5000"/>
              </w14:schemeClr>
            </w14:solidFill>
          </w14:textFill>
        </w:rPr>
        <w:t>无组织排放监控浓度限值。</w:t>
      </w:r>
    </w:p>
    <w:p w14:paraId="3CED48D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项目运营期DA001排气筒排放的非甲烷总烃执行</w:t>
      </w:r>
      <w:bookmarkStart w:id="41" w:name="_Hlk199045029"/>
      <w:r>
        <w:rPr>
          <w:rFonts w:hint="eastAsia"/>
          <w:color w:val="0D0D0D" w:themeColor="text1" w:themeTint="F2"/>
          <w:u w:val="single"/>
          <w14:textFill>
            <w14:solidFill>
              <w14:schemeClr w14:val="tx1">
                <w14:lumMod w14:val="95000"/>
                <w14:lumOff w14:val="5000"/>
              </w14:schemeClr>
            </w14:solidFill>
          </w14:textFill>
        </w:rPr>
        <w:t>《石油炼制工业污染物排放标准》（GB31570-2015）及其修改单</w:t>
      </w:r>
      <w:bookmarkEnd w:id="41"/>
      <w:r>
        <w:rPr>
          <w:rFonts w:hint="eastAsia"/>
          <w:color w:val="0D0D0D" w:themeColor="text1" w:themeTint="F2"/>
          <w:u w:val="single"/>
          <w14:textFill>
            <w14:solidFill>
              <w14:schemeClr w14:val="tx1">
                <w14:lumMod w14:val="95000"/>
                <w14:lumOff w14:val="5000"/>
              </w14:schemeClr>
            </w14:solidFill>
          </w14:textFill>
        </w:rPr>
        <w:t>表3大气污染物排放限值要求，氨、硫化氢、臭气浓度执行《恶臭污染物排放标准》（GB14554-1993）表2恶臭污染物排放标准值；DA002排气筒排放的颗粒物、二氧化硫、氮氧化物执行《锅炉大气污染物排放标准》（GB13271-2014）表2燃煤锅炉排放浓度限值；厂界颗粒物、非甲烷总烃执行《石油炼制工业污染物排放标准》（GB31570-2015）及其修改单中表5企业边界大气污染物浓度限值，氨、硫化氢、臭气浓度执行</w:t>
      </w:r>
      <w:bookmarkStart w:id="42" w:name="_Hlk191506604"/>
      <w:r>
        <w:rPr>
          <w:rFonts w:hint="eastAsia"/>
          <w:color w:val="0D0D0D" w:themeColor="text1" w:themeTint="F2"/>
          <w:u w:val="single"/>
          <w14:textFill>
            <w14:solidFill>
              <w14:schemeClr w14:val="tx1">
                <w14:lumMod w14:val="95000"/>
                <w14:lumOff w14:val="5000"/>
              </w14:schemeClr>
            </w14:solidFill>
          </w14:textFill>
        </w:rPr>
        <w:t>《恶臭污染物排放标准》</w:t>
      </w:r>
      <w:bookmarkEnd w:id="42"/>
      <w:r>
        <w:rPr>
          <w:rFonts w:hint="eastAsia"/>
          <w:color w:val="0D0D0D" w:themeColor="text1" w:themeTint="F2"/>
          <w:u w:val="single"/>
          <w14:textFill>
            <w14:solidFill>
              <w14:schemeClr w14:val="tx1">
                <w14:lumMod w14:val="95000"/>
                <w14:lumOff w14:val="5000"/>
              </w14:schemeClr>
            </w14:solidFill>
          </w14:textFill>
        </w:rPr>
        <w:t>（GB14554-1993）表1新扩改建二级标准；厂区内非甲烷总烃执行《挥发性有机物无组织排放控制标准》（GB37822-2019）附录A标准要求；危废暂存间废气排放执行《挥发性有机物无组织排放控制标准》（GB37822-2019）附录A标准要求；食堂油烟执行《饮食业油烟排放标准（试行）》（GB18483-2001）中型标准要求</w:t>
      </w:r>
      <w:r>
        <w:rPr>
          <w:rFonts w:hint="eastAsia"/>
          <w:color w:val="0D0D0D" w:themeColor="text1" w:themeTint="F2"/>
          <w14:textFill>
            <w14:solidFill>
              <w14:schemeClr w14:val="tx1">
                <w14:lumMod w14:val="95000"/>
                <w14:lumOff w14:val="5000"/>
              </w14:schemeClr>
            </w14:solidFill>
          </w14:textFill>
        </w:rPr>
        <w:t>，各标准限值详见表2.4-9~表2.4-14。</w:t>
      </w:r>
    </w:p>
    <w:p w14:paraId="7A57D1E2">
      <w:pPr>
        <w:pStyle w:val="11"/>
      </w:pPr>
      <w:r>
        <w:rPr>
          <w:rFonts w:hint="eastAsia"/>
        </w:rPr>
        <w:t xml:space="preserve"> 《大气污染物综合排放标准》（摘录）</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3"/>
        <w:gridCol w:w="4020"/>
        <w:gridCol w:w="3429"/>
      </w:tblGrid>
      <w:tr w14:paraId="36590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970" w:type="pct"/>
            <w:vMerge w:val="restart"/>
            <w:vAlign w:val="center"/>
          </w:tcPr>
          <w:p w14:paraId="4053632C">
            <w:pPr>
              <w:tabs>
                <w:tab w:val="left" w:pos="1021"/>
              </w:tabs>
              <w:spacing w:line="240" w:lineRule="auto"/>
              <w:jc w:val="cente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pPr>
            <w: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t>污染物</w:t>
            </w:r>
          </w:p>
        </w:tc>
        <w:tc>
          <w:tcPr>
            <w:tcW w:w="4030" w:type="pct"/>
            <w:gridSpan w:val="2"/>
            <w:vAlign w:val="center"/>
          </w:tcPr>
          <w:p w14:paraId="5359C7F6">
            <w:pPr>
              <w:tabs>
                <w:tab w:val="left" w:pos="1021"/>
              </w:tabs>
              <w:spacing w:line="240" w:lineRule="auto"/>
              <w:jc w:val="cente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pPr>
            <w: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t>无组织排放监控浓度限值</w:t>
            </w:r>
          </w:p>
        </w:tc>
      </w:tr>
      <w:tr w14:paraId="28BA8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970" w:type="pct"/>
            <w:vMerge w:val="continue"/>
            <w:vAlign w:val="center"/>
          </w:tcPr>
          <w:p w14:paraId="0F66008D">
            <w:pPr>
              <w:tabs>
                <w:tab w:val="left" w:pos="1021"/>
              </w:tabs>
              <w:spacing w:line="240" w:lineRule="auto"/>
              <w:jc w:val="cente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pPr>
          </w:p>
        </w:tc>
        <w:tc>
          <w:tcPr>
            <w:tcW w:w="2175" w:type="pct"/>
            <w:vAlign w:val="center"/>
          </w:tcPr>
          <w:p w14:paraId="15389AB2">
            <w:pPr>
              <w:tabs>
                <w:tab w:val="left" w:pos="1021"/>
              </w:tabs>
              <w:spacing w:line="240" w:lineRule="auto"/>
              <w:jc w:val="cente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pPr>
            <w: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t>监控点</w:t>
            </w:r>
          </w:p>
        </w:tc>
        <w:tc>
          <w:tcPr>
            <w:tcW w:w="1855" w:type="pct"/>
            <w:vAlign w:val="center"/>
          </w:tcPr>
          <w:p w14:paraId="37934B3F">
            <w:pPr>
              <w:tabs>
                <w:tab w:val="left" w:pos="1021"/>
              </w:tabs>
              <w:spacing w:line="240" w:lineRule="auto"/>
              <w:jc w:val="cente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pPr>
            <w: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t>浓度</w:t>
            </w:r>
            <w:r>
              <w:rPr>
                <w:rFonts w:hint="eastAsia" w:cs="Times New Roman"/>
                <w:color w:val="0D0D0D" w:themeColor="text1" w:themeTint="F2"/>
                <w:kern w:val="0"/>
                <w:position w:val="-24"/>
                <w:sz w:val="21"/>
                <w:szCs w:val="21"/>
                <w:u w:val="single"/>
                <w14:textFill>
                  <w14:solidFill>
                    <w14:schemeClr w14:val="tx1">
                      <w14:lumMod w14:val="95000"/>
                      <w14:lumOff w14:val="5000"/>
                    </w14:schemeClr>
                  </w14:solidFill>
                </w14:textFill>
              </w:rPr>
              <w:t>（</w:t>
            </w:r>
            <w: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t>mg/m</w:t>
            </w:r>
            <w:r>
              <w:rPr>
                <w:rFonts w:cs="Times New Roman"/>
                <w:color w:val="0D0D0D" w:themeColor="text1" w:themeTint="F2"/>
                <w:kern w:val="0"/>
                <w:position w:val="-24"/>
                <w:sz w:val="21"/>
                <w:szCs w:val="21"/>
                <w:u w:val="single"/>
                <w:vertAlign w:val="superscript"/>
                <w14:textFill>
                  <w14:solidFill>
                    <w14:schemeClr w14:val="tx1">
                      <w14:lumMod w14:val="95000"/>
                      <w14:lumOff w14:val="5000"/>
                    </w14:schemeClr>
                  </w14:solidFill>
                </w14:textFill>
              </w:rPr>
              <w:t>3</w:t>
            </w:r>
            <w:r>
              <w:rPr>
                <w:rFonts w:hint="eastAsia" w:cs="Times New Roman"/>
                <w:color w:val="0D0D0D" w:themeColor="text1" w:themeTint="F2"/>
                <w:kern w:val="0"/>
                <w:position w:val="-24"/>
                <w:sz w:val="21"/>
                <w:szCs w:val="21"/>
                <w:u w:val="single"/>
                <w14:textFill>
                  <w14:solidFill>
                    <w14:schemeClr w14:val="tx1">
                      <w14:lumMod w14:val="95000"/>
                      <w14:lumOff w14:val="5000"/>
                    </w14:schemeClr>
                  </w14:solidFill>
                </w14:textFill>
              </w:rPr>
              <w:t>）</w:t>
            </w:r>
          </w:p>
        </w:tc>
      </w:tr>
      <w:tr w14:paraId="5824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0" w:type="pct"/>
            <w:vAlign w:val="center"/>
          </w:tcPr>
          <w:p w14:paraId="17B29134">
            <w:pPr>
              <w:tabs>
                <w:tab w:val="left" w:pos="1021"/>
              </w:tabs>
              <w:spacing w:line="240" w:lineRule="auto"/>
              <w:jc w:val="cente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pPr>
            <w: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t>颗粒物</w:t>
            </w:r>
          </w:p>
        </w:tc>
        <w:tc>
          <w:tcPr>
            <w:tcW w:w="2175" w:type="pct"/>
            <w:vAlign w:val="center"/>
          </w:tcPr>
          <w:p w14:paraId="6D323F8C">
            <w:pPr>
              <w:tabs>
                <w:tab w:val="left" w:pos="1021"/>
              </w:tabs>
              <w:spacing w:line="240" w:lineRule="auto"/>
              <w:jc w:val="cente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pPr>
            <w: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t>周界外浓度最高点</w:t>
            </w:r>
          </w:p>
        </w:tc>
        <w:tc>
          <w:tcPr>
            <w:tcW w:w="1855" w:type="pct"/>
            <w:vAlign w:val="center"/>
          </w:tcPr>
          <w:p w14:paraId="3BBCE182">
            <w:pPr>
              <w:tabs>
                <w:tab w:val="left" w:pos="1021"/>
              </w:tabs>
              <w:spacing w:line="240" w:lineRule="auto"/>
              <w:jc w:val="cente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pPr>
            <w: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t>1.0</w:t>
            </w:r>
          </w:p>
        </w:tc>
      </w:tr>
    </w:tbl>
    <w:p w14:paraId="0E555AFA">
      <w:pPr>
        <w:pStyle w:val="11"/>
      </w:pPr>
      <w:r>
        <w:rPr>
          <w:rFonts w:hint="eastAsia"/>
        </w:rPr>
        <w:t xml:space="preserve"> 《石油炼制工业污染物排放标准》（摘录）</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2"/>
        <w:gridCol w:w="3735"/>
        <w:gridCol w:w="3735"/>
      </w:tblGrid>
      <w:tr w14:paraId="196B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9" w:type="pct"/>
            <w:vAlign w:val="center"/>
          </w:tcPr>
          <w:p w14:paraId="2D31DE9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污染物</w:t>
            </w:r>
          </w:p>
        </w:tc>
        <w:tc>
          <w:tcPr>
            <w:tcW w:w="2020" w:type="pct"/>
            <w:vAlign w:val="center"/>
          </w:tcPr>
          <w:p w14:paraId="6D364357">
            <w:pPr>
              <w:pStyle w:val="11"/>
              <w:numPr>
                <w:ilvl w:val="0"/>
                <w:numId w:val="0"/>
              </w:numPr>
            </w:pPr>
            <w:r>
              <w:rPr>
                <w:rFonts w:hint="eastAsia"/>
              </w:rPr>
              <w:t>有组织排放限值（</w:t>
            </w:r>
            <w:r>
              <w:t>mg/m</w:t>
            </w:r>
            <w:r>
              <w:rPr>
                <w:vertAlign w:val="superscript"/>
              </w:rPr>
              <w:t>3</w:t>
            </w:r>
            <w:r>
              <w:rPr>
                <w:rFonts w:hint="eastAsia"/>
              </w:rPr>
              <w:t>）</w:t>
            </w:r>
          </w:p>
        </w:tc>
        <w:tc>
          <w:tcPr>
            <w:tcW w:w="2020" w:type="pct"/>
            <w:vAlign w:val="center"/>
          </w:tcPr>
          <w:p w14:paraId="55C248A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无组织排放限值（</w:t>
            </w:r>
            <w:r>
              <w:rPr>
                <w:color w:val="0D0D0D" w:themeColor="text1" w:themeTint="F2"/>
                <w:sz w:val="21"/>
                <w:szCs w:val="21"/>
                <w14:textFill>
                  <w14:solidFill>
                    <w14:schemeClr w14:val="tx1">
                      <w14:lumMod w14:val="95000"/>
                      <w14:lumOff w14:val="5000"/>
                    </w14:schemeClr>
                  </w14:solidFill>
                </w14:textFill>
              </w:rPr>
              <w:t>mg/m</w:t>
            </w:r>
            <w:r>
              <w:rPr>
                <w:color w:val="0D0D0D" w:themeColor="text1" w:themeTint="F2"/>
                <w:sz w:val="21"/>
                <w:szCs w:val="21"/>
                <w:vertAlign w:val="superscript"/>
                <w14:textFill>
                  <w14:solidFill>
                    <w14:schemeClr w14:val="tx1">
                      <w14:lumMod w14:val="95000"/>
                      <w14:lumOff w14:val="5000"/>
                    </w14:schemeClr>
                  </w14:solidFill>
                </w14:textFill>
              </w:rPr>
              <w:t>3</w:t>
            </w:r>
            <w:r>
              <w:rPr>
                <w:rFonts w:hint="eastAsia"/>
                <w:color w:val="0D0D0D" w:themeColor="text1" w:themeTint="F2"/>
                <w:sz w:val="21"/>
                <w:szCs w:val="21"/>
                <w14:textFill>
                  <w14:solidFill>
                    <w14:schemeClr w14:val="tx1">
                      <w14:lumMod w14:val="95000"/>
                      <w14:lumOff w14:val="5000"/>
                    </w14:schemeClr>
                  </w14:solidFill>
                </w14:textFill>
              </w:rPr>
              <w:t>）</w:t>
            </w:r>
          </w:p>
        </w:tc>
      </w:tr>
      <w:tr w14:paraId="531A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9" w:type="pct"/>
            <w:vAlign w:val="center"/>
          </w:tcPr>
          <w:p w14:paraId="3DCE117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颗粒物</w:t>
            </w:r>
          </w:p>
        </w:tc>
        <w:tc>
          <w:tcPr>
            <w:tcW w:w="2020" w:type="pct"/>
            <w:vAlign w:val="center"/>
          </w:tcPr>
          <w:p w14:paraId="2581603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2020" w:type="pct"/>
            <w:vAlign w:val="center"/>
          </w:tcPr>
          <w:p w14:paraId="6F560C1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1.0</w:t>
            </w:r>
          </w:p>
        </w:tc>
      </w:tr>
      <w:tr w14:paraId="53D98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9" w:type="pct"/>
            <w:vAlign w:val="center"/>
          </w:tcPr>
          <w:p w14:paraId="324E3DB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非甲烷总烃</w:t>
            </w:r>
          </w:p>
        </w:tc>
        <w:tc>
          <w:tcPr>
            <w:tcW w:w="2020" w:type="pct"/>
            <w:vAlign w:val="center"/>
          </w:tcPr>
          <w:p w14:paraId="7EA21E2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120</w:t>
            </w:r>
          </w:p>
        </w:tc>
        <w:tc>
          <w:tcPr>
            <w:tcW w:w="2020" w:type="pct"/>
            <w:vAlign w:val="center"/>
          </w:tcPr>
          <w:p w14:paraId="2C6C5A8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4.0</w:t>
            </w:r>
          </w:p>
        </w:tc>
      </w:tr>
    </w:tbl>
    <w:p w14:paraId="5CA3CB66">
      <w:pPr>
        <w:pStyle w:val="11"/>
      </w:pPr>
      <w:r>
        <w:rPr>
          <w:rFonts w:hint="eastAsia"/>
        </w:rPr>
        <w:t xml:space="preserve"> 《锅炉大气污染物排放标准》（摘录）</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9"/>
        <w:gridCol w:w="1497"/>
        <w:gridCol w:w="1498"/>
        <w:gridCol w:w="1498"/>
        <w:gridCol w:w="1847"/>
        <w:gridCol w:w="1583"/>
      </w:tblGrid>
      <w:tr w14:paraId="6CA37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4" w:type="pct"/>
            <w:vAlign w:val="center"/>
          </w:tcPr>
          <w:p w14:paraId="12BEFDEC">
            <w:pPr>
              <w:tabs>
                <w:tab w:val="left" w:pos="1021"/>
              </w:tabs>
              <w:spacing w:line="240" w:lineRule="auto"/>
              <w:jc w:val="center"/>
              <w:rPr>
                <w:rFonts w:cs="Times New Roman"/>
                <w:color w:val="0D0D0D" w:themeColor="text1" w:themeTint="F2"/>
                <w:kern w:val="0"/>
                <w:position w:val="-24"/>
                <w:sz w:val="21"/>
                <w:szCs w:val="21"/>
                <w14:textFill>
                  <w14:solidFill>
                    <w14:schemeClr w14:val="tx1">
                      <w14:lumMod w14:val="95000"/>
                      <w14:lumOff w14:val="5000"/>
                    </w14:schemeClr>
                  </w14:solidFill>
                </w14:textFill>
              </w:rPr>
            </w:pPr>
            <w:r>
              <w:rPr>
                <w:rFonts w:cs="Times New Roman"/>
                <w:color w:val="0D0D0D" w:themeColor="text1" w:themeTint="F2"/>
                <w:kern w:val="0"/>
                <w:position w:val="-24"/>
                <w:sz w:val="21"/>
                <w:szCs w:val="21"/>
                <w14:textFill>
                  <w14:solidFill>
                    <w14:schemeClr w14:val="tx1">
                      <w14:lumMod w14:val="95000"/>
                      <w14:lumOff w14:val="5000"/>
                    </w14:schemeClr>
                  </w14:solidFill>
                </w14:textFill>
              </w:rPr>
              <w:t>锅炉类型</w:t>
            </w:r>
          </w:p>
        </w:tc>
        <w:tc>
          <w:tcPr>
            <w:tcW w:w="810" w:type="pct"/>
            <w:vAlign w:val="center"/>
          </w:tcPr>
          <w:p w14:paraId="441FEF7F">
            <w:pPr>
              <w:tabs>
                <w:tab w:val="left" w:pos="1021"/>
              </w:tabs>
              <w:spacing w:line="240" w:lineRule="auto"/>
              <w:jc w:val="center"/>
              <w:rPr>
                <w:rFonts w:cs="Times New Roman"/>
                <w:color w:val="0D0D0D" w:themeColor="text1" w:themeTint="F2"/>
                <w:kern w:val="0"/>
                <w:position w:val="-24"/>
                <w:sz w:val="21"/>
                <w:szCs w:val="21"/>
                <w14:textFill>
                  <w14:solidFill>
                    <w14:schemeClr w14:val="tx1">
                      <w14:lumMod w14:val="95000"/>
                      <w14:lumOff w14:val="5000"/>
                    </w14:schemeClr>
                  </w14:solidFill>
                </w14:textFill>
              </w:rPr>
            </w:pPr>
            <w:r>
              <w:rPr>
                <w:rFonts w:cs="Times New Roman"/>
                <w:color w:val="0D0D0D" w:themeColor="text1" w:themeTint="F2"/>
                <w:kern w:val="0"/>
                <w:position w:val="-24"/>
                <w:sz w:val="21"/>
                <w:szCs w:val="21"/>
                <w14:textFill>
                  <w14:solidFill>
                    <w14:schemeClr w14:val="tx1">
                      <w14:lumMod w14:val="95000"/>
                      <w14:lumOff w14:val="5000"/>
                    </w14:schemeClr>
                  </w14:solidFill>
                </w14:textFill>
              </w:rPr>
              <w:t>颗粒物</w:t>
            </w:r>
          </w:p>
          <w:p w14:paraId="1833ADC9">
            <w:pPr>
              <w:tabs>
                <w:tab w:val="left" w:pos="1021"/>
              </w:tabs>
              <w:spacing w:line="240" w:lineRule="auto"/>
              <w:jc w:val="center"/>
              <w:rPr>
                <w:rFonts w:cs="Times New Roman"/>
                <w:color w:val="0D0D0D" w:themeColor="text1" w:themeTint="F2"/>
                <w:kern w:val="0"/>
                <w:position w:val="-24"/>
                <w:sz w:val="21"/>
                <w:szCs w:val="21"/>
                <w14:textFill>
                  <w14:solidFill>
                    <w14:schemeClr w14:val="tx1">
                      <w14:lumMod w14:val="95000"/>
                      <w14:lumOff w14:val="5000"/>
                    </w14:schemeClr>
                  </w14:solidFill>
                </w14:textFill>
              </w:rPr>
            </w:pPr>
            <w:r>
              <w:rPr>
                <w:rFonts w:cs="Times New Roman"/>
                <w:color w:val="0D0D0D" w:themeColor="text1" w:themeTint="F2"/>
                <w:kern w:val="0"/>
                <w:position w:val="-24"/>
                <w:sz w:val="21"/>
                <w:szCs w:val="21"/>
                <w14:textFill>
                  <w14:solidFill>
                    <w14:schemeClr w14:val="tx1">
                      <w14:lumMod w14:val="95000"/>
                      <w14:lumOff w14:val="5000"/>
                    </w14:schemeClr>
                  </w14:solidFill>
                </w14:textFill>
              </w:rPr>
              <w:t>（mg/m</w:t>
            </w:r>
            <w:r>
              <w:rPr>
                <w:rFonts w:cs="Times New Roman"/>
                <w:color w:val="0D0D0D" w:themeColor="text1" w:themeTint="F2"/>
                <w:kern w:val="0"/>
                <w:position w:val="-24"/>
                <w:sz w:val="21"/>
                <w:szCs w:val="21"/>
                <w:vertAlign w:val="superscript"/>
                <w14:textFill>
                  <w14:solidFill>
                    <w14:schemeClr w14:val="tx1">
                      <w14:lumMod w14:val="95000"/>
                      <w14:lumOff w14:val="5000"/>
                    </w14:schemeClr>
                  </w14:solidFill>
                </w14:textFill>
              </w:rPr>
              <w:t>3</w:t>
            </w:r>
            <w:r>
              <w:rPr>
                <w:rFonts w:cs="Times New Roman"/>
                <w:color w:val="0D0D0D" w:themeColor="text1" w:themeTint="F2"/>
                <w:kern w:val="0"/>
                <w:position w:val="-24"/>
                <w:sz w:val="21"/>
                <w:szCs w:val="21"/>
                <w14:textFill>
                  <w14:solidFill>
                    <w14:schemeClr w14:val="tx1">
                      <w14:lumMod w14:val="95000"/>
                      <w14:lumOff w14:val="5000"/>
                    </w14:schemeClr>
                  </w14:solidFill>
                </w14:textFill>
              </w:rPr>
              <w:t>）</w:t>
            </w:r>
          </w:p>
        </w:tc>
        <w:tc>
          <w:tcPr>
            <w:tcW w:w="810" w:type="pct"/>
            <w:vAlign w:val="center"/>
          </w:tcPr>
          <w:p w14:paraId="119EB8E9">
            <w:pPr>
              <w:tabs>
                <w:tab w:val="left" w:pos="1021"/>
              </w:tabs>
              <w:spacing w:line="240" w:lineRule="auto"/>
              <w:jc w:val="center"/>
              <w:rPr>
                <w:rFonts w:cs="Times New Roman"/>
                <w:color w:val="0D0D0D" w:themeColor="text1" w:themeTint="F2"/>
                <w:kern w:val="0"/>
                <w:position w:val="-24"/>
                <w:sz w:val="21"/>
                <w:szCs w:val="21"/>
                <w14:textFill>
                  <w14:solidFill>
                    <w14:schemeClr w14:val="tx1">
                      <w14:lumMod w14:val="95000"/>
                      <w14:lumOff w14:val="5000"/>
                    </w14:schemeClr>
                  </w14:solidFill>
                </w14:textFill>
              </w:rPr>
            </w:pPr>
            <w:r>
              <w:rPr>
                <w:rFonts w:cs="Times New Roman"/>
                <w:color w:val="0D0D0D" w:themeColor="text1" w:themeTint="F2"/>
                <w:kern w:val="0"/>
                <w:position w:val="-24"/>
                <w:sz w:val="21"/>
                <w:szCs w:val="21"/>
                <w14:textFill>
                  <w14:solidFill>
                    <w14:schemeClr w14:val="tx1">
                      <w14:lumMod w14:val="95000"/>
                      <w14:lumOff w14:val="5000"/>
                    </w14:schemeClr>
                  </w14:solidFill>
                </w14:textFill>
              </w:rPr>
              <w:t>二氧化硫</w:t>
            </w:r>
          </w:p>
          <w:p w14:paraId="112881AA">
            <w:pPr>
              <w:tabs>
                <w:tab w:val="left" w:pos="1021"/>
              </w:tabs>
              <w:spacing w:line="240" w:lineRule="auto"/>
              <w:jc w:val="center"/>
              <w:rPr>
                <w:rFonts w:cs="Times New Roman"/>
                <w:color w:val="0D0D0D" w:themeColor="text1" w:themeTint="F2"/>
                <w:kern w:val="0"/>
                <w:position w:val="-24"/>
                <w:sz w:val="21"/>
                <w:szCs w:val="21"/>
                <w14:textFill>
                  <w14:solidFill>
                    <w14:schemeClr w14:val="tx1">
                      <w14:lumMod w14:val="95000"/>
                      <w14:lumOff w14:val="5000"/>
                    </w14:schemeClr>
                  </w14:solidFill>
                </w14:textFill>
              </w:rPr>
            </w:pPr>
            <w:r>
              <w:rPr>
                <w:rFonts w:cs="Times New Roman"/>
                <w:color w:val="0D0D0D" w:themeColor="text1" w:themeTint="F2"/>
                <w:kern w:val="0"/>
                <w:position w:val="-24"/>
                <w:sz w:val="21"/>
                <w:szCs w:val="21"/>
                <w14:textFill>
                  <w14:solidFill>
                    <w14:schemeClr w14:val="tx1">
                      <w14:lumMod w14:val="95000"/>
                      <w14:lumOff w14:val="5000"/>
                    </w14:schemeClr>
                  </w14:solidFill>
                </w14:textFill>
              </w:rPr>
              <w:t>（mg/m</w:t>
            </w:r>
            <w:r>
              <w:rPr>
                <w:rFonts w:cs="Times New Roman"/>
                <w:color w:val="0D0D0D" w:themeColor="text1" w:themeTint="F2"/>
                <w:kern w:val="0"/>
                <w:position w:val="-24"/>
                <w:sz w:val="21"/>
                <w:szCs w:val="21"/>
                <w:vertAlign w:val="superscript"/>
                <w14:textFill>
                  <w14:solidFill>
                    <w14:schemeClr w14:val="tx1">
                      <w14:lumMod w14:val="95000"/>
                      <w14:lumOff w14:val="5000"/>
                    </w14:schemeClr>
                  </w14:solidFill>
                </w14:textFill>
              </w:rPr>
              <w:t>3</w:t>
            </w:r>
            <w:r>
              <w:rPr>
                <w:rFonts w:cs="Times New Roman"/>
                <w:color w:val="0D0D0D" w:themeColor="text1" w:themeTint="F2"/>
                <w:kern w:val="0"/>
                <w:position w:val="-24"/>
                <w:sz w:val="21"/>
                <w:szCs w:val="21"/>
                <w14:textFill>
                  <w14:solidFill>
                    <w14:schemeClr w14:val="tx1">
                      <w14:lumMod w14:val="95000"/>
                      <w14:lumOff w14:val="5000"/>
                    </w14:schemeClr>
                  </w14:solidFill>
                </w14:textFill>
              </w:rPr>
              <w:t>）</w:t>
            </w:r>
          </w:p>
        </w:tc>
        <w:tc>
          <w:tcPr>
            <w:tcW w:w="810" w:type="pct"/>
            <w:vAlign w:val="center"/>
          </w:tcPr>
          <w:p w14:paraId="5A030104">
            <w:pPr>
              <w:tabs>
                <w:tab w:val="left" w:pos="1021"/>
              </w:tabs>
              <w:spacing w:line="240" w:lineRule="auto"/>
              <w:jc w:val="center"/>
              <w:rPr>
                <w:rFonts w:cs="Times New Roman"/>
                <w:color w:val="0D0D0D" w:themeColor="text1" w:themeTint="F2"/>
                <w:kern w:val="0"/>
                <w:position w:val="-24"/>
                <w:sz w:val="21"/>
                <w:szCs w:val="21"/>
                <w14:textFill>
                  <w14:solidFill>
                    <w14:schemeClr w14:val="tx1">
                      <w14:lumMod w14:val="95000"/>
                      <w14:lumOff w14:val="5000"/>
                    </w14:schemeClr>
                  </w14:solidFill>
                </w14:textFill>
              </w:rPr>
            </w:pPr>
            <w:r>
              <w:rPr>
                <w:rFonts w:cs="Times New Roman"/>
                <w:color w:val="0D0D0D" w:themeColor="text1" w:themeTint="F2"/>
                <w:kern w:val="0"/>
                <w:position w:val="-24"/>
                <w:sz w:val="21"/>
                <w:szCs w:val="21"/>
                <w14:textFill>
                  <w14:solidFill>
                    <w14:schemeClr w14:val="tx1">
                      <w14:lumMod w14:val="95000"/>
                      <w14:lumOff w14:val="5000"/>
                    </w14:schemeClr>
                  </w14:solidFill>
                </w14:textFill>
              </w:rPr>
              <w:t>氮氧化物</w:t>
            </w:r>
          </w:p>
          <w:p w14:paraId="404AE160">
            <w:pPr>
              <w:tabs>
                <w:tab w:val="left" w:pos="1021"/>
              </w:tabs>
              <w:spacing w:line="240" w:lineRule="auto"/>
              <w:jc w:val="center"/>
              <w:rPr>
                <w:rFonts w:cs="Times New Roman"/>
                <w:color w:val="0D0D0D" w:themeColor="text1" w:themeTint="F2"/>
                <w:kern w:val="0"/>
                <w:position w:val="-24"/>
                <w:sz w:val="21"/>
                <w:szCs w:val="21"/>
                <w14:textFill>
                  <w14:solidFill>
                    <w14:schemeClr w14:val="tx1">
                      <w14:lumMod w14:val="95000"/>
                      <w14:lumOff w14:val="5000"/>
                    </w14:schemeClr>
                  </w14:solidFill>
                </w14:textFill>
              </w:rPr>
            </w:pPr>
            <w:r>
              <w:rPr>
                <w:rFonts w:cs="Times New Roman"/>
                <w:color w:val="0D0D0D" w:themeColor="text1" w:themeTint="F2"/>
                <w:kern w:val="0"/>
                <w:position w:val="-24"/>
                <w:sz w:val="21"/>
                <w:szCs w:val="21"/>
                <w14:textFill>
                  <w14:solidFill>
                    <w14:schemeClr w14:val="tx1">
                      <w14:lumMod w14:val="95000"/>
                      <w14:lumOff w14:val="5000"/>
                    </w14:schemeClr>
                  </w14:solidFill>
                </w14:textFill>
              </w:rPr>
              <w:t>（mg/m</w:t>
            </w:r>
            <w:r>
              <w:rPr>
                <w:rFonts w:cs="Times New Roman"/>
                <w:color w:val="0D0D0D" w:themeColor="text1" w:themeTint="F2"/>
                <w:kern w:val="0"/>
                <w:position w:val="-24"/>
                <w:sz w:val="21"/>
                <w:szCs w:val="21"/>
                <w:vertAlign w:val="superscript"/>
                <w14:textFill>
                  <w14:solidFill>
                    <w14:schemeClr w14:val="tx1">
                      <w14:lumMod w14:val="95000"/>
                      <w14:lumOff w14:val="5000"/>
                    </w14:schemeClr>
                  </w14:solidFill>
                </w14:textFill>
              </w:rPr>
              <w:t>3</w:t>
            </w:r>
            <w:r>
              <w:rPr>
                <w:rFonts w:cs="Times New Roman"/>
                <w:color w:val="0D0D0D" w:themeColor="text1" w:themeTint="F2"/>
                <w:kern w:val="0"/>
                <w:position w:val="-24"/>
                <w:sz w:val="21"/>
                <w:szCs w:val="21"/>
                <w14:textFill>
                  <w14:solidFill>
                    <w14:schemeClr w14:val="tx1">
                      <w14:lumMod w14:val="95000"/>
                      <w14:lumOff w14:val="5000"/>
                    </w14:schemeClr>
                  </w14:solidFill>
                </w14:textFill>
              </w:rPr>
              <w:t>）</w:t>
            </w:r>
          </w:p>
        </w:tc>
        <w:tc>
          <w:tcPr>
            <w:tcW w:w="999" w:type="pct"/>
            <w:vAlign w:val="center"/>
          </w:tcPr>
          <w:p w14:paraId="13B5016F">
            <w:pPr>
              <w:tabs>
                <w:tab w:val="left" w:pos="1021"/>
              </w:tabs>
              <w:spacing w:line="240" w:lineRule="auto"/>
              <w:jc w:val="center"/>
              <w:rPr>
                <w:rFonts w:cs="Times New Roman"/>
                <w:color w:val="0D0D0D" w:themeColor="text1" w:themeTint="F2"/>
                <w:kern w:val="0"/>
                <w:position w:val="-24"/>
                <w:sz w:val="21"/>
                <w:szCs w:val="21"/>
                <w14:textFill>
                  <w14:solidFill>
                    <w14:schemeClr w14:val="tx1">
                      <w14:lumMod w14:val="95000"/>
                      <w14:lumOff w14:val="5000"/>
                    </w14:schemeClr>
                  </w14:solidFill>
                </w14:textFill>
              </w:rPr>
            </w:pPr>
            <w:r>
              <w:rPr>
                <w:rFonts w:cs="Times New Roman"/>
                <w:color w:val="0D0D0D" w:themeColor="text1" w:themeTint="F2"/>
                <w:kern w:val="0"/>
                <w:position w:val="-24"/>
                <w:sz w:val="21"/>
                <w:szCs w:val="21"/>
                <w14:textFill>
                  <w14:solidFill>
                    <w14:schemeClr w14:val="tx1">
                      <w14:lumMod w14:val="95000"/>
                      <w14:lumOff w14:val="5000"/>
                    </w14:schemeClr>
                  </w14:solidFill>
                </w14:textFill>
              </w:rPr>
              <w:t>汞及其化合物</w:t>
            </w:r>
          </w:p>
          <w:p w14:paraId="2204C5D5">
            <w:pPr>
              <w:tabs>
                <w:tab w:val="left" w:pos="1021"/>
              </w:tabs>
              <w:spacing w:line="240" w:lineRule="auto"/>
              <w:jc w:val="center"/>
              <w:rPr>
                <w:rFonts w:cs="Times New Roman"/>
                <w:color w:val="0D0D0D" w:themeColor="text1" w:themeTint="F2"/>
                <w:kern w:val="0"/>
                <w:position w:val="-24"/>
                <w:sz w:val="21"/>
                <w:szCs w:val="21"/>
                <w14:textFill>
                  <w14:solidFill>
                    <w14:schemeClr w14:val="tx1">
                      <w14:lumMod w14:val="95000"/>
                      <w14:lumOff w14:val="5000"/>
                    </w14:schemeClr>
                  </w14:solidFill>
                </w14:textFill>
              </w:rPr>
            </w:pPr>
            <w:r>
              <w:rPr>
                <w:rFonts w:cs="Times New Roman"/>
                <w:color w:val="0D0D0D" w:themeColor="text1" w:themeTint="F2"/>
                <w:kern w:val="0"/>
                <w:position w:val="-24"/>
                <w:sz w:val="21"/>
                <w:szCs w:val="21"/>
                <w14:textFill>
                  <w14:solidFill>
                    <w14:schemeClr w14:val="tx1">
                      <w14:lumMod w14:val="95000"/>
                      <w14:lumOff w14:val="5000"/>
                    </w14:schemeClr>
                  </w14:solidFill>
                </w14:textFill>
              </w:rPr>
              <w:t>（mg/m</w:t>
            </w:r>
            <w:r>
              <w:rPr>
                <w:rFonts w:cs="Times New Roman"/>
                <w:color w:val="0D0D0D" w:themeColor="text1" w:themeTint="F2"/>
                <w:kern w:val="0"/>
                <w:position w:val="-24"/>
                <w:sz w:val="21"/>
                <w:szCs w:val="21"/>
                <w:vertAlign w:val="superscript"/>
                <w14:textFill>
                  <w14:solidFill>
                    <w14:schemeClr w14:val="tx1">
                      <w14:lumMod w14:val="95000"/>
                      <w14:lumOff w14:val="5000"/>
                    </w14:schemeClr>
                  </w14:solidFill>
                </w14:textFill>
              </w:rPr>
              <w:t>3</w:t>
            </w:r>
            <w:r>
              <w:rPr>
                <w:rFonts w:cs="Times New Roman"/>
                <w:color w:val="0D0D0D" w:themeColor="text1" w:themeTint="F2"/>
                <w:kern w:val="0"/>
                <w:position w:val="-24"/>
                <w:sz w:val="21"/>
                <w:szCs w:val="21"/>
                <w14:textFill>
                  <w14:solidFill>
                    <w14:schemeClr w14:val="tx1">
                      <w14:lumMod w14:val="95000"/>
                      <w14:lumOff w14:val="5000"/>
                    </w14:schemeClr>
                  </w14:solidFill>
                </w14:textFill>
              </w:rPr>
              <w:t>）</w:t>
            </w:r>
          </w:p>
        </w:tc>
        <w:tc>
          <w:tcPr>
            <w:tcW w:w="856" w:type="pct"/>
            <w:vAlign w:val="center"/>
          </w:tcPr>
          <w:p w14:paraId="2C26534C">
            <w:pPr>
              <w:tabs>
                <w:tab w:val="left" w:pos="1021"/>
              </w:tabs>
              <w:spacing w:line="240" w:lineRule="auto"/>
              <w:jc w:val="center"/>
              <w:rPr>
                <w:rFonts w:cs="Times New Roman"/>
                <w:color w:val="0D0D0D" w:themeColor="text1" w:themeTint="F2"/>
                <w:kern w:val="0"/>
                <w:position w:val="-24"/>
                <w:sz w:val="21"/>
                <w:szCs w:val="21"/>
                <w14:textFill>
                  <w14:solidFill>
                    <w14:schemeClr w14:val="tx1">
                      <w14:lumMod w14:val="95000"/>
                      <w14:lumOff w14:val="5000"/>
                    </w14:schemeClr>
                  </w14:solidFill>
                </w14:textFill>
              </w:rPr>
            </w:pPr>
            <w:r>
              <w:rPr>
                <w:rFonts w:cs="Times New Roman"/>
                <w:color w:val="0D0D0D" w:themeColor="text1" w:themeTint="F2"/>
                <w:kern w:val="0"/>
                <w:position w:val="-24"/>
                <w:sz w:val="21"/>
                <w:szCs w:val="21"/>
                <w14:textFill>
                  <w14:solidFill>
                    <w14:schemeClr w14:val="tx1">
                      <w14:lumMod w14:val="95000"/>
                      <w14:lumOff w14:val="5000"/>
                    </w14:schemeClr>
                  </w14:solidFill>
                </w14:textFill>
              </w:rPr>
              <w:t>林格曼黑度</w:t>
            </w:r>
          </w:p>
          <w:p w14:paraId="5556590F">
            <w:pPr>
              <w:tabs>
                <w:tab w:val="left" w:pos="1021"/>
              </w:tabs>
              <w:spacing w:line="240" w:lineRule="auto"/>
              <w:jc w:val="center"/>
              <w:rPr>
                <w:rFonts w:cs="Times New Roman"/>
                <w:color w:val="0D0D0D" w:themeColor="text1" w:themeTint="F2"/>
                <w:kern w:val="0"/>
                <w:position w:val="-24"/>
                <w:sz w:val="21"/>
                <w:szCs w:val="21"/>
                <w14:textFill>
                  <w14:solidFill>
                    <w14:schemeClr w14:val="tx1">
                      <w14:lumMod w14:val="95000"/>
                      <w14:lumOff w14:val="5000"/>
                    </w14:schemeClr>
                  </w14:solidFill>
                </w14:textFill>
              </w:rPr>
            </w:pPr>
            <w:r>
              <w:rPr>
                <w:rFonts w:cs="Times New Roman"/>
                <w:color w:val="0D0D0D" w:themeColor="text1" w:themeTint="F2"/>
                <w:kern w:val="0"/>
                <w:position w:val="-24"/>
                <w:sz w:val="21"/>
                <w:szCs w:val="21"/>
                <w14:textFill>
                  <w14:solidFill>
                    <w14:schemeClr w14:val="tx1">
                      <w14:lumMod w14:val="95000"/>
                      <w14:lumOff w14:val="5000"/>
                    </w14:schemeClr>
                  </w14:solidFill>
                </w14:textFill>
              </w:rPr>
              <w:t>（级）</w:t>
            </w:r>
          </w:p>
        </w:tc>
      </w:tr>
      <w:tr w14:paraId="2859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4" w:type="pct"/>
            <w:vAlign w:val="center"/>
          </w:tcPr>
          <w:p w14:paraId="55D072C9">
            <w:pPr>
              <w:tabs>
                <w:tab w:val="left" w:pos="1021"/>
              </w:tabs>
              <w:spacing w:line="240" w:lineRule="auto"/>
              <w:jc w:val="center"/>
              <w:rPr>
                <w:rFonts w:cs="Times New Roman"/>
                <w:color w:val="0D0D0D" w:themeColor="text1" w:themeTint="F2"/>
                <w:kern w:val="0"/>
                <w:position w:val="-24"/>
                <w:sz w:val="21"/>
                <w:szCs w:val="21"/>
                <w14:textFill>
                  <w14:solidFill>
                    <w14:schemeClr w14:val="tx1">
                      <w14:lumMod w14:val="95000"/>
                      <w14:lumOff w14:val="5000"/>
                    </w14:schemeClr>
                  </w14:solidFill>
                </w14:textFill>
              </w:rPr>
            </w:pPr>
            <w:r>
              <w:rPr>
                <w:rFonts w:hint="eastAsia" w:cs="Times New Roman"/>
                <w:color w:val="0D0D0D" w:themeColor="text1" w:themeTint="F2"/>
                <w:kern w:val="0"/>
                <w:position w:val="-24"/>
                <w:sz w:val="21"/>
                <w:szCs w:val="21"/>
                <w14:textFill>
                  <w14:solidFill>
                    <w14:schemeClr w14:val="tx1">
                      <w14:lumMod w14:val="95000"/>
                      <w14:lumOff w14:val="5000"/>
                    </w14:schemeClr>
                  </w14:solidFill>
                </w14:textFill>
              </w:rPr>
              <w:t>燃煤</w:t>
            </w:r>
            <w:r>
              <w:rPr>
                <w:rFonts w:cs="Times New Roman"/>
                <w:color w:val="0D0D0D" w:themeColor="text1" w:themeTint="F2"/>
                <w:kern w:val="0"/>
                <w:position w:val="-24"/>
                <w:sz w:val="21"/>
                <w:szCs w:val="21"/>
                <w14:textFill>
                  <w14:solidFill>
                    <w14:schemeClr w14:val="tx1">
                      <w14:lumMod w14:val="95000"/>
                      <w14:lumOff w14:val="5000"/>
                    </w14:schemeClr>
                  </w14:solidFill>
                </w14:textFill>
              </w:rPr>
              <w:t>锅炉</w:t>
            </w:r>
          </w:p>
        </w:tc>
        <w:tc>
          <w:tcPr>
            <w:tcW w:w="810" w:type="pct"/>
            <w:vAlign w:val="center"/>
          </w:tcPr>
          <w:p w14:paraId="38D06B1A">
            <w:pPr>
              <w:tabs>
                <w:tab w:val="left" w:pos="1021"/>
              </w:tabs>
              <w:spacing w:line="240" w:lineRule="auto"/>
              <w:jc w:val="center"/>
              <w:rPr>
                <w:rFonts w:cs="Times New Roman"/>
                <w:color w:val="0D0D0D" w:themeColor="text1" w:themeTint="F2"/>
                <w:kern w:val="0"/>
                <w:position w:val="-24"/>
                <w:sz w:val="21"/>
                <w:szCs w:val="21"/>
                <w14:textFill>
                  <w14:solidFill>
                    <w14:schemeClr w14:val="tx1">
                      <w14:lumMod w14:val="95000"/>
                      <w14:lumOff w14:val="5000"/>
                    </w14:schemeClr>
                  </w14:solidFill>
                </w14:textFill>
              </w:rPr>
            </w:pPr>
            <w:r>
              <w:rPr>
                <w:rFonts w:hint="eastAsia" w:cs="Times New Roman"/>
                <w:color w:val="0D0D0D" w:themeColor="text1" w:themeTint="F2"/>
                <w:kern w:val="0"/>
                <w:position w:val="-24"/>
                <w:sz w:val="21"/>
                <w:szCs w:val="21"/>
                <w14:textFill>
                  <w14:solidFill>
                    <w14:schemeClr w14:val="tx1">
                      <w14:lumMod w14:val="95000"/>
                      <w14:lumOff w14:val="5000"/>
                    </w14:schemeClr>
                  </w14:solidFill>
                </w14:textFill>
              </w:rPr>
              <w:t>50</w:t>
            </w:r>
          </w:p>
        </w:tc>
        <w:tc>
          <w:tcPr>
            <w:tcW w:w="810" w:type="pct"/>
            <w:vAlign w:val="center"/>
          </w:tcPr>
          <w:p w14:paraId="2EA9955F">
            <w:pPr>
              <w:tabs>
                <w:tab w:val="left" w:pos="1021"/>
              </w:tabs>
              <w:spacing w:line="240" w:lineRule="auto"/>
              <w:jc w:val="center"/>
              <w:rPr>
                <w:rFonts w:cs="Times New Roman"/>
                <w:color w:val="0D0D0D" w:themeColor="text1" w:themeTint="F2"/>
                <w:kern w:val="0"/>
                <w:position w:val="-24"/>
                <w:sz w:val="21"/>
                <w:szCs w:val="21"/>
                <w14:textFill>
                  <w14:solidFill>
                    <w14:schemeClr w14:val="tx1">
                      <w14:lumMod w14:val="95000"/>
                      <w14:lumOff w14:val="5000"/>
                    </w14:schemeClr>
                  </w14:solidFill>
                </w14:textFill>
              </w:rPr>
            </w:pPr>
            <w:r>
              <w:rPr>
                <w:rFonts w:hint="eastAsia" w:cs="Times New Roman"/>
                <w:color w:val="0D0D0D" w:themeColor="text1" w:themeTint="F2"/>
                <w:kern w:val="0"/>
                <w:position w:val="-24"/>
                <w:sz w:val="21"/>
                <w:szCs w:val="21"/>
                <w14:textFill>
                  <w14:solidFill>
                    <w14:schemeClr w14:val="tx1">
                      <w14:lumMod w14:val="95000"/>
                      <w14:lumOff w14:val="5000"/>
                    </w14:schemeClr>
                  </w14:solidFill>
                </w14:textFill>
              </w:rPr>
              <w:t>30</w:t>
            </w:r>
            <w:r>
              <w:rPr>
                <w:rFonts w:cs="Times New Roman"/>
                <w:color w:val="0D0D0D" w:themeColor="text1" w:themeTint="F2"/>
                <w:kern w:val="0"/>
                <w:position w:val="-24"/>
                <w:sz w:val="21"/>
                <w:szCs w:val="21"/>
                <w14:textFill>
                  <w14:solidFill>
                    <w14:schemeClr w14:val="tx1">
                      <w14:lumMod w14:val="95000"/>
                      <w14:lumOff w14:val="5000"/>
                    </w14:schemeClr>
                  </w14:solidFill>
                </w14:textFill>
              </w:rPr>
              <w:t>0</w:t>
            </w:r>
          </w:p>
        </w:tc>
        <w:tc>
          <w:tcPr>
            <w:tcW w:w="810" w:type="pct"/>
            <w:vAlign w:val="center"/>
          </w:tcPr>
          <w:p w14:paraId="3AD41795">
            <w:pPr>
              <w:tabs>
                <w:tab w:val="left" w:pos="1021"/>
              </w:tabs>
              <w:spacing w:line="240" w:lineRule="auto"/>
              <w:jc w:val="center"/>
              <w:rPr>
                <w:rFonts w:cs="Times New Roman"/>
                <w:color w:val="0D0D0D" w:themeColor="text1" w:themeTint="F2"/>
                <w:kern w:val="0"/>
                <w:position w:val="-24"/>
                <w:sz w:val="21"/>
                <w:szCs w:val="21"/>
                <w14:textFill>
                  <w14:solidFill>
                    <w14:schemeClr w14:val="tx1">
                      <w14:lumMod w14:val="95000"/>
                      <w14:lumOff w14:val="5000"/>
                    </w14:schemeClr>
                  </w14:solidFill>
                </w14:textFill>
              </w:rPr>
            </w:pPr>
            <w:r>
              <w:rPr>
                <w:rFonts w:hint="eastAsia" w:cs="Times New Roman"/>
                <w:color w:val="0D0D0D" w:themeColor="text1" w:themeTint="F2"/>
                <w:kern w:val="0"/>
                <w:position w:val="-24"/>
                <w:sz w:val="21"/>
                <w:szCs w:val="21"/>
                <w14:textFill>
                  <w14:solidFill>
                    <w14:schemeClr w14:val="tx1">
                      <w14:lumMod w14:val="95000"/>
                      <w14:lumOff w14:val="5000"/>
                    </w14:schemeClr>
                  </w14:solidFill>
                </w14:textFill>
              </w:rPr>
              <w:t>300</w:t>
            </w:r>
          </w:p>
        </w:tc>
        <w:tc>
          <w:tcPr>
            <w:tcW w:w="999" w:type="pct"/>
            <w:vAlign w:val="center"/>
          </w:tcPr>
          <w:p w14:paraId="75998033">
            <w:pPr>
              <w:tabs>
                <w:tab w:val="left" w:pos="1021"/>
              </w:tabs>
              <w:spacing w:line="240" w:lineRule="auto"/>
              <w:jc w:val="center"/>
              <w:rPr>
                <w:rFonts w:cs="Times New Roman"/>
                <w:color w:val="0D0D0D" w:themeColor="text1" w:themeTint="F2"/>
                <w:kern w:val="0"/>
                <w:position w:val="-24"/>
                <w:sz w:val="21"/>
                <w:szCs w:val="21"/>
                <w14:textFill>
                  <w14:solidFill>
                    <w14:schemeClr w14:val="tx1">
                      <w14:lumMod w14:val="95000"/>
                      <w14:lumOff w14:val="5000"/>
                    </w14:schemeClr>
                  </w14:solidFill>
                </w14:textFill>
              </w:rPr>
            </w:pPr>
            <w:r>
              <w:rPr>
                <w:rFonts w:hint="eastAsia" w:cs="Times New Roman"/>
                <w:color w:val="0D0D0D" w:themeColor="text1" w:themeTint="F2"/>
                <w:kern w:val="0"/>
                <w:position w:val="-24"/>
                <w:sz w:val="21"/>
                <w:szCs w:val="21"/>
                <w14:textFill>
                  <w14:solidFill>
                    <w14:schemeClr w14:val="tx1">
                      <w14:lumMod w14:val="95000"/>
                      <w14:lumOff w14:val="5000"/>
                    </w14:schemeClr>
                  </w14:solidFill>
                </w14:textFill>
              </w:rPr>
              <w:t>0.05</w:t>
            </w:r>
          </w:p>
        </w:tc>
        <w:tc>
          <w:tcPr>
            <w:tcW w:w="856" w:type="pct"/>
            <w:vAlign w:val="center"/>
          </w:tcPr>
          <w:p w14:paraId="1CD812E6">
            <w:pPr>
              <w:tabs>
                <w:tab w:val="left" w:pos="1021"/>
              </w:tabs>
              <w:spacing w:line="240" w:lineRule="auto"/>
              <w:jc w:val="center"/>
              <w:rPr>
                <w:rFonts w:cs="Times New Roman"/>
                <w:color w:val="0D0D0D" w:themeColor="text1" w:themeTint="F2"/>
                <w:kern w:val="0"/>
                <w:position w:val="-24"/>
                <w:sz w:val="21"/>
                <w:szCs w:val="21"/>
                <w14:textFill>
                  <w14:solidFill>
                    <w14:schemeClr w14:val="tx1">
                      <w14:lumMod w14:val="95000"/>
                      <w14:lumOff w14:val="5000"/>
                    </w14:schemeClr>
                  </w14:solidFill>
                </w14:textFill>
              </w:rPr>
            </w:pPr>
            <w:r>
              <w:rPr>
                <w:rFonts w:cs="Times New Roman"/>
                <w:color w:val="0D0D0D" w:themeColor="text1" w:themeTint="F2"/>
                <w:kern w:val="0"/>
                <w:position w:val="-24"/>
                <w:sz w:val="21"/>
                <w:szCs w:val="21"/>
                <w14:textFill>
                  <w14:solidFill>
                    <w14:schemeClr w14:val="tx1">
                      <w14:lumMod w14:val="95000"/>
                      <w14:lumOff w14:val="5000"/>
                    </w14:schemeClr>
                  </w14:solidFill>
                </w14:textFill>
              </w:rPr>
              <w:t>≤1</w:t>
            </w:r>
          </w:p>
        </w:tc>
      </w:tr>
    </w:tbl>
    <w:p w14:paraId="6C2CC4F5">
      <w:pPr>
        <w:pStyle w:val="11"/>
      </w:pPr>
      <w:r>
        <w:rPr>
          <w:rFonts w:hint="eastAsia"/>
        </w:rPr>
        <w:t xml:space="preserve"> 《恶臭污染物排放标准》（摘录）</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4651"/>
        <w:gridCol w:w="3035"/>
      </w:tblGrid>
      <w:tr w14:paraId="3C5EC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2" w:type="pct"/>
            <w:vAlign w:val="center"/>
          </w:tcPr>
          <w:p w14:paraId="0C8CDE52">
            <w:pPr>
              <w:pStyle w:val="57"/>
              <w:spacing w:line="240" w:lineRule="auto"/>
              <w:ind w:firstLine="0" w:firstLineChars="0"/>
              <w:rPr>
                <w:snapToGrid w:val="0"/>
                <w:color w:val="0D0D0D" w:themeColor="text1" w:themeTint="F2"/>
                <w:sz w:val="21"/>
                <w:szCs w:val="21"/>
                <w:u w:val="single"/>
                <w14:textFill>
                  <w14:solidFill>
                    <w14:schemeClr w14:val="tx1">
                      <w14:lumMod w14:val="95000"/>
                      <w14:lumOff w14:val="5000"/>
                    </w14:schemeClr>
                  </w14:solidFill>
                </w14:textFill>
              </w:rPr>
            </w:pPr>
            <w:r>
              <w:rPr>
                <w:snapToGrid w:val="0"/>
                <w:color w:val="0D0D0D" w:themeColor="text1" w:themeTint="F2"/>
                <w:sz w:val="21"/>
                <w:szCs w:val="21"/>
                <w:u w:val="single"/>
                <w14:textFill>
                  <w14:solidFill>
                    <w14:schemeClr w14:val="tx1">
                      <w14:lumMod w14:val="95000"/>
                      <w14:lumOff w14:val="5000"/>
                    </w14:schemeClr>
                  </w14:solidFill>
                </w14:textFill>
              </w:rPr>
              <w:t>项目</w:t>
            </w:r>
          </w:p>
        </w:tc>
        <w:tc>
          <w:tcPr>
            <w:tcW w:w="2516" w:type="pct"/>
            <w:vAlign w:val="center"/>
          </w:tcPr>
          <w:p w14:paraId="285E152A">
            <w:pPr>
              <w:pStyle w:val="57"/>
              <w:spacing w:line="240" w:lineRule="auto"/>
              <w:ind w:firstLine="0" w:firstLineChars="0"/>
              <w:rPr>
                <w:snapToGrid w:val="0"/>
                <w:color w:val="0D0D0D" w:themeColor="text1" w:themeTint="F2"/>
                <w:sz w:val="21"/>
                <w:szCs w:val="21"/>
                <w:u w:val="single"/>
                <w14:textFill>
                  <w14:solidFill>
                    <w14:schemeClr w14:val="tx1">
                      <w14:lumMod w14:val="95000"/>
                      <w14:lumOff w14:val="5000"/>
                    </w14:schemeClr>
                  </w14:solidFill>
                </w14:textFill>
              </w:rPr>
            </w:pPr>
            <w:r>
              <w:rPr>
                <w:rFonts w:hint="eastAsia"/>
                <w:snapToGrid w:val="0"/>
                <w:color w:val="0D0D0D" w:themeColor="text1" w:themeTint="F2"/>
                <w:sz w:val="21"/>
                <w:szCs w:val="21"/>
                <w:u w:val="single"/>
                <w14:textFill>
                  <w14:solidFill>
                    <w14:schemeClr w14:val="tx1">
                      <w14:lumMod w14:val="95000"/>
                      <w14:lumOff w14:val="5000"/>
                    </w14:schemeClr>
                  </w14:solidFill>
                </w14:textFill>
              </w:rPr>
              <w:t>厂界</w:t>
            </w:r>
            <w:r>
              <w:rPr>
                <w:snapToGrid w:val="0"/>
                <w:color w:val="0D0D0D" w:themeColor="text1" w:themeTint="F2"/>
                <w:sz w:val="21"/>
                <w:szCs w:val="21"/>
                <w:u w:val="single"/>
                <w14:textFill>
                  <w14:solidFill>
                    <w14:schemeClr w14:val="tx1">
                      <w14:lumMod w14:val="95000"/>
                      <w14:lumOff w14:val="5000"/>
                    </w14:schemeClr>
                  </w14:solidFill>
                </w14:textFill>
              </w:rPr>
              <w:t>二级标准限值（新改扩建）</w:t>
            </w:r>
          </w:p>
        </w:tc>
        <w:tc>
          <w:tcPr>
            <w:tcW w:w="1642" w:type="pct"/>
            <w:vAlign w:val="center"/>
          </w:tcPr>
          <w:p w14:paraId="394C708C">
            <w:pPr>
              <w:pStyle w:val="57"/>
              <w:spacing w:line="240" w:lineRule="auto"/>
              <w:ind w:firstLine="0" w:firstLineChars="0"/>
              <w:rPr>
                <w:snapToGrid w:val="0"/>
                <w:color w:val="0D0D0D" w:themeColor="text1" w:themeTint="F2"/>
                <w:sz w:val="21"/>
                <w:szCs w:val="21"/>
                <w:u w:val="single"/>
                <w14:textFill>
                  <w14:solidFill>
                    <w14:schemeClr w14:val="tx1">
                      <w14:lumMod w14:val="95000"/>
                      <w14:lumOff w14:val="5000"/>
                    </w14:schemeClr>
                  </w14:solidFill>
                </w14:textFill>
              </w:rPr>
            </w:pPr>
            <w:r>
              <w:rPr>
                <w:rFonts w:hint="eastAsia"/>
                <w:snapToGrid w:val="0"/>
                <w:color w:val="0D0D0D" w:themeColor="text1" w:themeTint="F2"/>
                <w:sz w:val="21"/>
                <w:szCs w:val="21"/>
                <w:u w:val="single"/>
                <w14:textFill>
                  <w14:solidFill>
                    <w14:schemeClr w14:val="tx1">
                      <w14:lumMod w14:val="95000"/>
                      <w14:lumOff w14:val="5000"/>
                    </w14:schemeClr>
                  </w14:solidFill>
                </w14:textFill>
              </w:rPr>
              <w:t>30m排气筒排放标准</w:t>
            </w:r>
          </w:p>
        </w:tc>
      </w:tr>
      <w:tr w14:paraId="02216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2" w:type="pct"/>
            <w:vAlign w:val="center"/>
          </w:tcPr>
          <w:p w14:paraId="1A5E44B5">
            <w:pPr>
              <w:pStyle w:val="57"/>
              <w:spacing w:line="240" w:lineRule="auto"/>
              <w:ind w:firstLine="0" w:firstLineChars="0"/>
              <w:rPr>
                <w:snapToGrid w:val="0"/>
                <w:color w:val="0D0D0D" w:themeColor="text1" w:themeTint="F2"/>
                <w:sz w:val="21"/>
                <w:szCs w:val="21"/>
                <w:u w:val="single"/>
                <w14:textFill>
                  <w14:solidFill>
                    <w14:schemeClr w14:val="tx1">
                      <w14:lumMod w14:val="95000"/>
                      <w14:lumOff w14:val="5000"/>
                    </w14:schemeClr>
                  </w14:solidFill>
                </w14:textFill>
              </w:rPr>
            </w:pPr>
            <w:r>
              <w:rPr>
                <w:snapToGrid w:val="0"/>
                <w:color w:val="0D0D0D" w:themeColor="text1" w:themeTint="F2"/>
                <w:sz w:val="21"/>
                <w:szCs w:val="21"/>
                <w:u w:val="single"/>
                <w14:textFill>
                  <w14:solidFill>
                    <w14:schemeClr w14:val="tx1">
                      <w14:lumMod w14:val="95000"/>
                      <w14:lumOff w14:val="5000"/>
                    </w14:schemeClr>
                  </w14:solidFill>
                </w14:textFill>
              </w:rPr>
              <w:t>臭气浓度</w:t>
            </w:r>
          </w:p>
        </w:tc>
        <w:tc>
          <w:tcPr>
            <w:tcW w:w="2516" w:type="pct"/>
            <w:vAlign w:val="center"/>
          </w:tcPr>
          <w:p w14:paraId="69AF38C2">
            <w:pPr>
              <w:pStyle w:val="57"/>
              <w:spacing w:line="240" w:lineRule="auto"/>
              <w:ind w:firstLine="0" w:firstLineChars="0"/>
              <w:rPr>
                <w:snapToGrid w:val="0"/>
                <w:color w:val="0D0D0D" w:themeColor="text1" w:themeTint="F2"/>
                <w:sz w:val="21"/>
                <w:szCs w:val="21"/>
                <w:u w:val="single"/>
                <w14:textFill>
                  <w14:solidFill>
                    <w14:schemeClr w14:val="tx1">
                      <w14:lumMod w14:val="95000"/>
                      <w14:lumOff w14:val="5000"/>
                    </w14:schemeClr>
                  </w14:solidFill>
                </w14:textFill>
              </w:rPr>
            </w:pPr>
            <w:r>
              <w:rPr>
                <w:snapToGrid w:val="0"/>
                <w:color w:val="0D0D0D" w:themeColor="text1" w:themeTint="F2"/>
                <w:sz w:val="21"/>
                <w:szCs w:val="21"/>
                <w:u w:val="single"/>
                <w14:textFill>
                  <w14:solidFill>
                    <w14:schemeClr w14:val="tx1">
                      <w14:lumMod w14:val="95000"/>
                      <w14:lumOff w14:val="5000"/>
                    </w14:schemeClr>
                  </w14:solidFill>
                </w14:textFill>
              </w:rPr>
              <w:t>20</w:t>
            </w:r>
            <w:r>
              <w:rPr>
                <w:rFonts w:hint="eastAsia"/>
                <w:snapToGrid w:val="0"/>
                <w:color w:val="0D0D0D" w:themeColor="text1" w:themeTint="F2"/>
                <w:sz w:val="21"/>
                <w:szCs w:val="21"/>
                <w:u w:val="single"/>
                <w14:textFill>
                  <w14:solidFill>
                    <w14:schemeClr w14:val="tx1">
                      <w14:lumMod w14:val="95000"/>
                      <w14:lumOff w14:val="5000"/>
                    </w14:schemeClr>
                  </w14:solidFill>
                </w14:textFill>
              </w:rPr>
              <w:t>（</w:t>
            </w:r>
            <w:r>
              <w:rPr>
                <w:snapToGrid w:val="0"/>
                <w:color w:val="0D0D0D" w:themeColor="text1" w:themeTint="F2"/>
                <w:sz w:val="21"/>
                <w:szCs w:val="21"/>
                <w:u w:val="single"/>
                <w14:textFill>
                  <w14:solidFill>
                    <w14:schemeClr w14:val="tx1">
                      <w14:lumMod w14:val="95000"/>
                      <w14:lumOff w14:val="5000"/>
                    </w14:schemeClr>
                  </w14:solidFill>
                </w14:textFill>
              </w:rPr>
              <w:t>无量纲</w:t>
            </w:r>
            <w:r>
              <w:rPr>
                <w:rFonts w:hint="eastAsia"/>
                <w:snapToGrid w:val="0"/>
                <w:color w:val="0D0D0D" w:themeColor="text1" w:themeTint="F2"/>
                <w:sz w:val="21"/>
                <w:szCs w:val="21"/>
                <w:u w:val="single"/>
                <w14:textFill>
                  <w14:solidFill>
                    <w14:schemeClr w14:val="tx1">
                      <w14:lumMod w14:val="95000"/>
                      <w14:lumOff w14:val="5000"/>
                    </w14:schemeClr>
                  </w14:solidFill>
                </w14:textFill>
              </w:rPr>
              <w:t>）</w:t>
            </w:r>
          </w:p>
        </w:tc>
        <w:tc>
          <w:tcPr>
            <w:tcW w:w="1642" w:type="pct"/>
            <w:vAlign w:val="center"/>
          </w:tcPr>
          <w:p w14:paraId="7561926F">
            <w:pPr>
              <w:pStyle w:val="57"/>
              <w:spacing w:line="240" w:lineRule="auto"/>
              <w:ind w:firstLine="0" w:firstLineChars="0"/>
              <w:rPr>
                <w:snapToGrid w:val="0"/>
                <w:color w:val="0D0D0D" w:themeColor="text1" w:themeTint="F2"/>
                <w:sz w:val="21"/>
                <w:szCs w:val="21"/>
                <w:u w:val="single"/>
                <w14:textFill>
                  <w14:solidFill>
                    <w14:schemeClr w14:val="tx1">
                      <w14:lumMod w14:val="95000"/>
                      <w14:lumOff w14:val="5000"/>
                    </w14:schemeClr>
                  </w14:solidFill>
                </w14:textFill>
              </w:rPr>
            </w:pPr>
            <w:r>
              <w:rPr>
                <w:rFonts w:hint="eastAsia"/>
                <w:snapToGrid w:val="0"/>
                <w:color w:val="0D0D0D" w:themeColor="text1" w:themeTint="F2"/>
                <w:sz w:val="21"/>
                <w:szCs w:val="21"/>
                <w:u w:val="single"/>
                <w14:textFill>
                  <w14:solidFill>
                    <w14:schemeClr w14:val="tx1">
                      <w14:lumMod w14:val="95000"/>
                      <w14:lumOff w14:val="5000"/>
                    </w14:schemeClr>
                  </w14:solidFill>
                </w14:textFill>
              </w:rPr>
              <w:t>10500（无量纲）</w:t>
            </w:r>
          </w:p>
        </w:tc>
      </w:tr>
      <w:tr w14:paraId="653C9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2" w:type="pct"/>
            <w:vAlign w:val="center"/>
          </w:tcPr>
          <w:p w14:paraId="5631B074">
            <w:pPr>
              <w:pStyle w:val="57"/>
              <w:spacing w:line="240" w:lineRule="auto"/>
              <w:ind w:firstLine="0" w:firstLineChars="0"/>
              <w:rPr>
                <w:snapToGrid w:val="0"/>
                <w:color w:val="0D0D0D" w:themeColor="text1" w:themeTint="F2"/>
                <w:sz w:val="21"/>
                <w:szCs w:val="21"/>
                <w:u w:val="single"/>
                <w14:textFill>
                  <w14:solidFill>
                    <w14:schemeClr w14:val="tx1">
                      <w14:lumMod w14:val="95000"/>
                      <w14:lumOff w14:val="5000"/>
                    </w14:schemeClr>
                  </w14:solidFill>
                </w14:textFill>
              </w:rPr>
            </w:pPr>
            <w:r>
              <w:rPr>
                <w:rFonts w:hint="eastAsia"/>
                <w:snapToGrid w:val="0"/>
                <w:color w:val="0D0D0D" w:themeColor="text1" w:themeTint="F2"/>
                <w:sz w:val="21"/>
                <w:szCs w:val="21"/>
                <w:u w:val="single"/>
                <w14:textFill>
                  <w14:solidFill>
                    <w14:schemeClr w14:val="tx1">
                      <w14:lumMod w14:val="95000"/>
                      <w14:lumOff w14:val="5000"/>
                    </w14:schemeClr>
                  </w14:solidFill>
                </w14:textFill>
              </w:rPr>
              <w:t>氨</w:t>
            </w:r>
          </w:p>
        </w:tc>
        <w:tc>
          <w:tcPr>
            <w:tcW w:w="2516" w:type="pct"/>
            <w:vAlign w:val="center"/>
          </w:tcPr>
          <w:p w14:paraId="1D872900">
            <w:pPr>
              <w:pStyle w:val="57"/>
              <w:spacing w:line="240" w:lineRule="auto"/>
              <w:ind w:firstLine="0" w:firstLineChars="0"/>
              <w:rPr>
                <w:snapToGrid w:val="0"/>
                <w:color w:val="0D0D0D" w:themeColor="text1" w:themeTint="F2"/>
                <w:sz w:val="21"/>
                <w:szCs w:val="21"/>
                <w:u w:val="single"/>
                <w14:textFill>
                  <w14:solidFill>
                    <w14:schemeClr w14:val="tx1">
                      <w14:lumMod w14:val="95000"/>
                      <w14:lumOff w14:val="5000"/>
                    </w14:schemeClr>
                  </w14:solidFill>
                </w14:textFill>
              </w:rPr>
            </w:pPr>
            <w:r>
              <w:rPr>
                <w:rFonts w:hint="eastAsia"/>
                <w:snapToGrid w:val="0"/>
                <w:color w:val="0D0D0D" w:themeColor="text1" w:themeTint="F2"/>
                <w:sz w:val="21"/>
                <w:szCs w:val="21"/>
                <w:u w:val="single"/>
                <w14:textFill>
                  <w14:solidFill>
                    <w14:schemeClr w14:val="tx1">
                      <w14:lumMod w14:val="95000"/>
                      <w14:lumOff w14:val="5000"/>
                    </w14:schemeClr>
                  </w14:solidFill>
                </w14:textFill>
              </w:rPr>
              <w:t>1.5mg/m</w:t>
            </w:r>
            <w:r>
              <w:rPr>
                <w:rFonts w:hint="eastAsia"/>
                <w:snapToGrid w:val="0"/>
                <w:color w:val="0D0D0D" w:themeColor="text1" w:themeTint="F2"/>
                <w:sz w:val="21"/>
                <w:szCs w:val="21"/>
                <w:u w:val="single"/>
                <w:vertAlign w:val="superscript"/>
                <w14:textFill>
                  <w14:solidFill>
                    <w14:schemeClr w14:val="tx1">
                      <w14:lumMod w14:val="95000"/>
                      <w14:lumOff w14:val="5000"/>
                    </w14:schemeClr>
                  </w14:solidFill>
                </w14:textFill>
              </w:rPr>
              <w:t>3</w:t>
            </w:r>
          </w:p>
        </w:tc>
        <w:tc>
          <w:tcPr>
            <w:tcW w:w="1642" w:type="pct"/>
            <w:vAlign w:val="center"/>
          </w:tcPr>
          <w:p w14:paraId="77B052E4">
            <w:pPr>
              <w:pStyle w:val="57"/>
              <w:spacing w:line="240" w:lineRule="auto"/>
              <w:ind w:firstLine="0" w:firstLineChars="0"/>
              <w:rPr>
                <w:snapToGrid w:val="0"/>
                <w:color w:val="0D0D0D" w:themeColor="text1" w:themeTint="F2"/>
                <w:sz w:val="21"/>
                <w:szCs w:val="21"/>
                <w:u w:val="single"/>
                <w14:textFill>
                  <w14:solidFill>
                    <w14:schemeClr w14:val="tx1">
                      <w14:lumMod w14:val="95000"/>
                      <w14:lumOff w14:val="5000"/>
                    </w14:schemeClr>
                  </w14:solidFill>
                </w14:textFill>
              </w:rPr>
            </w:pPr>
            <w:r>
              <w:rPr>
                <w:rFonts w:hint="eastAsia"/>
                <w:snapToGrid w:val="0"/>
                <w:color w:val="0D0D0D" w:themeColor="text1" w:themeTint="F2"/>
                <w:sz w:val="21"/>
                <w:szCs w:val="21"/>
                <w:u w:val="single"/>
                <w14:textFill>
                  <w14:solidFill>
                    <w14:schemeClr w14:val="tx1">
                      <w14:lumMod w14:val="95000"/>
                      <w14:lumOff w14:val="5000"/>
                    </w14:schemeClr>
                  </w14:solidFill>
                </w14:textFill>
              </w:rPr>
              <w:t>20kg/h</w:t>
            </w:r>
          </w:p>
        </w:tc>
      </w:tr>
      <w:tr w14:paraId="67577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2" w:type="pct"/>
            <w:vAlign w:val="center"/>
          </w:tcPr>
          <w:p w14:paraId="61C92572">
            <w:pPr>
              <w:pStyle w:val="57"/>
              <w:spacing w:line="240" w:lineRule="auto"/>
              <w:ind w:firstLine="0" w:firstLineChars="0"/>
              <w:rPr>
                <w:snapToGrid w:val="0"/>
                <w:color w:val="0D0D0D" w:themeColor="text1" w:themeTint="F2"/>
                <w:sz w:val="21"/>
                <w:szCs w:val="21"/>
                <w:u w:val="single"/>
                <w14:textFill>
                  <w14:solidFill>
                    <w14:schemeClr w14:val="tx1">
                      <w14:lumMod w14:val="95000"/>
                      <w14:lumOff w14:val="5000"/>
                    </w14:schemeClr>
                  </w14:solidFill>
                </w14:textFill>
              </w:rPr>
            </w:pPr>
            <w:r>
              <w:rPr>
                <w:rFonts w:hint="eastAsia"/>
                <w:snapToGrid w:val="0"/>
                <w:color w:val="0D0D0D" w:themeColor="text1" w:themeTint="F2"/>
                <w:sz w:val="21"/>
                <w:szCs w:val="21"/>
                <w:u w:val="single"/>
                <w14:textFill>
                  <w14:solidFill>
                    <w14:schemeClr w14:val="tx1">
                      <w14:lumMod w14:val="95000"/>
                      <w14:lumOff w14:val="5000"/>
                    </w14:schemeClr>
                  </w14:solidFill>
                </w14:textFill>
              </w:rPr>
              <w:t>硫化氢</w:t>
            </w:r>
          </w:p>
        </w:tc>
        <w:tc>
          <w:tcPr>
            <w:tcW w:w="2516" w:type="pct"/>
            <w:vAlign w:val="center"/>
          </w:tcPr>
          <w:p w14:paraId="4BF3E9A7">
            <w:pPr>
              <w:pStyle w:val="57"/>
              <w:spacing w:line="240" w:lineRule="auto"/>
              <w:ind w:firstLine="0" w:firstLineChars="0"/>
              <w:rPr>
                <w:snapToGrid w:val="0"/>
                <w:color w:val="0D0D0D" w:themeColor="text1" w:themeTint="F2"/>
                <w:sz w:val="21"/>
                <w:szCs w:val="21"/>
                <w:u w:val="single"/>
                <w14:textFill>
                  <w14:solidFill>
                    <w14:schemeClr w14:val="tx1">
                      <w14:lumMod w14:val="95000"/>
                      <w14:lumOff w14:val="5000"/>
                    </w14:schemeClr>
                  </w14:solidFill>
                </w14:textFill>
              </w:rPr>
            </w:pPr>
            <w:r>
              <w:rPr>
                <w:rFonts w:hint="eastAsia"/>
                <w:snapToGrid w:val="0"/>
                <w:color w:val="0D0D0D" w:themeColor="text1" w:themeTint="F2"/>
                <w:sz w:val="21"/>
                <w:szCs w:val="21"/>
                <w:u w:val="single"/>
                <w14:textFill>
                  <w14:solidFill>
                    <w14:schemeClr w14:val="tx1">
                      <w14:lumMod w14:val="95000"/>
                      <w14:lumOff w14:val="5000"/>
                    </w14:schemeClr>
                  </w14:solidFill>
                </w14:textFill>
              </w:rPr>
              <w:t>1.5mg/m</w:t>
            </w:r>
            <w:r>
              <w:rPr>
                <w:rFonts w:hint="eastAsia"/>
                <w:snapToGrid w:val="0"/>
                <w:color w:val="0D0D0D" w:themeColor="text1" w:themeTint="F2"/>
                <w:sz w:val="21"/>
                <w:szCs w:val="21"/>
                <w:u w:val="single"/>
                <w:vertAlign w:val="superscript"/>
                <w14:textFill>
                  <w14:solidFill>
                    <w14:schemeClr w14:val="tx1">
                      <w14:lumMod w14:val="95000"/>
                      <w14:lumOff w14:val="5000"/>
                    </w14:schemeClr>
                  </w14:solidFill>
                </w14:textFill>
              </w:rPr>
              <w:t>3</w:t>
            </w:r>
          </w:p>
        </w:tc>
        <w:tc>
          <w:tcPr>
            <w:tcW w:w="1642" w:type="pct"/>
            <w:vAlign w:val="center"/>
          </w:tcPr>
          <w:p w14:paraId="51111445">
            <w:pPr>
              <w:pStyle w:val="57"/>
              <w:spacing w:line="240" w:lineRule="auto"/>
              <w:ind w:firstLine="0" w:firstLineChars="0"/>
              <w:rPr>
                <w:snapToGrid w:val="0"/>
                <w:color w:val="0D0D0D" w:themeColor="text1" w:themeTint="F2"/>
                <w:sz w:val="21"/>
                <w:szCs w:val="21"/>
                <w:u w:val="single"/>
                <w14:textFill>
                  <w14:solidFill>
                    <w14:schemeClr w14:val="tx1">
                      <w14:lumMod w14:val="95000"/>
                      <w14:lumOff w14:val="5000"/>
                    </w14:schemeClr>
                  </w14:solidFill>
                </w14:textFill>
              </w:rPr>
            </w:pPr>
            <w:r>
              <w:rPr>
                <w:rFonts w:hint="eastAsia"/>
                <w:snapToGrid w:val="0"/>
                <w:color w:val="0D0D0D" w:themeColor="text1" w:themeTint="F2"/>
                <w:sz w:val="21"/>
                <w:szCs w:val="21"/>
                <w:u w:val="single"/>
                <w14:textFill>
                  <w14:solidFill>
                    <w14:schemeClr w14:val="tx1">
                      <w14:lumMod w14:val="95000"/>
                      <w14:lumOff w14:val="5000"/>
                    </w14:schemeClr>
                  </w14:solidFill>
                </w14:textFill>
              </w:rPr>
              <w:t>1.3kg/h</w:t>
            </w:r>
          </w:p>
        </w:tc>
      </w:tr>
      <w:tr w14:paraId="62D68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3"/>
            <w:vAlign w:val="center"/>
          </w:tcPr>
          <w:p w14:paraId="0F7DA95A">
            <w:pPr>
              <w:pStyle w:val="57"/>
              <w:spacing w:line="240" w:lineRule="auto"/>
              <w:ind w:firstLine="0" w:firstLineChars="0"/>
              <w:jc w:val="both"/>
              <w:rPr>
                <w:snapToGrid w:val="0"/>
                <w:color w:val="0D0D0D" w:themeColor="text1" w:themeTint="F2"/>
                <w:sz w:val="21"/>
                <w:szCs w:val="21"/>
                <w:u w:val="single"/>
                <w14:textFill>
                  <w14:solidFill>
                    <w14:schemeClr w14:val="tx1">
                      <w14:lumMod w14:val="95000"/>
                      <w14:lumOff w14:val="5000"/>
                    </w14:schemeClr>
                  </w14:solidFill>
                </w14:textFill>
              </w:rPr>
            </w:pPr>
            <w:r>
              <w:rPr>
                <w:rFonts w:hint="eastAsia"/>
                <w:snapToGrid w:val="0"/>
                <w:color w:val="0D0D0D" w:themeColor="text1" w:themeTint="F2"/>
                <w:sz w:val="21"/>
                <w:szCs w:val="21"/>
                <w:u w:val="single"/>
                <w14:textFill>
                  <w14:solidFill>
                    <w14:schemeClr w14:val="tx1">
                      <w14:lumMod w14:val="95000"/>
                      <w14:lumOff w14:val="5000"/>
                    </w14:schemeClr>
                  </w14:solidFill>
                </w14:textFill>
              </w:rPr>
              <w:t>注：由于30m排气筒无臭气浓度排放限值，本次评价通过内插法求得。</w:t>
            </w:r>
          </w:p>
        </w:tc>
      </w:tr>
    </w:tbl>
    <w:p w14:paraId="63284A67">
      <w:pPr>
        <w:pStyle w:val="11"/>
      </w:pPr>
      <w:r>
        <w:rPr>
          <w:rFonts w:hint="eastAsia"/>
        </w:rPr>
        <w:t xml:space="preserve"> 《挥发性有机物无组织排放控制标准》（摘录）  单位：</w:t>
      </w:r>
      <w:r>
        <w:t>mg/m</w:t>
      </w:r>
      <w:r>
        <w:rPr>
          <w:vertAlign w:val="superscript"/>
        </w:rPr>
        <w:t>3</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8"/>
        <w:gridCol w:w="1159"/>
        <w:gridCol w:w="1617"/>
        <w:gridCol w:w="2769"/>
        <w:gridCol w:w="2309"/>
      </w:tblGrid>
      <w:tr w14:paraId="381B1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1" w:type="pct"/>
            <w:vAlign w:val="center"/>
          </w:tcPr>
          <w:p w14:paraId="7CD0C3FE">
            <w:pPr>
              <w:tabs>
                <w:tab w:val="left" w:pos="1021"/>
              </w:tabs>
              <w:spacing w:line="240" w:lineRule="auto"/>
              <w:jc w:val="cente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position w:val="-24"/>
                <w:sz w:val="21"/>
                <w:szCs w:val="21"/>
                <w:u w:val="single"/>
                <w14:textFill>
                  <w14:solidFill>
                    <w14:schemeClr w14:val="tx1">
                      <w14:lumMod w14:val="95000"/>
                      <w14:lumOff w14:val="5000"/>
                    </w14:schemeClr>
                  </w14:solidFill>
                </w14:textFill>
              </w:rPr>
              <w:t>污染物项目</w:t>
            </w:r>
          </w:p>
        </w:tc>
        <w:tc>
          <w:tcPr>
            <w:tcW w:w="627" w:type="pct"/>
            <w:vAlign w:val="center"/>
          </w:tcPr>
          <w:p w14:paraId="6FFBF0EA">
            <w:pPr>
              <w:tabs>
                <w:tab w:val="left" w:pos="1021"/>
              </w:tabs>
              <w:spacing w:line="240" w:lineRule="auto"/>
              <w:jc w:val="cente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position w:val="-24"/>
                <w:sz w:val="21"/>
                <w:szCs w:val="21"/>
                <w:u w:val="single"/>
                <w14:textFill>
                  <w14:solidFill>
                    <w14:schemeClr w14:val="tx1">
                      <w14:lumMod w14:val="95000"/>
                      <w14:lumOff w14:val="5000"/>
                    </w14:schemeClr>
                  </w14:solidFill>
                </w14:textFill>
              </w:rPr>
              <w:t>排放限值</w:t>
            </w:r>
          </w:p>
        </w:tc>
        <w:tc>
          <w:tcPr>
            <w:tcW w:w="875" w:type="pct"/>
            <w:vAlign w:val="center"/>
          </w:tcPr>
          <w:p w14:paraId="2F5634C6">
            <w:pPr>
              <w:tabs>
                <w:tab w:val="left" w:pos="1021"/>
              </w:tabs>
              <w:spacing w:line="240" w:lineRule="auto"/>
              <w:jc w:val="cente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position w:val="-24"/>
                <w:sz w:val="21"/>
                <w:szCs w:val="21"/>
                <w:u w:val="single"/>
                <w14:textFill>
                  <w14:solidFill>
                    <w14:schemeClr w14:val="tx1">
                      <w14:lumMod w14:val="95000"/>
                      <w14:lumOff w14:val="5000"/>
                    </w14:schemeClr>
                  </w14:solidFill>
                </w14:textFill>
              </w:rPr>
              <w:t>特别排放限值</w:t>
            </w:r>
          </w:p>
        </w:tc>
        <w:tc>
          <w:tcPr>
            <w:tcW w:w="1498" w:type="pct"/>
            <w:vAlign w:val="center"/>
          </w:tcPr>
          <w:p w14:paraId="19335BD6">
            <w:pPr>
              <w:tabs>
                <w:tab w:val="left" w:pos="1021"/>
              </w:tabs>
              <w:spacing w:line="240" w:lineRule="auto"/>
              <w:jc w:val="cente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position w:val="-24"/>
                <w:sz w:val="21"/>
                <w:szCs w:val="21"/>
                <w:u w:val="single"/>
                <w14:textFill>
                  <w14:solidFill>
                    <w14:schemeClr w14:val="tx1">
                      <w14:lumMod w14:val="95000"/>
                      <w14:lumOff w14:val="5000"/>
                    </w14:schemeClr>
                  </w14:solidFill>
                </w14:textFill>
              </w:rPr>
              <w:t>限值含义</w:t>
            </w:r>
          </w:p>
        </w:tc>
        <w:tc>
          <w:tcPr>
            <w:tcW w:w="1249" w:type="pct"/>
            <w:vAlign w:val="center"/>
          </w:tcPr>
          <w:p w14:paraId="6256D44B">
            <w:pPr>
              <w:tabs>
                <w:tab w:val="left" w:pos="1021"/>
              </w:tabs>
              <w:spacing w:line="240" w:lineRule="auto"/>
              <w:jc w:val="cente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position w:val="-24"/>
                <w:sz w:val="21"/>
                <w:szCs w:val="21"/>
                <w:u w:val="single"/>
                <w14:textFill>
                  <w14:solidFill>
                    <w14:schemeClr w14:val="tx1">
                      <w14:lumMod w14:val="95000"/>
                      <w14:lumOff w14:val="5000"/>
                    </w14:schemeClr>
                  </w14:solidFill>
                </w14:textFill>
              </w:rPr>
              <w:t>无组织排放监控位置</w:t>
            </w:r>
          </w:p>
        </w:tc>
      </w:tr>
      <w:tr w14:paraId="540D8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1" w:type="pct"/>
            <w:vMerge w:val="restart"/>
            <w:vAlign w:val="center"/>
          </w:tcPr>
          <w:p w14:paraId="02BCEEBD">
            <w:pPr>
              <w:tabs>
                <w:tab w:val="left" w:pos="1021"/>
              </w:tabs>
              <w:spacing w:line="240" w:lineRule="auto"/>
              <w:jc w:val="cente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position w:val="-24"/>
                <w:sz w:val="21"/>
                <w:szCs w:val="21"/>
                <w:u w:val="single"/>
                <w14:textFill>
                  <w14:solidFill>
                    <w14:schemeClr w14:val="tx1">
                      <w14:lumMod w14:val="95000"/>
                      <w14:lumOff w14:val="5000"/>
                    </w14:schemeClr>
                  </w14:solidFill>
                </w14:textFill>
              </w:rPr>
              <w:t>非甲烷总烃</w:t>
            </w:r>
          </w:p>
        </w:tc>
        <w:tc>
          <w:tcPr>
            <w:tcW w:w="627" w:type="pct"/>
            <w:vAlign w:val="center"/>
          </w:tcPr>
          <w:p w14:paraId="251F70E6">
            <w:pPr>
              <w:tabs>
                <w:tab w:val="left" w:pos="1021"/>
              </w:tabs>
              <w:spacing w:line="240" w:lineRule="auto"/>
              <w:jc w:val="cente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position w:val="-24"/>
                <w:sz w:val="21"/>
                <w:szCs w:val="21"/>
                <w:u w:val="single"/>
                <w14:textFill>
                  <w14:solidFill>
                    <w14:schemeClr w14:val="tx1">
                      <w14:lumMod w14:val="95000"/>
                      <w14:lumOff w14:val="5000"/>
                    </w14:schemeClr>
                  </w14:solidFill>
                </w14:textFill>
              </w:rPr>
              <w:t>1</w:t>
            </w:r>
            <w: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t>0</w:t>
            </w:r>
          </w:p>
        </w:tc>
        <w:tc>
          <w:tcPr>
            <w:tcW w:w="875" w:type="pct"/>
            <w:vAlign w:val="center"/>
          </w:tcPr>
          <w:p w14:paraId="423AEFCA">
            <w:pPr>
              <w:tabs>
                <w:tab w:val="left" w:pos="1021"/>
              </w:tabs>
              <w:spacing w:line="240" w:lineRule="auto"/>
              <w:jc w:val="cente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position w:val="-24"/>
                <w:sz w:val="21"/>
                <w:szCs w:val="21"/>
                <w:u w:val="single"/>
                <w14:textFill>
                  <w14:solidFill>
                    <w14:schemeClr w14:val="tx1">
                      <w14:lumMod w14:val="95000"/>
                      <w14:lumOff w14:val="5000"/>
                    </w14:schemeClr>
                  </w14:solidFill>
                </w14:textFill>
              </w:rPr>
              <w:t>6</w:t>
            </w:r>
          </w:p>
        </w:tc>
        <w:tc>
          <w:tcPr>
            <w:tcW w:w="1498" w:type="pct"/>
            <w:vAlign w:val="center"/>
          </w:tcPr>
          <w:p w14:paraId="6A0DE6C1">
            <w:pPr>
              <w:tabs>
                <w:tab w:val="left" w:pos="1021"/>
              </w:tabs>
              <w:spacing w:line="240" w:lineRule="auto"/>
              <w:jc w:val="cente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position w:val="-24"/>
                <w:sz w:val="21"/>
                <w:szCs w:val="21"/>
                <w:u w:val="single"/>
                <w14:textFill>
                  <w14:solidFill>
                    <w14:schemeClr w14:val="tx1">
                      <w14:lumMod w14:val="95000"/>
                      <w14:lumOff w14:val="5000"/>
                    </w14:schemeClr>
                  </w14:solidFill>
                </w14:textFill>
              </w:rPr>
              <w:t>监控点处1</w:t>
            </w:r>
            <w: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t>h</w:t>
            </w:r>
            <w:r>
              <w:rPr>
                <w:rFonts w:hint="eastAsia" w:cs="Times New Roman"/>
                <w:color w:val="0D0D0D" w:themeColor="text1" w:themeTint="F2"/>
                <w:kern w:val="0"/>
                <w:position w:val="-24"/>
                <w:sz w:val="21"/>
                <w:szCs w:val="21"/>
                <w:u w:val="single"/>
                <w14:textFill>
                  <w14:solidFill>
                    <w14:schemeClr w14:val="tx1">
                      <w14:lumMod w14:val="95000"/>
                      <w14:lumOff w14:val="5000"/>
                    </w14:schemeClr>
                  </w14:solidFill>
                </w14:textFill>
              </w:rPr>
              <w:t>平均浓度值</w:t>
            </w:r>
          </w:p>
        </w:tc>
        <w:tc>
          <w:tcPr>
            <w:tcW w:w="1249" w:type="pct"/>
            <w:vMerge w:val="restart"/>
            <w:vAlign w:val="center"/>
          </w:tcPr>
          <w:p w14:paraId="325A7A2B">
            <w:pPr>
              <w:tabs>
                <w:tab w:val="left" w:pos="1021"/>
              </w:tabs>
              <w:spacing w:line="240" w:lineRule="auto"/>
              <w:jc w:val="cente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position w:val="-24"/>
                <w:sz w:val="21"/>
                <w:szCs w:val="21"/>
                <w:u w:val="single"/>
                <w14:textFill>
                  <w14:solidFill>
                    <w14:schemeClr w14:val="tx1">
                      <w14:lumMod w14:val="95000"/>
                      <w14:lumOff w14:val="5000"/>
                    </w14:schemeClr>
                  </w14:solidFill>
                </w14:textFill>
              </w:rPr>
              <w:t>在厂房外设置监控点</w:t>
            </w:r>
          </w:p>
        </w:tc>
      </w:tr>
      <w:tr w14:paraId="727BD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1" w:type="pct"/>
            <w:vMerge w:val="continue"/>
            <w:vAlign w:val="center"/>
          </w:tcPr>
          <w:p w14:paraId="260E8FB1">
            <w:pPr>
              <w:tabs>
                <w:tab w:val="left" w:pos="1021"/>
              </w:tabs>
              <w:spacing w:line="240" w:lineRule="auto"/>
              <w:jc w:val="cente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pPr>
          </w:p>
        </w:tc>
        <w:tc>
          <w:tcPr>
            <w:tcW w:w="627" w:type="pct"/>
            <w:vAlign w:val="center"/>
          </w:tcPr>
          <w:p w14:paraId="17AB46C8">
            <w:pPr>
              <w:tabs>
                <w:tab w:val="left" w:pos="1021"/>
              </w:tabs>
              <w:spacing w:line="240" w:lineRule="auto"/>
              <w:jc w:val="cente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position w:val="-24"/>
                <w:sz w:val="21"/>
                <w:szCs w:val="21"/>
                <w:u w:val="single"/>
                <w14:textFill>
                  <w14:solidFill>
                    <w14:schemeClr w14:val="tx1">
                      <w14:lumMod w14:val="95000"/>
                      <w14:lumOff w14:val="5000"/>
                    </w14:schemeClr>
                  </w14:solidFill>
                </w14:textFill>
              </w:rPr>
              <w:t>3</w:t>
            </w:r>
            <w: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t>0</w:t>
            </w:r>
          </w:p>
        </w:tc>
        <w:tc>
          <w:tcPr>
            <w:tcW w:w="875" w:type="pct"/>
            <w:vAlign w:val="center"/>
          </w:tcPr>
          <w:p w14:paraId="20C71317">
            <w:pPr>
              <w:tabs>
                <w:tab w:val="left" w:pos="1021"/>
              </w:tabs>
              <w:spacing w:line="240" w:lineRule="auto"/>
              <w:jc w:val="cente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position w:val="-24"/>
                <w:sz w:val="21"/>
                <w:szCs w:val="21"/>
                <w:u w:val="single"/>
                <w14:textFill>
                  <w14:solidFill>
                    <w14:schemeClr w14:val="tx1">
                      <w14:lumMod w14:val="95000"/>
                      <w14:lumOff w14:val="5000"/>
                    </w14:schemeClr>
                  </w14:solidFill>
                </w14:textFill>
              </w:rPr>
              <w:t>2</w:t>
            </w:r>
            <w: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t>0</w:t>
            </w:r>
          </w:p>
        </w:tc>
        <w:tc>
          <w:tcPr>
            <w:tcW w:w="1498" w:type="pct"/>
            <w:vAlign w:val="center"/>
          </w:tcPr>
          <w:p w14:paraId="1034282F">
            <w:pPr>
              <w:tabs>
                <w:tab w:val="left" w:pos="1021"/>
              </w:tabs>
              <w:spacing w:line="240" w:lineRule="auto"/>
              <w:jc w:val="cente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position w:val="-24"/>
                <w:sz w:val="21"/>
                <w:szCs w:val="21"/>
                <w:u w:val="single"/>
                <w14:textFill>
                  <w14:solidFill>
                    <w14:schemeClr w14:val="tx1">
                      <w14:lumMod w14:val="95000"/>
                      <w14:lumOff w14:val="5000"/>
                    </w14:schemeClr>
                  </w14:solidFill>
                </w14:textFill>
              </w:rPr>
              <w:t>监控点处任意一次浓度值</w:t>
            </w:r>
          </w:p>
        </w:tc>
        <w:tc>
          <w:tcPr>
            <w:tcW w:w="1249" w:type="pct"/>
            <w:vMerge w:val="continue"/>
            <w:vAlign w:val="center"/>
          </w:tcPr>
          <w:p w14:paraId="3BF649D9">
            <w:pPr>
              <w:tabs>
                <w:tab w:val="left" w:pos="1021"/>
              </w:tabs>
              <w:spacing w:line="240" w:lineRule="auto"/>
              <w:jc w:val="center"/>
              <w:rPr>
                <w:rFonts w:cs="Times New Roman"/>
                <w:color w:val="0D0D0D" w:themeColor="text1" w:themeTint="F2"/>
                <w:kern w:val="0"/>
                <w:position w:val="-24"/>
                <w:sz w:val="21"/>
                <w:szCs w:val="21"/>
                <w:u w:val="single"/>
                <w14:textFill>
                  <w14:solidFill>
                    <w14:schemeClr w14:val="tx1">
                      <w14:lumMod w14:val="95000"/>
                      <w14:lumOff w14:val="5000"/>
                    </w14:schemeClr>
                  </w14:solidFill>
                </w14:textFill>
              </w:rPr>
            </w:pPr>
          </w:p>
        </w:tc>
      </w:tr>
    </w:tbl>
    <w:p w14:paraId="150882F9">
      <w:pPr>
        <w:pStyle w:val="11"/>
      </w:pPr>
      <w:r>
        <w:rPr>
          <w:rFonts w:hint="eastAsia"/>
        </w:rPr>
        <w:t xml:space="preserve"> 《饮食业油烟排放标准（试行）》（摘录）</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16"/>
        <w:gridCol w:w="1625"/>
        <w:gridCol w:w="1625"/>
        <w:gridCol w:w="1076"/>
      </w:tblGrid>
      <w:tr w14:paraId="2C439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60" w:type="pct"/>
            <w:vAlign w:val="center"/>
          </w:tcPr>
          <w:p w14:paraId="23AC02DE">
            <w:pPr>
              <w:tabs>
                <w:tab w:val="left" w:pos="1021"/>
              </w:tabs>
              <w:spacing w:line="240" w:lineRule="auto"/>
              <w:jc w:val="center"/>
              <w:rPr>
                <w:rFonts w:cs="Times New Roman"/>
                <w:color w:val="0D0D0D" w:themeColor="text1" w:themeTint="F2"/>
                <w:kern w:val="0"/>
                <w:position w:val="-24"/>
                <w:sz w:val="21"/>
                <w:szCs w:val="21"/>
                <w14:textFill>
                  <w14:solidFill>
                    <w14:schemeClr w14:val="tx1">
                      <w14:lumMod w14:val="95000"/>
                      <w14:lumOff w14:val="5000"/>
                    </w14:schemeClr>
                  </w14:solidFill>
                </w14:textFill>
              </w:rPr>
            </w:pPr>
            <w:r>
              <w:rPr>
                <w:rFonts w:cs="Times New Roman"/>
                <w:color w:val="0D0D0D" w:themeColor="text1" w:themeTint="F2"/>
                <w:kern w:val="0"/>
                <w:position w:val="-24"/>
                <w:sz w:val="21"/>
                <w:szCs w:val="21"/>
                <w14:textFill>
                  <w14:solidFill>
                    <w14:schemeClr w14:val="tx1">
                      <w14:lumMod w14:val="95000"/>
                      <w14:lumOff w14:val="5000"/>
                    </w14:schemeClr>
                  </w14:solidFill>
                </w14:textFill>
              </w:rPr>
              <w:t>规模</w:t>
            </w:r>
          </w:p>
        </w:tc>
        <w:tc>
          <w:tcPr>
            <w:tcW w:w="879" w:type="pct"/>
            <w:vAlign w:val="center"/>
          </w:tcPr>
          <w:p w14:paraId="18F6BC9E">
            <w:pPr>
              <w:tabs>
                <w:tab w:val="left" w:pos="1021"/>
              </w:tabs>
              <w:spacing w:line="240" w:lineRule="auto"/>
              <w:jc w:val="center"/>
              <w:rPr>
                <w:rFonts w:cs="Times New Roman"/>
                <w:color w:val="0D0D0D" w:themeColor="text1" w:themeTint="F2"/>
                <w:kern w:val="0"/>
                <w:position w:val="-24"/>
                <w:sz w:val="21"/>
                <w:szCs w:val="21"/>
                <w14:textFill>
                  <w14:solidFill>
                    <w14:schemeClr w14:val="tx1">
                      <w14:lumMod w14:val="95000"/>
                      <w14:lumOff w14:val="5000"/>
                    </w14:schemeClr>
                  </w14:solidFill>
                </w14:textFill>
              </w:rPr>
            </w:pPr>
            <w:r>
              <w:rPr>
                <w:rFonts w:cs="Times New Roman"/>
                <w:color w:val="0D0D0D" w:themeColor="text1" w:themeTint="F2"/>
                <w:kern w:val="0"/>
                <w:position w:val="-24"/>
                <w:sz w:val="21"/>
                <w:szCs w:val="21"/>
                <w14:textFill>
                  <w14:solidFill>
                    <w14:schemeClr w14:val="tx1">
                      <w14:lumMod w14:val="95000"/>
                      <w14:lumOff w14:val="5000"/>
                    </w14:schemeClr>
                  </w14:solidFill>
                </w14:textFill>
              </w:rPr>
              <w:t>小型</w:t>
            </w:r>
          </w:p>
        </w:tc>
        <w:tc>
          <w:tcPr>
            <w:tcW w:w="879" w:type="pct"/>
            <w:vAlign w:val="center"/>
          </w:tcPr>
          <w:p w14:paraId="4CAEB531">
            <w:pPr>
              <w:tabs>
                <w:tab w:val="left" w:pos="1021"/>
              </w:tabs>
              <w:spacing w:line="240" w:lineRule="auto"/>
              <w:jc w:val="center"/>
              <w:rPr>
                <w:rFonts w:cs="Times New Roman"/>
                <w:color w:val="0D0D0D" w:themeColor="text1" w:themeTint="F2"/>
                <w:kern w:val="0"/>
                <w:position w:val="-24"/>
                <w:sz w:val="21"/>
                <w:szCs w:val="21"/>
                <w14:textFill>
                  <w14:solidFill>
                    <w14:schemeClr w14:val="tx1">
                      <w14:lumMod w14:val="95000"/>
                      <w14:lumOff w14:val="5000"/>
                    </w14:schemeClr>
                  </w14:solidFill>
                </w14:textFill>
              </w:rPr>
            </w:pPr>
            <w:r>
              <w:rPr>
                <w:rFonts w:cs="Times New Roman"/>
                <w:color w:val="0D0D0D" w:themeColor="text1" w:themeTint="F2"/>
                <w:kern w:val="0"/>
                <w:position w:val="-24"/>
                <w:sz w:val="21"/>
                <w:szCs w:val="21"/>
                <w14:textFill>
                  <w14:solidFill>
                    <w14:schemeClr w14:val="tx1">
                      <w14:lumMod w14:val="95000"/>
                      <w14:lumOff w14:val="5000"/>
                    </w14:schemeClr>
                  </w14:solidFill>
                </w14:textFill>
              </w:rPr>
              <w:t>中型</w:t>
            </w:r>
          </w:p>
        </w:tc>
        <w:tc>
          <w:tcPr>
            <w:tcW w:w="581" w:type="pct"/>
            <w:vAlign w:val="center"/>
          </w:tcPr>
          <w:p w14:paraId="6569F0B1">
            <w:pPr>
              <w:tabs>
                <w:tab w:val="left" w:pos="1021"/>
              </w:tabs>
              <w:spacing w:line="240" w:lineRule="auto"/>
              <w:jc w:val="center"/>
              <w:rPr>
                <w:rFonts w:cs="Times New Roman"/>
                <w:color w:val="0D0D0D" w:themeColor="text1" w:themeTint="F2"/>
                <w:kern w:val="0"/>
                <w:position w:val="-24"/>
                <w:sz w:val="21"/>
                <w:szCs w:val="21"/>
                <w14:textFill>
                  <w14:solidFill>
                    <w14:schemeClr w14:val="tx1">
                      <w14:lumMod w14:val="95000"/>
                      <w14:lumOff w14:val="5000"/>
                    </w14:schemeClr>
                  </w14:solidFill>
                </w14:textFill>
              </w:rPr>
            </w:pPr>
            <w:r>
              <w:rPr>
                <w:rFonts w:cs="Times New Roman"/>
                <w:color w:val="0D0D0D" w:themeColor="text1" w:themeTint="F2"/>
                <w:kern w:val="0"/>
                <w:position w:val="-24"/>
                <w:sz w:val="21"/>
                <w:szCs w:val="21"/>
                <w14:textFill>
                  <w14:solidFill>
                    <w14:schemeClr w14:val="tx1">
                      <w14:lumMod w14:val="95000"/>
                      <w14:lumOff w14:val="5000"/>
                    </w14:schemeClr>
                  </w14:solidFill>
                </w14:textFill>
              </w:rPr>
              <w:t>大型</w:t>
            </w:r>
          </w:p>
        </w:tc>
      </w:tr>
      <w:tr w14:paraId="669D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60" w:type="pct"/>
            <w:vAlign w:val="center"/>
          </w:tcPr>
          <w:p w14:paraId="375C627C">
            <w:pPr>
              <w:tabs>
                <w:tab w:val="left" w:pos="1021"/>
              </w:tabs>
              <w:spacing w:line="240" w:lineRule="auto"/>
              <w:jc w:val="center"/>
              <w:rPr>
                <w:rFonts w:cs="Times New Roman"/>
                <w:color w:val="0D0D0D" w:themeColor="text1" w:themeTint="F2"/>
                <w:kern w:val="0"/>
                <w:position w:val="-24"/>
                <w:sz w:val="21"/>
                <w:szCs w:val="21"/>
                <w14:textFill>
                  <w14:solidFill>
                    <w14:schemeClr w14:val="tx1">
                      <w14:lumMod w14:val="95000"/>
                      <w14:lumOff w14:val="5000"/>
                    </w14:schemeClr>
                  </w14:solidFill>
                </w14:textFill>
              </w:rPr>
            </w:pPr>
            <w:r>
              <w:rPr>
                <w:rFonts w:cs="Times New Roman"/>
                <w:color w:val="0D0D0D" w:themeColor="text1" w:themeTint="F2"/>
                <w:kern w:val="0"/>
                <w:position w:val="-24"/>
                <w:sz w:val="21"/>
                <w:szCs w:val="21"/>
                <w14:textFill>
                  <w14:solidFill>
                    <w14:schemeClr w14:val="tx1">
                      <w14:lumMod w14:val="95000"/>
                      <w14:lumOff w14:val="5000"/>
                    </w14:schemeClr>
                  </w14:solidFill>
                </w14:textFill>
              </w:rPr>
              <w:t>最高允许排放浓度（mg/m</w:t>
            </w:r>
            <w:r>
              <w:rPr>
                <w:rFonts w:cs="Times New Roman"/>
                <w:color w:val="0D0D0D" w:themeColor="text1" w:themeTint="F2"/>
                <w:kern w:val="0"/>
                <w:position w:val="-24"/>
                <w:sz w:val="21"/>
                <w:szCs w:val="21"/>
                <w:vertAlign w:val="superscript"/>
                <w14:textFill>
                  <w14:solidFill>
                    <w14:schemeClr w14:val="tx1">
                      <w14:lumMod w14:val="95000"/>
                      <w14:lumOff w14:val="5000"/>
                    </w14:schemeClr>
                  </w14:solidFill>
                </w14:textFill>
              </w:rPr>
              <w:t>3</w:t>
            </w:r>
            <w:r>
              <w:rPr>
                <w:rFonts w:cs="Times New Roman"/>
                <w:color w:val="0D0D0D" w:themeColor="text1" w:themeTint="F2"/>
                <w:kern w:val="0"/>
                <w:position w:val="-24"/>
                <w:sz w:val="21"/>
                <w:szCs w:val="21"/>
                <w14:textFill>
                  <w14:solidFill>
                    <w14:schemeClr w14:val="tx1">
                      <w14:lumMod w14:val="95000"/>
                      <w14:lumOff w14:val="5000"/>
                    </w14:schemeClr>
                  </w14:solidFill>
                </w14:textFill>
              </w:rPr>
              <w:t>）</w:t>
            </w:r>
          </w:p>
        </w:tc>
        <w:tc>
          <w:tcPr>
            <w:tcW w:w="2340" w:type="pct"/>
            <w:gridSpan w:val="3"/>
            <w:vAlign w:val="center"/>
          </w:tcPr>
          <w:p w14:paraId="6E3AF387">
            <w:pPr>
              <w:tabs>
                <w:tab w:val="left" w:pos="1021"/>
              </w:tabs>
              <w:spacing w:line="240" w:lineRule="auto"/>
              <w:jc w:val="center"/>
              <w:rPr>
                <w:rFonts w:cs="Times New Roman"/>
                <w:color w:val="0D0D0D" w:themeColor="text1" w:themeTint="F2"/>
                <w:kern w:val="0"/>
                <w:position w:val="-24"/>
                <w:sz w:val="21"/>
                <w:szCs w:val="21"/>
                <w14:textFill>
                  <w14:solidFill>
                    <w14:schemeClr w14:val="tx1">
                      <w14:lumMod w14:val="95000"/>
                      <w14:lumOff w14:val="5000"/>
                    </w14:schemeClr>
                  </w14:solidFill>
                </w14:textFill>
              </w:rPr>
            </w:pPr>
            <w:r>
              <w:rPr>
                <w:rFonts w:cs="Times New Roman"/>
                <w:color w:val="0D0D0D" w:themeColor="text1" w:themeTint="F2"/>
                <w:kern w:val="0"/>
                <w:position w:val="-24"/>
                <w:sz w:val="21"/>
                <w:szCs w:val="21"/>
                <w14:textFill>
                  <w14:solidFill>
                    <w14:schemeClr w14:val="tx1">
                      <w14:lumMod w14:val="95000"/>
                      <w14:lumOff w14:val="5000"/>
                    </w14:schemeClr>
                  </w14:solidFill>
                </w14:textFill>
              </w:rPr>
              <w:t>2.0</w:t>
            </w:r>
          </w:p>
        </w:tc>
      </w:tr>
      <w:tr w14:paraId="69454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60" w:type="pct"/>
            <w:vAlign w:val="center"/>
          </w:tcPr>
          <w:p w14:paraId="43B73B57">
            <w:pPr>
              <w:tabs>
                <w:tab w:val="left" w:pos="1021"/>
              </w:tabs>
              <w:spacing w:line="240" w:lineRule="auto"/>
              <w:jc w:val="center"/>
              <w:rPr>
                <w:rFonts w:cs="Times New Roman"/>
                <w:color w:val="0D0D0D" w:themeColor="text1" w:themeTint="F2"/>
                <w:kern w:val="0"/>
                <w:position w:val="-24"/>
                <w:sz w:val="21"/>
                <w:szCs w:val="21"/>
                <w14:textFill>
                  <w14:solidFill>
                    <w14:schemeClr w14:val="tx1">
                      <w14:lumMod w14:val="95000"/>
                      <w14:lumOff w14:val="5000"/>
                    </w14:schemeClr>
                  </w14:solidFill>
                </w14:textFill>
              </w:rPr>
            </w:pPr>
            <w:r>
              <w:rPr>
                <w:rFonts w:cs="Times New Roman"/>
                <w:color w:val="0D0D0D" w:themeColor="text1" w:themeTint="F2"/>
                <w:kern w:val="0"/>
                <w:position w:val="-24"/>
                <w:sz w:val="21"/>
                <w:szCs w:val="21"/>
                <w14:textFill>
                  <w14:solidFill>
                    <w14:schemeClr w14:val="tx1">
                      <w14:lumMod w14:val="95000"/>
                      <w14:lumOff w14:val="5000"/>
                    </w14:schemeClr>
                  </w14:solidFill>
                </w14:textFill>
              </w:rPr>
              <w:t>净化设施最低去除效率</w:t>
            </w:r>
            <w:r>
              <w:rPr>
                <w:rFonts w:hint="eastAsia" w:cs="Times New Roman"/>
                <w:color w:val="0D0D0D" w:themeColor="text1" w:themeTint="F2"/>
                <w:kern w:val="0"/>
                <w:position w:val="-24"/>
                <w:sz w:val="21"/>
                <w:szCs w:val="21"/>
                <w14:textFill>
                  <w14:solidFill>
                    <w14:schemeClr w14:val="tx1">
                      <w14:lumMod w14:val="95000"/>
                      <w14:lumOff w14:val="5000"/>
                    </w14:schemeClr>
                  </w14:solidFill>
                </w14:textFill>
              </w:rPr>
              <w:t>（</w:t>
            </w:r>
            <w:r>
              <w:rPr>
                <w:rFonts w:cs="Times New Roman"/>
                <w:color w:val="0D0D0D" w:themeColor="text1" w:themeTint="F2"/>
                <w:kern w:val="0"/>
                <w:position w:val="-24"/>
                <w:sz w:val="21"/>
                <w:szCs w:val="21"/>
                <w14:textFill>
                  <w14:solidFill>
                    <w14:schemeClr w14:val="tx1">
                      <w14:lumMod w14:val="95000"/>
                      <w14:lumOff w14:val="5000"/>
                    </w14:schemeClr>
                  </w14:solidFill>
                </w14:textFill>
              </w:rPr>
              <w:t>%</w:t>
            </w:r>
            <w:r>
              <w:rPr>
                <w:rFonts w:hint="eastAsia" w:cs="Times New Roman"/>
                <w:color w:val="0D0D0D" w:themeColor="text1" w:themeTint="F2"/>
                <w:kern w:val="0"/>
                <w:position w:val="-24"/>
                <w:sz w:val="21"/>
                <w:szCs w:val="21"/>
                <w14:textFill>
                  <w14:solidFill>
                    <w14:schemeClr w14:val="tx1">
                      <w14:lumMod w14:val="95000"/>
                      <w14:lumOff w14:val="5000"/>
                    </w14:schemeClr>
                  </w14:solidFill>
                </w14:textFill>
              </w:rPr>
              <w:t>）</w:t>
            </w:r>
          </w:p>
        </w:tc>
        <w:tc>
          <w:tcPr>
            <w:tcW w:w="879" w:type="pct"/>
            <w:vAlign w:val="center"/>
          </w:tcPr>
          <w:p w14:paraId="676C561D">
            <w:pPr>
              <w:tabs>
                <w:tab w:val="left" w:pos="1021"/>
              </w:tabs>
              <w:spacing w:line="240" w:lineRule="auto"/>
              <w:jc w:val="center"/>
              <w:rPr>
                <w:rFonts w:cs="Times New Roman"/>
                <w:color w:val="0D0D0D" w:themeColor="text1" w:themeTint="F2"/>
                <w:kern w:val="0"/>
                <w:position w:val="-24"/>
                <w:sz w:val="21"/>
                <w:szCs w:val="21"/>
                <w14:textFill>
                  <w14:solidFill>
                    <w14:schemeClr w14:val="tx1">
                      <w14:lumMod w14:val="95000"/>
                      <w14:lumOff w14:val="5000"/>
                    </w14:schemeClr>
                  </w14:solidFill>
                </w14:textFill>
              </w:rPr>
            </w:pPr>
            <w:r>
              <w:rPr>
                <w:rFonts w:cs="Times New Roman"/>
                <w:color w:val="0D0D0D" w:themeColor="text1" w:themeTint="F2"/>
                <w:kern w:val="0"/>
                <w:position w:val="-24"/>
                <w:sz w:val="21"/>
                <w:szCs w:val="21"/>
                <w14:textFill>
                  <w14:solidFill>
                    <w14:schemeClr w14:val="tx1">
                      <w14:lumMod w14:val="95000"/>
                      <w14:lumOff w14:val="5000"/>
                    </w14:schemeClr>
                  </w14:solidFill>
                </w14:textFill>
              </w:rPr>
              <w:t>60</w:t>
            </w:r>
          </w:p>
        </w:tc>
        <w:tc>
          <w:tcPr>
            <w:tcW w:w="879" w:type="pct"/>
            <w:vAlign w:val="center"/>
          </w:tcPr>
          <w:p w14:paraId="42308AC0">
            <w:pPr>
              <w:tabs>
                <w:tab w:val="left" w:pos="1021"/>
              </w:tabs>
              <w:spacing w:line="240" w:lineRule="auto"/>
              <w:jc w:val="center"/>
              <w:rPr>
                <w:rFonts w:cs="Times New Roman"/>
                <w:color w:val="0D0D0D" w:themeColor="text1" w:themeTint="F2"/>
                <w:kern w:val="0"/>
                <w:position w:val="-24"/>
                <w:sz w:val="21"/>
                <w:szCs w:val="21"/>
                <w14:textFill>
                  <w14:solidFill>
                    <w14:schemeClr w14:val="tx1">
                      <w14:lumMod w14:val="95000"/>
                      <w14:lumOff w14:val="5000"/>
                    </w14:schemeClr>
                  </w14:solidFill>
                </w14:textFill>
              </w:rPr>
            </w:pPr>
            <w:r>
              <w:rPr>
                <w:rFonts w:cs="Times New Roman"/>
                <w:color w:val="0D0D0D" w:themeColor="text1" w:themeTint="F2"/>
                <w:kern w:val="0"/>
                <w:position w:val="-24"/>
                <w:sz w:val="21"/>
                <w:szCs w:val="21"/>
                <w14:textFill>
                  <w14:solidFill>
                    <w14:schemeClr w14:val="tx1">
                      <w14:lumMod w14:val="95000"/>
                      <w14:lumOff w14:val="5000"/>
                    </w14:schemeClr>
                  </w14:solidFill>
                </w14:textFill>
              </w:rPr>
              <w:t>75</w:t>
            </w:r>
          </w:p>
        </w:tc>
        <w:tc>
          <w:tcPr>
            <w:tcW w:w="581" w:type="pct"/>
            <w:vAlign w:val="center"/>
          </w:tcPr>
          <w:p w14:paraId="5B47B706">
            <w:pPr>
              <w:tabs>
                <w:tab w:val="left" w:pos="1021"/>
              </w:tabs>
              <w:spacing w:line="240" w:lineRule="auto"/>
              <w:jc w:val="center"/>
              <w:rPr>
                <w:rFonts w:cs="Times New Roman"/>
                <w:color w:val="0D0D0D" w:themeColor="text1" w:themeTint="F2"/>
                <w:kern w:val="0"/>
                <w:position w:val="-24"/>
                <w:sz w:val="21"/>
                <w:szCs w:val="21"/>
                <w14:textFill>
                  <w14:solidFill>
                    <w14:schemeClr w14:val="tx1">
                      <w14:lumMod w14:val="95000"/>
                      <w14:lumOff w14:val="5000"/>
                    </w14:schemeClr>
                  </w14:solidFill>
                </w14:textFill>
              </w:rPr>
            </w:pPr>
            <w:r>
              <w:rPr>
                <w:rFonts w:cs="Times New Roman"/>
                <w:color w:val="0D0D0D" w:themeColor="text1" w:themeTint="F2"/>
                <w:kern w:val="0"/>
                <w:position w:val="-24"/>
                <w:sz w:val="21"/>
                <w:szCs w:val="21"/>
                <w14:textFill>
                  <w14:solidFill>
                    <w14:schemeClr w14:val="tx1">
                      <w14:lumMod w14:val="95000"/>
                      <w14:lumOff w14:val="5000"/>
                    </w14:schemeClr>
                  </w14:solidFill>
                </w14:textFill>
              </w:rPr>
              <w:t>85</w:t>
            </w:r>
          </w:p>
        </w:tc>
      </w:tr>
      <w:tr w14:paraId="0024D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60" w:type="pct"/>
            <w:vAlign w:val="center"/>
          </w:tcPr>
          <w:p w14:paraId="20F8B4DA">
            <w:pPr>
              <w:tabs>
                <w:tab w:val="left" w:pos="1021"/>
              </w:tabs>
              <w:spacing w:line="240" w:lineRule="auto"/>
              <w:jc w:val="center"/>
              <w:rPr>
                <w:rFonts w:cs="Times New Roman"/>
                <w:color w:val="0D0D0D" w:themeColor="text1" w:themeTint="F2"/>
                <w:kern w:val="0"/>
                <w:position w:val="-24"/>
                <w:sz w:val="21"/>
                <w:szCs w:val="21"/>
                <w14:textFill>
                  <w14:solidFill>
                    <w14:schemeClr w14:val="tx1">
                      <w14:lumMod w14:val="95000"/>
                      <w14:lumOff w14:val="5000"/>
                    </w14:schemeClr>
                  </w14:solidFill>
                </w14:textFill>
              </w:rPr>
            </w:pPr>
            <w:r>
              <w:rPr>
                <w:rFonts w:cs="Times New Roman"/>
                <w:color w:val="0D0D0D" w:themeColor="text1" w:themeTint="F2"/>
                <w:kern w:val="0"/>
                <w:position w:val="-24"/>
                <w:sz w:val="21"/>
                <w:szCs w:val="21"/>
                <w14:textFill>
                  <w14:solidFill>
                    <w14:schemeClr w14:val="tx1">
                      <w14:lumMod w14:val="95000"/>
                      <w14:lumOff w14:val="5000"/>
                    </w14:schemeClr>
                  </w14:solidFill>
                </w14:textFill>
              </w:rPr>
              <w:t>基准灶头数</w:t>
            </w:r>
          </w:p>
        </w:tc>
        <w:tc>
          <w:tcPr>
            <w:tcW w:w="879" w:type="pct"/>
            <w:vAlign w:val="center"/>
          </w:tcPr>
          <w:p w14:paraId="003ECEF7">
            <w:pPr>
              <w:tabs>
                <w:tab w:val="left" w:pos="1021"/>
              </w:tabs>
              <w:spacing w:line="240" w:lineRule="auto"/>
              <w:jc w:val="center"/>
              <w:rPr>
                <w:rFonts w:cs="Times New Roman"/>
                <w:color w:val="0D0D0D" w:themeColor="text1" w:themeTint="F2"/>
                <w:kern w:val="0"/>
                <w:position w:val="-24"/>
                <w:sz w:val="21"/>
                <w:szCs w:val="21"/>
                <w14:textFill>
                  <w14:solidFill>
                    <w14:schemeClr w14:val="tx1">
                      <w14:lumMod w14:val="95000"/>
                      <w14:lumOff w14:val="5000"/>
                    </w14:schemeClr>
                  </w14:solidFill>
                </w14:textFill>
              </w:rPr>
            </w:pPr>
            <w:r>
              <w:rPr>
                <w:rFonts w:cs="Times New Roman"/>
                <w:color w:val="0D0D0D" w:themeColor="text1" w:themeTint="F2"/>
                <w:kern w:val="0"/>
                <w:position w:val="-24"/>
                <w:sz w:val="21"/>
                <w:szCs w:val="21"/>
                <w14:textFill>
                  <w14:solidFill>
                    <w14:schemeClr w14:val="tx1">
                      <w14:lumMod w14:val="95000"/>
                      <w14:lumOff w14:val="5000"/>
                    </w14:schemeClr>
                  </w14:solidFill>
                </w14:textFill>
              </w:rPr>
              <w:t>≥1，＜3</w:t>
            </w:r>
          </w:p>
        </w:tc>
        <w:tc>
          <w:tcPr>
            <w:tcW w:w="879" w:type="pct"/>
            <w:vAlign w:val="center"/>
          </w:tcPr>
          <w:p w14:paraId="04967CF3">
            <w:pPr>
              <w:tabs>
                <w:tab w:val="left" w:pos="1021"/>
              </w:tabs>
              <w:spacing w:line="240" w:lineRule="auto"/>
              <w:jc w:val="center"/>
              <w:rPr>
                <w:rFonts w:cs="Times New Roman"/>
                <w:color w:val="0D0D0D" w:themeColor="text1" w:themeTint="F2"/>
                <w:kern w:val="0"/>
                <w:position w:val="-24"/>
                <w:sz w:val="21"/>
                <w:szCs w:val="21"/>
                <w14:textFill>
                  <w14:solidFill>
                    <w14:schemeClr w14:val="tx1">
                      <w14:lumMod w14:val="95000"/>
                      <w14:lumOff w14:val="5000"/>
                    </w14:schemeClr>
                  </w14:solidFill>
                </w14:textFill>
              </w:rPr>
            </w:pPr>
            <w:r>
              <w:rPr>
                <w:rFonts w:cs="Times New Roman"/>
                <w:color w:val="0D0D0D" w:themeColor="text1" w:themeTint="F2"/>
                <w:kern w:val="0"/>
                <w:position w:val="-24"/>
                <w:sz w:val="21"/>
                <w:szCs w:val="21"/>
                <w14:textFill>
                  <w14:solidFill>
                    <w14:schemeClr w14:val="tx1">
                      <w14:lumMod w14:val="95000"/>
                      <w14:lumOff w14:val="5000"/>
                    </w14:schemeClr>
                  </w14:solidFill>
                </w14:textFill>
              </w:rPr>
              <w:t>≥3，＜6</w:t>
            </w:r>
          </w:p>
        </w:tc>
        <w:tc>
          <w:tcPr>
            <w:tcW w:w="581" w:type="pct"/>
            <w:vAlign w:val="center"/>
          </w:tcPr>
          <w:p w14:paraId="1C4437FE">
            <w:pPr>
              <w:tabs>
                <w:tab w:val="left" w:pos="1021"/>
              </w:tabs>
              <w:spacing w:line="240" w:lineRule="auto"/>
              <w:jc w:val="center"/>
              <w:rPr>
                <w:rFonts w:cs="Times New Roman"/>
                <w:color w:val="0D0D0D" w:themeColor="text1" w:themeTint="F2"/>
                <w:kern w:val="0"/>
                <w:position w:val="-24"/>
                <w:sz w:val="21"/>
                <w:szCs w:val="21"/>
                <w14:textFill>
                  <w14:solidFill>
                    <w14:schemeClr w14:val="tx1">
                      <w14:lumMod w14:val="95000"/>
                      <w14:lumOff w14:val="5000"/>
                    </w14:schemeClr>
                  </w14:solidFill>
                </w14:textFill>
              </w:rPr>
            </w:pPr>
            <w:r>
              <w:rPr>
                <w:rFonts w:cs="Times New Roman"/>
                <w:color w:val="0D0D0D" w:themeColor="text1" w:themeTint="F2"/>
                <w:kern w:val="0"/>
                <w:position w:val="-24"/>
                <w:sz w:val="21"/>
                <w:szCs w:val="21"/>
                <w14:textFill>
                  <w14:solidFill>
                    <w14:schemeClr w14:val="tx1">
                      <w14:lumMod w14:val="95000"/>
                      <w14:lumOff w14:val="5000"/>
                    </w14:schemeClr>
                  </w14:solidFill>
                </w14:textFill>
              </w:rPr>
              <w:t>≥6</w:t>
            </w:r>
          </w:p>
        </w:tc>
      </w:tr>
    </w:tbl>
    <w:p w14:paraId="77174A4D">
      <w:pPr>
        <w:pStyle w:val="2"/>
        <w:ind w:firstLine="240"/>
      </w:pPr>
      <w:r>
        <w:br w:type="page"/>
      </w:r>
    </w:p>
    <w:p w14:paraId="310BB2CC">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（2）废水</w:t>
      </w:r>
    </w:p>
    <w:p w14:paraId="52FF00A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项目施工期施工废水经隔油沉淀池处理后用于洒水抑尘，生活污水经临时化粪池处理后用于周边林地施肥，无废水外排。</w:t>
      </w:r>
    </w:p>
    <w:p w14:paraId="1A65B85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运营期废水排入市政污水管网后纳入钦州胜科水务有限公司污水处理厂进一步处理，废水外排须满足《石油炼制工业污染物排放标准》（GB31570-2015）及其修改单中表1间接排放标准和钦州胜科水务有限公司污水处理厂纳管标准较严值，排放标准详见表2.4-15。</w:t>
      </w:r>
    </w:p>
    <w:p w14:paraId="6C0AE795">
      <w:pPr>
        <w:pStyle w:val="11"/>
      </w:pPr>
      <w:r>
        <w:rPr>
          <w:rFonts w:hint="eastAsia"/>
        </w:rPr>
        <w:t xml:space="preserve"> 废水排放标准限值  单位：mg/L（pH无量纲）</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1322"/>
        <w:gridCol w:w="3538"/>
        <w:gridCol w:w="2309"/>
        <w:gridCol w:w="1283"/>
      </w:tblGrid>
      <w:tr w14:paraId="20480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8" w:type="pct"/>
            <w:vAlign w:val="center"/>
          </w:tcPr>
          <w:p w14:paraId="4EF106B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序号</w:t>
            </w:r>
          </w:p>
        </w:tc>
        <w:tc>
          <w:tcPr>
            <w:tcW w:w="715" w:type="pct"/>
            <w:vAlign w:val="center"/>
          </w:tcPr>
          <w:p w14:paraId="0F9C9C7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污染物</w:t>
            </w:r>
          </w:p>
        </w:tc>
        <w:tc>
          <w:tcPr>
            <w:tcW w:w="1914" w:type="pct"/>
            <w:vAlign w:val="center"/>
          </w:tcPr>
          <w:p w14:paraId="062A405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《石油炼制工业污染物排放标准》</w:t>
            </w:r>
          </w:p>
        </w:tc>
        <w:tc>
          <w:tcPr>
            <w:tcW w:w="1249" w:type="pct"/>
            <w:vAlign w:val="center"/>
          </w:tcPr>
          <w:p w14:paraId="1DF41B2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污水处理厂纳管标准</w:t>
            </w:r>
          </w:p>
        </w:tc>
        <w:tc>
          <w:tcPr>
            <w:tcW w:w="694" w:type="pct"/>
            <w:vAlign w:val="center"/>
          </w:tcPr>
          <w:p w14:paraId="38C2B28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执行标准</w:t>
            </w:r>
          </w:p>
        </w:tc>
      </w:tr>
      <w:tr w14:paraId="2A2DD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8" w:type="pct"/>
            <w:vAlign w:val="center"/>
          </w:tcPr>
          <w:p w14:paraId="0617BB2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w:t>
            </w:r>
          </w:p>
        </w:tc>
        <w:tc>
          <w:tcPr>
            <w:tcW w:w="715" w:type="pct"/>
            <w:vAlign w:val="center"/>
          </w:tcPr>
          <w:p w14:paraId="577466A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pH</w:t>
            </w:r>
          </w:p>
        </w:tc>
        <w:tc>
          <w:tcPr>
            <w:tcW w:w="1914" w:type="pct"/>
            <w:vAlign w:val="center"/>
          </w:tcPr>
          <w:p w14:paraId="2793863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6~9</w:t>
            </w:r>
          </w:p>
        </w:tc>
        <w:tc>
          <w:tcPr>
            <w:tcW w:w="1249" w:type="pct"/>
            <w:vAlign w:val="center"/>
          </w:tcPr>
          <w:p w14:paraId="61919D0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6~9</w:t>
            </w:r>
          </w:p>
        </w:tc>
        <w:tc>
          <w:tcPr>
            <w:tcW w:w="694" w:type="pct"/>
            <w:vAlign w:val="center"/>
          </w:tcPr>
          <w:p w14:paraId="2A41678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6~9</w:t>
            </w:r>
          </w:p>
        </w:tc>
      </w:tr>
      <w:tr w14:paraId="77346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8" w:type="pct"/>
            <w:vAlign w:val="center"/>
          </w:tcPr>
          <w:p w14:paraId="3CC6EF0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w:t>
            </w:r>
          </w:p>
        </w:tc>
        <w:tc>
          <w:tcPr>
            <w:tcW w:w="715" w:type="pct"/>
            <w:vAlign w:val="center"/>
          </w:tcPr>
          <w:p w14:paraId="36CD78E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SS</w:t>
            </w:r>
          </w:p>
        </w:tc>
        <w:tc>
          <w:tcPr>
            <w:tcW w:w="1914" w:type="pct"/>
            <w:vAlign w:val="center"/>
          </w:tcPr>
          <w:p w14:paraId="03A3EBB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1249" w:type="pct"/>
            <w:vAlign w:val="center"/>
          </w:tcPr>
          <w:p w14:paraId="4296B55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250</w:t>
            </w:r>
          </w:p>
        </w:tc>
        <w:tc>
          <w:tcPr>
            <w:tcW w:w="694" w:type="pct"/>
            <w:vAlign w:val="center"/>
          </w:tcPr>
          <w:p w14:paraId="2AB830C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250</w:t>
            </w:r>
          </w:p>
        </w:tc>
      </w:tr>
      <w:tr w14:paraId="3CB1B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8" w:type="pct"/>
            <w:vAlign w:val="center"/>
          </w:tcPr>
          <w:p w14:paraId="30A7919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w:t>
            </w:r>
          </w:p>
        </w:tc>
        <w:tc>
          <w:tcPr>
            <w:tcW w:w="715" w:type="pct"/>
            <w:vAlign w:val="center"/>
          </w:tcPr>
          <w:p w14:paraId="27894DC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COD</w:t>
            </w:r>
          </w:p>
        </w:tc>
        <w:tc>
          <w:tcPr>
            <w:tcW w:w="1914" w:type="pct"/>
            <w:vAlign w:val="center"/>
          </w:tcPr>
          <w:p w14:paraId="5978E7A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1249" w:type="pct"/>
            <w:vAlign w:val="center"/>
          </w:tcPr>
          <w:p w14:paraId="0E5B421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1000</w:t>
            </w:r>
          </w:p>
        </w:tc>
        <w:tc>
          <w:tcPr>
            <w:tcW w:w="694" w:type="pct"/>
            <w:vAlign w:val="center"/>
          </w:tcPr>
          <w:p w14:paraId="5E03391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1000</w:t>
            </w:r>
          </w:p>
        </w:tc>
      </w:tr>
      <w:tr w14:paraId="5E27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8" w:type="pct"/>
            <w:vAlign w:val="center"/>
          </w:tcPr>
          <w:p w14:paraId="0865314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4</w:t>
            </w:r>
          </w:p>
        </w:tc>
        <w:tc>
          <w:tcPr>
            <w:tcW w:w="715" w:type="pct"/>
            <w:vAlign w:val="center"/>
          </w:tcPr>
          <w:p w14:paraId="2D1FD71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BOD</w:t>
            </w:r>
            <w:r>
              <w:rPr>
                <w:rFonts w:hint="eastAsia"/>
                <w:color w:val="0D0D0D" w:themeColor="text1" w:themeTint="F2"/>
                <w:sz w:val="21"/>
                <w:szCs w:val="21"/>
                <w:vertAlign w:val="subscript"/>
                <w14:textFill>
                  <w14:solidFill>
                    <w14:schemeClr w14:val="tx1">
                      <w14:lumMod w14:val="95000"/>
                      <w14:lumOff w14:val="5000"/>
                    </w14:schemeClr>
                  </w14:solidFill>
                </w14:textFill>
              </w:rPr>
              <w:t>5</w:t>
            </w:r>
          </w:p>
        </w:tc>
        <w:tc>
          <w:tcPr>
            <w:tcW w:w="1914" w:type="pct"/>
            <w:vAlign w:val="center"/>
          </w:tcPr>
          <w:p w14:paraId="398B81F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1249" w:type="pct"/>
            <w:vAlign w:val="center"/>
          </w:tcPr>
          <w:p w14:paraId="3804ECA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694" w:type="pct"/>
            <w:vAlign w:val="center"/>
          </w:tcPr>
          <w:p w14:paraId="2FF8281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450</w:t>
            </w:r>
          </w:p>
        </w:tc>
      </w:tr>
      <w:tr w14:paraId="049F8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8" w:type="pct"/>
            <w:vAlign w:val="center"/>
          </w:tcPr>
          <w:p w14:paraId="1F35034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w:t>
            </w:r>
          </w:p>
        </w:tc>
        <w:tc>
          <w:tcPr>
            <w:tcW w:w="715" w:type="pct"/>
            <w:vAlign w:val="center"/>
          </w:tcPr>
          <w:p w14:paraId="4FCA83E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NH</w:t>
            </w:r>
            <w:r>
              <w:rPr>
                <w:rFonts w:hint="eastAsia"/>
                <w:color w:val="0D0D0D" w:themeColor="text1" w:themeTint="F2"/>
                <w:sz w:val="21"/>
                <w:szCs w:val="21"/>
                <w:vertAlign w:val="subscript"/>
                <w14:textFill>
                  <w14:solidFill>
                    <w14:schemeClr w14:val="tx1">
                      <w14:lumMod w14:val="95000"/>
                      <w14:lumOff w14:val="5000"/>
                    </w14:schemeClr>
                  </w14:solidFill>
                </w14:textFill>
              </w:rPr>
              <w:t>3</w:t>
            </w:r>
            <w:r>
              <w:rPr>
                <w:rFonts w:hint="eastAsia"/>
                <w:color w:val="0D0D0D" w:themeColor="text1" w:themeTint="F2"/>
                <w:sz w:val="21"/>
                <w:szCs w:val="21"/>
                <w14:textFill>
                  <w14:solidFill>
                    <w14:schemeClr w14:val="tx1">
                      <w14:lumMod w14:val="95000"/>
                      <w14:lumOff w14:val="5000"/>
                    </w14:schemeClr>
                  </w14:solidFill>
                </w14:textFill>
              </w:rPr>
              <w:t>-N</w:t>
            </w:r>
          </w:p>
        </w:tc>
        <w:tc>
          <w:tcPr>
            <w:tcW w:w="1914" w:type="pct"/>
            <w:vAlign w:val="center"/>
          </w:tcPr>
          <w:p w14:paraId="2732B34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1249" w:type="pct"/>
            <w:vAlign w:val="center"/>
          </w:tcPr>
          <w:p w14:paraId="5F14380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50</w:t>
            </w:r>
          </w:p>
        </w:tc>
        <w:tc>
          <w:tcPr>
            <w:tcW w:w="694" w:type="pct"/>
            <w:vAlign w:val="center"/>
          </w:tcPr>
          <w:p w14:paraId="25B750B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50</w:t>
            </w:r>
          </w:p>
        </w:tc>
      </w:tr>
      <w:tr w14:paraId="5548E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8" w:type="pct"/>
            <w:vAlign w:val="center"/>
          </w:tcPr>
          <w:p w14:paraId="0B20ECB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6</w:t>
            </w:r>
          </w:p>
        </w:tc>
        <w:tc>
          <w:tcPr>
            <w:tcW w:w="715" w:type="pct"/>
            <w:vAlign w:val="center"/>
          </w:tcPr>
          <w:p w14:paraId="0926D50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TN</w:t>
            </w:r>
          </w:p>
        </w:tc>
        <w:tc>
          <w:tcPr>
            <w:tcW w:w="1914" w:type="pct"/>
            <w:vAlign w:val="center"/>
          </w:tcPr>
          <w:p w14:paraId="31C6E9C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1249" w:type="pct"/>
            <w:vAlign w:val="center"/>
          </w:tcPr>
          <w:p w14:paraId="37040DC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60</w:t>
            </w:r>
          </w:p>
        </w:tc>
        <w:tc>
          <w:tcPr>
            <w:tcW w:w="694" w:type="pct"/>
            <w:vAlign w:val="center"/>
          </w:tcPr>
          <w:p w14:paraId="3192516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60</w:t>
            </w:r>
          </w:p>
        </w:tc>
      </w:tr>
      <w:tr w14:paraId="21AFE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8" w:type="pct"/>
            <w:vAlign w:val="center"/>
          </w:tcPr>
          <w:p w14:paraId="5924F74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7</w:t>
            </w:r>
          </w:p>
        </w:tc>
        <w:tc>
          <w:tcPr>
            <w:tcW w:w="715" w:type="pct"/>
            <w:vAlign w:val="center"/>
          </w:tcPr>
          <w:p w14:paraId="7A2F8D7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TP</w:t>
            </w:r>
          </w:p>
        </w:tc>
        <w:tc>
          <w:tcPr>
            <w:tcW w:w="1914" w:type="pct"/>
            <w:vAlign w:val="center"/>
          </w:tcPr>
          <w:p w14:paraId="0D525E2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1249" w:type="pct"/>
            <w:vAlign w:val="center"/>
          </w:tcPr>
          <w:p w14:paraId="2BF1DA7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4</w:t>
            </w:r>
          </w:p>
        </w:tc>
        <w:tc>
          <w:tcPr>
            <w:tcW w:w="694" w:type="pct"/>
            <w:vAlign w:val="center"/>
          </w:tcPr>
          <w:p w14:paraId="78564C0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4</w:t>
            </w:r>
          </w:p>
        </w:tc>
      </w:tr>
      <w:tr w14:paraId="315A6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8" w:type="pct"/>
            <w:vAlign w:val="center"/>
          </w:tcPr>
          <w:p w14:paraId="5B7E8B1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8</w:t>
            </w:r>
          </w:p>
        </w:tc>
        <w:tc>
          <w:tcPr>
            <w:tcW w:w="715" w:type="pct"/>
            <w:vAlign w:val="center"/>
          </w:tcPr>
          <w:p w14:paraId="20AC03B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动植物油</w:t>
            </w:r>
          </w:p>
        </w:tc>
        <w:tc>
          <w:tcPr>
            <w:tcW w:w="1914" w:type="pct"/>
            <w:vAlign w:val="center"/>
          </w:tcPr>
          <w:p w14:paraId="0217936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100</w:t>
            </w:r>
          </w:p>
        </w:tc>
        <w:tc>
          <w:tcPr>
            <w:tcW w:w="1249" w:type="pct"/>
            <w:vAlign w:val="center"/>
          </w:tcPr>
          <w:p w14:paraId="5D7F471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10</w:t>
            </w:r>
          </w:p>
        </w:tc>
        <w:tc>
          <w:tcPr>
            <w:tcW w:w="694" w:type="pct"/>
            <w:vAlign w:val="center"/>
          </w:tcPr>
          <w:p w14:paraId="76D7015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10</w:t>
            </w:r>
          </w:p>
        </w:tc>
      </w:tr>
      <w:tr w14:paraId="11806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5"/>
            <w:vAlign w:val="center"/>
          </w:tcPr>
          <w:p w14:paraId="405B8169">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注：钦州胜科水务有限公司污水处理厂纳管标准中未对BOD</w:t>
            </w:r>
            <w:r>
              <w:rPr>
                <w:rFonts w:hint="eastAsia"/>
                <w:color w:val="0D0D0D" w:themeColor="text1" w:themeTint="F2"/>
                <w:sz w:val="21"/>
                <w:szCs w:val="21"/>
                <w:vertAlign w:val="subscript"/>
                <w14:textFill>
                  <w14:solidFill>
                    <w14:schemeClr w14:val="tx1">
                      <w14:lumMod w14:val="95000"/>
                      <w14:lumOff w14:val="5000"/>
                    </w14:schemeClr>
                  </w14:solidFill>
                </w14:textFill>
              </w:rPr>
              <w:t>5</w:t>
            </w:r>
            <w:r>
              <w:rPr>
                <w:rFonts w:hint="eastAsia"/>
                <w:color w:val="0D0D0D" w:themeColor="text1" w:themeTint="F2"/>
                <w:sz w:val="21"/>
                <w:szCs w:val="21"/>
                <w14:textFill>
                  <w14:solidFill>
                    <w14:schemeClr w14:val="tx1">
                      <w14:lumMod w14:val="95000"/>
                      <w14:lumOff w14:val="5000"/>
                    </w14:schemeClr>
                  </w14:solidFill>
                </w14:textFill>
              </w:rPr>
              <w:t>做出要求，但要求可生化性（BOD</w:t>
            </w:r>
            <w:r>
              <w:rPr>
                <w:rFonts w:hint="eastAsia"/>
                <w:color w:val="0D0D0D" w:themeColor="text1" w:themeTint="F2"/>
                <w:sz w:val="21"/>
                <w:szCs w:val="21"/>
                <w:vertAlign w:val="subscript"/>
                <w14:textFill>
                  <w14:solidFill>
                    <w14:schemeClr w14:val="tx1">
                      <w14:lumMod w14:val="95000"/>
                      <w14:lumOff w14:val="5000"/>
                    </w14:schemeClr>
                  </w14:solidFill>
                </w14:textFill>
              </w:rPr>
              <w:t>5</w:t>
            </w:r>
            <w:r>
              <w:rPr>
                <w:rFonts w:hint="eastAsia"/>
                <w:color w:val="0D0D0D" w:themeColor="text1" w:themeTint="F2"/>
                <w:sz w:val="21"/>
                <w:szCs w:val="21"/>
                <w14:textFill>
                  <w14:solidFill>
                    <w14:schemeClr w14:val="tx1">
                      <w14:lumMod w14:val="95000"/>
                      <w14:lumOff w14:val="5000"/>
                    </w14:schemeClr>
                  </w14:solidFill>
                </w14:textFill>
              </w:rPr>
              <w:t>：COD）≥0.45。</w:t>
            </w:r>
          </w:p>
        </w:tc>
      </w:tr>
    </w:tbl>
    <w:p w14:paraId="35971CCA">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（3）噪声</w:t>
      </w:r>
    </w:p>
    <w:p w14:paraId="30CA5C8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项目施工期场界噪声执行《建筑施工场界环境噪声排放标准》（GB12523-2011）排放限值，详见表2.4-16。</w:t>
      </w:r>
    </w:p>
    <w:p w14:paraId="39B9945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运营期厂界噪声执行《工业企业厂界环境噪声排放标准》（GB12348-2008）3类标准，详见表2.4-17。</w:t>
      </w:r>
    </w:p>
    <w:p w14:paraId="1BBA9EAF">
      <w:pPr>
        <w:pStyle w:val="11"/>
      </w:pPr>
      <w:r>
        <w:rPr>
          <w:rFonts w:hint="eastAsia"/>
        </w:rPr>
        <w:t xml:space="preserve"> 《建筑施工场界环境噪声排放标准》（摘录）</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66"/>
        <w:gridCol w:w="3201"/>
        <w:gridCol w:w="2975"/>
      </w:tblGrid>
      <w:tr w14:paraId="68448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1659" w:type="pct"/>
            <w:vAlign w:val="center"/>
          </w:tcPr>
          <w:p w14:paraId="1A13989A">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时段</w:t>
            </w:r>
          </w:p>
        </w:tc>
        <w:tc>
          <w:tcPr>
            <w:tcW w:w="1732" w:type="pct"/>
            <w:vAlign w:val="center"/>
          </w:tcPr>
          <w:p w14:paraId="7CD2069C">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昼间</w:t>
            </w:r>
          </w:p>
        </w:tc>
        <w:tc>
          <w:tcPr>
            <w:tcW w:w="1609" w:type="pct"/>
            <w:vAlign w:val="center"/>
          </w:tcPr>
          <w:p w14:paraId="2054977E">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夜间</w:t>
            </w:r>
          </w:p>
        </w:tc>
      </w:tr>
      <w:tr w14:paraId="7402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59" w:type="pct"/>
            <w:vAlign w:val="center"/>
          </w:tcPr>
          <w:p w14:paraId="287B6BEB">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标准限值</w:t>
            </w:r>
          </w:p>
        </w:tc>
        <w:tc>
          <w:tcPr>
            <w:tcW w:w="1732" w:type="pct"/>
            <w:vAlign w:val="center"/>
          </w:tcPr>
          <w:p w14:paraId="21E7E114">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70</w:t>
            </w:r>
            <w:r>
              <w:rPr>
                <w:color w:val="0D0D0D" w:themeColor="text1" w:themeTint="F2"/>
                <w:spacing w:val="12"/>
                <w:sz w:val="21"/>
                <w14:textFill>
                  <w14:solidFill>
                    <w14:schemeClr w14:val="tx1">
                      <w14:lumMod w14:val="95000"/>
                      <w14:lumOff w14:val="5000"/>
                    </w14:schemeClr>
                  </w14:solidFill>
                </w14:textFill>
              </w:rPr>
              <w:t>dB</w:t>
            </w:r>
            <w:r>
              <w:rPr>
                <w:rFonts w:hint="eastAsia"/>
                <w:color w:val="0D0D0D" w:themeColor="text1" w:themeTint="F2"/>
                <w:spacing w:val="12"/>
                <w:sz w:val="21"/>
                <w14:textFill>
                  <w14:solidFill>
                    <w14:schemeClr w14:val="tx1">
                      <w14:lumMod w14:val="95000"/>
                      <w14:lumOff w14:val="5000"/>
                    </w14:schemeClr>
                  </w14:solidFill>
                </w14:textFill>
              </w:rPr>
              <w:t>(</w:t>
            </w:r>
            <w:r>
              <w:rPr>
                <w:color w:val="0D0D0D" w:themeColor="text1" w:themeTint="F2"/>
                <w:spacing w:val="12"/>
                <w:sz w:val="21"/>
                <w14:textFill>
                  <w14:solidFill>
                    <w14:schemeClr w14:val="tx1">
                      <w14:lumMod w14:val="95000"/>
                      <w14:lumOff w14:val="5000"/>
                    </w14:schemeClr>
                  </w14:solidFill>
                </w14:textFill>
              </w:rPr>
              <w:t>A</w:t>
            </w:r>
            <w:r>
              <w:rPr>
                <w:rFonts w:hint="eastAsia"/>
                <w:color w:val="0D0D0D" w:themeColor="text1" w:themeTint="F2"/>
                <w:spacing w:val="12"/>
                <w:sz w:val="21"/>
                <w14:textFill>
                  <w14:solidFill>
                    <w14:schemeClr w14:val="tx1">
                      <w14:lumMod w14:val="95000"/>
                      <w14:lumOff w14:val="5000"/>
                    </w14:schemeClr>
                  </w14:solidFill>
                </w14:textFill>
              </w:rPr>
              <w:t>)</w:t>
            </w:r>
          </w:p>
        </w:tc>
        <w:tc>
          <w:tcPr>
            <w:tcW w:w="1609" w:type="pct"/>
            <w:vAlign w:val="center"/>
          </w:tcPr>
          <w:p w14:paraId="57B27369">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55</w:t>
            </w:r>
            <w:r>
              <w:rPr>
                <w:color w:val="0D0D0D" w:themeColor="text1" w:themeTint="F2"/>
                <w:spacing w:val="12"/>
                <w:sz w:val="21"/>
                <w14:textFill>
                  <w14:solidFill>
                    <w14:schemeClr w14:val="tx1">
                      <w14:lumMod w14:val="95000"/>
                      <w14:lumOff w14:val="5000"/>
                    </w14:schemeClr>
                  </w14:solidFill>
                </w14:textFill>
              </w:rPr>
              <w:t>dB</w:t>
            </w:r>
            <w:r>
              <w:rPr>
                <w:rFonts w:hint="eastAsia"/>
                <w:color w:val="0D0D0D" w:themeColor="text1" w:themeTint="F2"/>
                <w:spacing w:val="12"/>
                <w:sz w:val="21"/>
                <w14:textFill>
                  <w14:solidFill>
                    <w14:schemeClr w14:val="tx1">
                      <w14:lumMod w14:val="95000"/>
                      <w14:lumOff w14:val="5000"/>
                    </w14:schemeClr>
                  </w14:solidFill>
                </w14:textFill>
              </w:rPr>
              <w:t>(</w:t>
            </w:r>
            <w:r>
              <w:rPr>
                <w:color w:val="0D0D0D" w:themeColor="text1" w:themeTint="F2"/>
                <w:spacing w:val="12"/>
                <w:sz w:val="21"/>
                <w14:textFill>
                  <w14:solidFill>
                    <w14:schemeClr w14:val="tx1">
                      <w14:lumMod w14:val="95000"/>
                      <w14:lumOff w14:val="5000"/>
                    </w14:schemeClr>
                  </w14:solidFill>
                </w14:textFill>
              </w:rPr>
              <w:t>A</w:t>
            </w:r>
            <w:r>
              <w:rPr>
                <w:rFonts w:hint="eastAsia"/>
                <w:color w:val="0D0D0D" w:themeColor="text1" w:themeTint="F2"/>
                <w:spacing w:val="12"/>
                <w:sz w:val="21"/>
                <w14:textFill>
                  <w14:solidFill>
                    <w14:schemeClr w14:val="tx1">
                      <w14:lumMod w14:val="95000"/>
                      <w14:lumOff w14:val="5000"/>
                    </w14:schemeClr>
                  </w14:solidFill>
                </w14:textFill>
              </w:rPr>
              <w:t>)</w:t>
            </w:r>
          </w:p>
        </w:tc>
      </w:tr>
    </w:tbl>
    <w:p w14:paraId="07062125">
      <w:pPr>
        <w:pStyle w:val="11"/>
      </w:pPr>
      <w:r>
        <w:rPr>
          <w:rFonts w:hint="eastAsia"/>
        </w:rPr>
        <w:t xml:space="preserve"> 《工业企业厂界环境噪声排放标准》（摘录）</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4"/>
        <w:gridCol w:w="3140"/>
        <w:gridCol w:w="2978"/>
      </w:tblGrid>
      <w:tr w14:paraId="6B305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90" w:type="pct"/>
            <w:vAlign w:val="center"/>
          </w:tcPr>
          <w:p w14:paraId="67B2C556">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类别</w:t>
            </w:r>
          </w:p>
        </w:tc>
        <w:tc>
          <w:tcPr>
            <w:tcW w:w="1699" w:type="pct"/>
            <w:vAlign w:val="center"/>
          </w:tcPr>
          <w:p w14:paraId="504960BD">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昼间</w:t>
            </w:r>
          </w:p>
        </w:tc>
        <w:tc>
          <w:tcPr>
            <w:tcW w:w="1611" w:type="pct"/>
            <w:vAlign w:val="center"/>
          </w:tcPr>
          <w:p w14:paraId="2A110D1A">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夜间</w:t>
            </w:r>
          </w:p>
        </w:tc>
      </w:tr>
      <w:tr w14:paraId="04CB0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90" w:type="pct"/>
            <w:vAlign w:val="center"/>
          </w:tcPr>
          <w:p w14:paraId="39252C80">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3</w:t>
            </w:r>
            <w:r>
              <w:rPr>
                <w:rFonts w:cs="Times New Roman"/>
                <w:color w:val="0D0D0D" w:themeColor="text1" w:themeTint="F2"/>
                <w:sz w:val="21"/>
                <w14:textFill>
                  <w14:solidFill>
                    <w14:schemeClr w14:val="tx1">
                      <w14:lumMod w14:val="95000"/>
                      <w14:lumOff w14:val="5000"/>
                    </w14:schemeClr>
                  </w14:solidFill>
                </w14:textFill>
              </w:rPr>
              <w:t>类</w:t>
            </w:r>
          </w:p>
        </w:tc>
        <w:tc>
          <w:tcPr>
            <w:tcW w:w="1699" w:type="pct"/>
            <w:vAlign w:val="center"/>
          </w:tcPr>
          <w:p w14:paraId="6228FBCC">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65</w:t>
            </w:r>
            <w:r>
              <w:rPr>
                <w:color w:val="0D0D0D" w:themeColor="text1" w:themeTint="F2"/>
                <w:spacing w:val="12"/>
                <w:sz w:val="21"/>
                <w14:textFill>
                  <w14:solidFill>
                    <w14:schemeClr w14:val="tx1">
                      <w14:lumMod w14:val="95000"/>
                      <w14:lumOff w14:val="5000"/>
                    </w14:schemeClr>
                  </w14:solidFill>
                </w14:textFill>
              </w:rPr>
              <w:t>dB</w:t>
            </w:r>
            <w:r>
              <w:rPr>
                <w:rFonts w:hint="eastAsia"/>
                <w:color w:val="0D0D0D" w:themeColor="text1" w:themeTint="F2"/>
                <w:spacing w:val="12"/>
                <w:sz w:val="21"/>
                <w14:textFill>
                  <w14:solidFill>
                    <w14:schemeClr w14:val="tx1">
                      <w14:lumMod w14:val="95000"/>
                      <w14:lumOff w14:val="5000"/>
                    </w14:schemeClr>
                  </w14:solidFill>
                </w14:textFill>
              </w:rPr>
              <w:t>(</w:t>
            </w:r>
            <w:r>
              <w:rPr>
                <w:color w:val="0D0D0D" w:themeColor="text1" w:themeTint="F2"/>
                <w:spacing w:val="12"/>
                <w:sz w:val="21"/>
                <w14:textFill>
                  <w14:solidFill>
                    <w14:schemeClr w14:val="tx1">
                      <w14:lumMod w14:val="95000"/>
                      <w14:lumOff w14:val="5000"/>
                    </w14:schemeClr>
                  </w14:solidFill>
                </w14:textFill>
              </w:rPr>
              <w:t>A</w:t>
            </w:r>
            <w:r>
              <w:rPr>
                <w:rFonts w:hint="eastAsia"/>
                <w:color w:val="0D0D0D" w:themeColor="text1" w:themeTint="F2"/>
                <w:spacing w:val="12"/>
                <w:sz w:val="21"/>
                <w14:textFill>
                  <w14:solidFill>
                    <w14:schemeClr w14:val="tx1">
                      <w14:lumMod w14:val="95000"/>
                      <w14:lumOff w14:val="5000"/>
                    </w14:schemeClr>
                  </w14:solidFill>
                </w14:textFill>
              </w:rPr>
              <w:t>)</w:t>
            </w:r>
          </w:p>
        </w:tc>
        <w:tc>
          <w:tcPr>
            <w:tcW w:w="1611" w:type="pct"/>
            <w:vAlign w:val="center"/>
          </w:tcPr>
          <w:p w14:paraId="59509E05">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55</w:t>
            </w:r>
            <w:r>
              <w:rPr>
                <w:color w:val="0D0D0D" w:themeColor="text1" w:themeTint="F2"/>
                <w:spacing w:val="12"/>
                <w:sz w:val="21"/>
                <w14:textFill>
                  <w14:solidFill>
                    <w14:schemeClr w14:val="tx1">
                      <w14:lumMod w14:val="95000"/>
                      <w14:lumOff w14:val="5000"/>
                    </w14:schemeClr>
                  </w14:solidFill>
                </w14:textFill>
              </w:rPr>
              <w:t>dB</w:t>
            </w:r>
            <w:r>
              <w:rPr>
                <w:rFonts w:hint="eastAsia"/>
                <w:color w:val="0D0D0D" w:themeColor="text1" w:themeTint="F2"/>
                <w:spacing w:val="12"/>
                <w:sz w:val="21"/>
                <w14:textFill>
                  <w14:solidFill>
                    <w14:schemeClr w14:val="tx1">
                      <w14:lumMod w14:val="95000"/>
                      <w14:lumOff w14:val="5000"/>
                    </w14:schemeClr>
                  </w14:solidFill>
                </w14:textFill>
              </w:rPr>
              <w:t>(</w:t>
            </w:r>
            <w:r>
              <w:rPr>
                <w:color w:val="0D0D0D" w:themeColor="text1" w:themeTint="F2"/>
                <w:spacing w:val="12"/>
                <w:sz w:val="21"/>
                <w14:textFill>
                  <w14:solidFill>
                    <w14:schemeClr w14:val="tx1">
                      <w14:lumMod w14:val="95000"/>
                      <w14:lumOff w14:val="5000"/>
                    </w14:schemeClr>
                  </w14:solidFill>
                </w14:textFill>
              </w:rPr>
              <w:t>A</w:t>
            </w:r>
            <w:r>
              <w:rPr>
                <w:rFonts w:hint="eastAsia"/>
                <w:color w:val="0D0D0D" w:themeColor="text1" w:themeTint="F2"/>
                <w:spacing w:val="12"/>
                <w:sz w:val="21"/>
                <w14:textFill>
                  <w14:solidFill>
                    <w14:schemeClr w14:val="tx1">
                      <w14:lumMod w14:val="95000"/>
                      <w14:lumOff w14:val="5000"/>
                    </w14:schemeClr>
                  </w14:solidFill>
                </w14:textFill>
              </w:rPr>
              <w:t>)</w:t>
            </w:r>
          </w:p>
        </w:tc>
      </w:tr>
    </w:tbl>
    <w:p w14:paraId="7FBB74F2">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（4）固体废物</w:t>
      </w:r>
    </w:p>
    <w:p w14:paraId="41FE503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项目施工期固体废物按照《中华人民共和国固体废物污染环境防治法（2020年修订）》有关规定进行处置。</w:t>
      </w:r>
    </w:p>
    <w:p w14:paraId="065CDE99">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项目运营期一般固废按《排污许可证申请与核发技术规范  工业固体废物（试行）》（HJ1200-2021）和《中华人民共和国固体废物污染环境防治法（2020年修订）》要求执行，其贮存过程应满足防渗漏、防雨淋、防扬尘等环境保护要求；危险废物厂内暂存执行《危险废物贮存污染控制标准》（GB18597-2023）相关要求；生活垃圾执行《中华人民共和国固体废物污染环境防治法》（2020修订版）相关要求。</w:t>
      </w:r>
    </w:p>
    <w:p w14:paraId="47CE4578">
      <w:pPr>
        <w:pStyle w:val="8"/>
      </w:pPr>
      <w:bookmarkStart w:id="43" w:name="_Toc204062544"/>
      <w:r>
        <w:rPr>
          <w:rFonts w:hint="eastAsia"/>
        </w:rPr>
        <w:t>评价工作等级与评价范围</w:t>
      </w:r>
      <w:bookmarkEnd w:id="43"/>
    </w:p>
    <w:p w14:paraId="045F0EDC">
      <w:pPr>
        <w:pStyle w:val="9"/>
        <w:numPr>
          <w:ilvl w:val="2"/>
          <w:numId w:val="15"/>
        </w:numPr>
      </w:pPr>
      <w:bookmarkStart w:id="44" w:name="_Toc204062545"/>
      <w:r>
        <w:rPr>
          <w:rFonts w:hint="eastAsia"/>
        </w:rPr>
        <w:t>大气环境评价工作等级和评价范围</w:t>
      </w:r>
      <w:bookmarkEnd w:id="44"/>
    </w:p>
    <w:p w14:paraId="28141F7A">
      <w:pPr>
        <w:pStyle w:val="10"/>
      </w:pPr>
      <w:r>
        <w:rPr>
          <w:rFonts w:hint="eastAsia"/>
        </w:rPr>
        <w:t>评价等级</w:t>
      </w:r>
    </w:p>
    <w:p w14:paraId="5EAA66A5">
      <w:pPr>
        <w:ind w:firstLine="480"/>
        <w:rPr>
          <w:rFonts w:cs="Times New Roman"/>
          <w:color w:val="0D0D0D" w:themeColor="text1" w:themeTint="F2"/>
          <w:szCs w:val="24"/>
          <w14:textFill>
            <w14:solidFill>
              <w14:schemeClr w14:val="tx1">
                <w14:lumMod w14:val="95000"/>
                <w14:lumOff w14:val="5000"/>
              </w14:schemeClr>
            </w14:solidFill>
          </w14:textFill>
        </w:rPr>
      </w:pPr>
      <w:bookmarkStart w:id="45" w:name="_Hlk166950057"/>
      <w:r>
        <w:rPr>
          <w:rFonts w:cs="Times New Roman"/>
          <w:color w:val="0D0D0D" w:themeColor="text1" w:themeTint="F2"/>
          <w:szCs w:val="24"/>
          <w14:textFill>
            <w14:solidFill>
              <w14:schemeClr w14:val="tx1">
                <w14:lumMod w14:val="95000"/>
                <w14:lumOff w14:val="5000"/>
              </w14:schemeClr>
            </w14:solidFill>
          </w14:textFill>
        </w:rPr>
        <w:t xml:space="preserve">根据《环境影响评价技术导则 </w:t>
      </w:r>
      <w:r>
        <w:rPr>
          <w:rFonts w:hint="eastAsia" w:cs="Times New Roman"/>
          <w:color w:val="0D0D0D" w:themeColor="text1" w:themeTint="F2"/>
          <w:szCs w:val="24"/>
          <w14:textFill>
            <w14:solidFill>
              <w14:schemeClr w14:val="tx1">
                <w14:lumMod w14:val="95000"/>
                <w14:lumOff w14:val="5000"/>
              </w14:schemeClr>
            </w14:solidFill>
          </w14:textFill>
        </w:rPr>
        <w:t xml:space="preserve"> </w:t>
      </w:r>
      <w:r>
        <w:rPr>
          <w:rFonts w:cs="Times New Roman"/>
          <w:color w:val="0D0D0D" w:themeColor="text1" w:themeTint="F2"/>
          <w:szCs w:val="24"/>
          <w14:textFill>
            <w14:solidFill>
              <w14:schemeClr w14:val="tx1">
                <w14:lumMod w14:val="95000"/>
                <w14:lumOff w14:val="5000"/>
              </w14:schemeClr>
            </w14:solidFill>
          </w14:textFill>
        </w:rPr>
        <w:t>大气环境》</w:t>
      </w:r>
      <w:r>
        <w:rPr>
          <w:rFonts w:hint="eastAsia" w:cs="Times New Roman"/>
          <w:color w:val="0D0D0D" w:themeColor="text1" w:themeTint="F2"/>
          <w:szCs w:val="24"/>
          <w14:textFill>
            <w14:solidFill>
              <w14:schemeClr w14:val="tx1">
                <w14:lumMod w14:val="95000"/>
                <w14:lumOff w14:val="5000"/>
              </w14:schemeClr>
            </w14:solidFill>
          </w14:textFill>
        </w:rPr>
        <w:t>（</w:t>
      </w:r>
      <w:r>
        <w:rPr>
          <w:rFonts w:cs="Times New Roman"/>
          <w:color w:val="0D0D0D" w:themeColor="text1" w:themeTint="F2"/>
          <w:szCs w:val="24"/>
          <w14:textFill>
            <w14:solidFill>
              <w14:schemeClr w14:val="tx1">
                <w14:lumMod w14:val="95000"/>
                <w14:lumOff w14:val="5000"/>
              </w14:schemeClr>
            </w14:solidFill>
          </w14:textFill>
        </w:rPr>
        <w:t>HJ2.2-2018</w:t>
      </w:r>
      <w:r>
        <w:rPr>
          <w:rFonts w:hint="eastAsia" w:cs="Times New Roman"/>
          <w:color w:val="0D0D0D" w:themeColor="text1" w:themeTint="F2"/>
          <w:szCs w:val="24"/>
          <w14:textFill>
            <w14:solidFill>
              <w14:schemeClr w14:val="tx1">
                <w14:lumMod w14:val="95000"/>
                <w14:lumOff w14:val="5000"/>
              </w14:schemeClr>
            </w14:solidFill>
          </w14:textFill>
        </w:rPr>
        <w:t>）</w:t>
      </w:r>
      <w:r>
        <w:rPr>
          <w:rFonts w:cs="Times New Roman"/>
          <w:color w:val="0D0D0D" w:themeColor="text1" w:themeTint="F2"/>
          <w:szCs w:val="24"/>
          <w14:textFill>
            <w14:solidFill>
              <w14:schemeClr w14:val="tx1">
                <w14:lumMod w14:val="95000"/>
                <w14:lumOff w14:val="5000"/>
              </w14:schemeClr>
            </w14:solidFill>
          </w14:textFill>
        </w:rPr>
        <w:t>，</w:t>
      </w:r>
      <w:r>
        <w:rPr>
          <w:rFonts w:hint="eastAsia" w:cs="Times New Roman"/>
          <w:color w:val="0D0D0D" w:themeColor="text1" w:themeTint="F2"/>
          <w:szCs w:val="24"/>
          <w14:textFill>
            <w14:solidFill>
              <w14:schemeClr w14:val="tx1">
                <w14:lumMod w14:val="95000"/>
                <w14:lumOff w14:val="5000"/>
              </w14:schemeClr>
            </w14:solidFill>
          </w14:textFill>
        </w:rPr>
        <w:t>选择项目排放的主要污染物，利用推荐模式中的估算模式，分别计算主要污染物的最大地面浓度占标率Pi（第i个污染物）及第i个污染物的地面浓度达标准限值10%时所对应的最远距离D10%。</w:t>
      </w:r>
    </w:p>
    <w:p w14:paraId="4A30B99B">
      <w:pPr>
        <w:snapToGrid w:val="0"/>
        <w:jc w:val="center"/>
        <w:rPr>
          <w:rFonts w:cs="Times New Roman"/>
          <w:color w:val="0D0D0D" w:themeColor="text1" w:themeTint="F2"/>
          <w:spacing w:val="12"/>
          <w:kern w:val="10"/>
          <w:szCs w:val="24"/>
          <w14:textFill>
            <w14:solidFill>
              <w14:schemeClr w14:val="tx1">
                <w14:lumMod w14:val="95000"/>
                <w14:lumOff w14:val="5000"/>
              </w14:schemeClr>
            </w14:solidFill>
          </w14:textFill>
        </w:rPr>
      </w:pPr>
      <m:oMathPara>
        <m:oMath>
          <m:sSub>
            <m:sSubPr>
              <m:ctrlPr>
                <w:rPr>
                  <w:rFonts w:ascii="Cambria Math" w:hAnsi="Cambria Math" w:cs="Times New Roman"/>
                  <w:i/>
                  <w:color w:val="0D0D0D" w:themeColor="text1" w:themeTint="F2"/>
                  <w:spacing w:val="12"/>
                  <w:kern w:val="10"/>
                  <w:szCs w:val="24"/>
                  <w14:textFill>
                    <w14:solidFill>
                      <w14:schemeClr w14:val="tx1">
                        <w14:lumMod w14:val="95000"/>
                        <w14:lumOff w14:val="5000"/>
                      </w14:schemeClr>
                    </w14:solidFill>
                  </w14:textFill>
                </w:rPr>
              </m:ctrlPr>
            </m:sSubPr>
            <m:e>
              <m:r>
                <m:rPr/>
                <w:rPr>
                  <w:rFonts w:ascii="Cambria Math" w:hAnsi="Cambria Math" w:cs="Times New Roman"/>
                  <w:color w:val="0D0D0D" w:themeColor="text1" w:themeTint="F2"/>
                  <w:spacing w:val="12"/>
                  <w:kern w:val="10"/>
                  <w:szCs w:val="24"/>
                  <w14:textFill>
                    <w14:solidFill>
                      <w14:schemeClr w14:val="tx1">
                        <w14:lumMod w14:val="95000"/>
                        <w14:lumOff w14:val="5000"/>
                      </w14:schemeClr>
                    </w14:solidFill>
                  </w14:textFill>
                </w:rPr>
                <m:t>P</m:t>
              </m:r>
              <m:ctrlPr>
                <w:rPr>
                  <w:rFonts w:ascii="Cambria Math" w:hAnsi="Cambria Math" w:cs="Times New Roman"/>
                  <w:i/>
                  <w:color w:val="0D0D0D" w:themeColor="text1" w:themeTint="F2"/>
                  <w:spacing w:val="12"/>
                  <w:kern w:val="10"/>
                  <w:szCs w:val="24"/>
                  <w14:textFill>
                    <w14:solidFill>
                      <w14:schemeClr w14:val="tx1">
                        <w14:lumMod w14:val="95000"/>
                        <w14:lumOff w14:val="5000"/>
                      </w14:schemeClr>
                    </w14:solidFill>
                  </w14:textFill>
                </w:rPr>
              </m:ctrlPr>
            </m:e>
            <m:sub>
              <m:r>
                <m:rPr/>
                <w:rPr>
                  <w:rFonts w:hint="eastAsia" w:ascii="Cambria Math" w:hAnsi="Cambria Math" w:cs="Times New Roman"/>
                  <w:color w:val="0D0D0D" w:themeColor="text1" w:themeTint="F2"/>
                  <w:spacing w:val="12"/>
                  <w:kern w:val="10"/>
                  <w:szCs w:val="24"/>
                  <w14:textFill>
                    <w14:solidFill>
                      <w14:schemeClr w14:val="tx1">
                        <w14:lumMod w14:val="95000"/>
                        <w14:lumOff w14:val="5000"/>
                      </w14:schemeClr>
                    </w14:solidFill>
                  </w14:textFill>
                </w:rPr>
                <m:t>i</m:t>
              </m:r>
              <m:ctrlPr>
                <w:rPr>
                  <w:rFonts w:ascii="Cambria Math" w:hAnsi="Cambria Math" w:cs="Times New Roman"/>
                  <w:i/>
                  <w:color w:val="0D0D0D" w:themeColor="text1" w:themeTint="F2"/>
                  <w:spacing w:val="12"/>
                  <w:kern w:val="10"/>
                  <w:szCs w:val="24"/>
                  <w14:textFill>
                    <w14:solidFill>
                      <w14:schemeClr w14:val="tx1">
                        <w14:lumMod w14:val="95000"/>
                        <w14:lumOff w14:val="5000"/>
                      </w14:schemeClr>
                    </w14:solidFill>
                  </w14:textFill>
                </w:rPr>
              </m:ctrlPr>
            </m:sub>
          </m:sSub>
          <m:r>
            <m:rPr/>
            <w:rPr>
              <w:rFonts w:ascii="Cambria Math" w:hAnsi="Cambria Math" w:cs="Times New Roman"/>
              <w:color w:val="0D0D0D" w:themeColor="text1" w:themeTint="F2"/>
              <w:spacing w:val="12"/>
              <w:kern w:val="10"/>
              <w:szCs w:val="24"/>
              <w14:textFill>
                <w14:solidFill>
                  <w14:schemeClr w14:val="tx1">
                    <w14:lumMod w14:val="95000"/>
                    <w14:lumOff w14:val="5000"/>
                  </w14:schemeClr>
                </w14:solidFill>
              </w14:textFill>
            </w:rPr>
            <m:t>=</m:t>
          </m:r>
          <m:f>
            <m:fPr>
              <m:ctrlPr>
                <w:rPr>
                  <w:rFonts w:ascii="Cambria Math" w:hAnsi="Cambria Math" w:cs="Times New Roman"/>
                  <w:i/>
                  <w:color w:val="0D0D0D" w:themeColor="text1" w:themeTint="F2"/>
                  <w:spacing w:val="12"/>
                  <w:kern w:val="10"/>
                  <w:szCs w:val="24"/>
                  <w14:textFill>
                    <w14:solidFill>
                      <w14:schemeClr w14:val="tx1">
                        <w14:lumMod w14:val="95000"/>
                        <w14:lumOff w14:val="5000"/>
                      </w14:schemeClr>
                    </w14:solidFill>
                  </w14:textFill>
                </w:rPr>
              </m:ctrlPr>
            </m:fPr>
            <m:num>
              <m:sSub>
                <m:sSubPr>
                  <m:ctrlPr>
                    <w:rPr>
                      <w:rFonts w:ascii="Cambria Math" w:hAnsi="Cambria Math" w:cs="Times New Roman"/>
                      <w:i/>
                      <w:color w:val="0D0D0D" w:themeColor="text1" w:themeTint="F2"/>
                      <w:spacing w:val="12"/>
                      <w:kern w:val="10"/>
                      <w:szCs w:val="24"/>
                      <w14:textFill>
                        <w14:solidFill>
                          <w14:schemeClr w14:val="tx1">
                            <w14:lumMod w14:val="95000"/>
                            <w14:lumOff w14:val="5000"/>
                          </w14:schemeClr>
                        </w14:solidFill>
                      </w14:textFill>
                    </w:rPr>
                  </m:ctrlPr>
                </m:sSubPr>
                <m:e>
                  <m:r>
                    <m:rPr/>
                    <w:rPr>
                      <w:rFonts w:ascii="Cambria Math" w:hAnsi="Cambria Math" w:cs="Times New Roman"/>
                      <w:color w:val="0D0D0D" w:themeColor="text1" w:themeTint="F2"/>
                      <w:spacing w:val="12"/>
                      <w:kern w:val="10"/>
                      <w:szCs w:val="24"/>
                      <w14:textFill>
                        <w14:solidFill>
                          <w14:schemeClr w14:val="tx1">
                            <w14:lumMod w14:val="95000"/>
                            <w14:lumOff w14:val="5000"/>
                          </w14:schemeClr>
                        </w14:solidFill>
                      </w14:textFill>
                    </w:rPr>
                    <m:t>C</m:t>
                  </m:r>
                  <m:ctrlPr>
                    <w:rPr>
                      <w:rFonts w:ascii="Cambria Math" w:hAnsi="Cambria Math" w:cs="Times New Roman"/>
                      <w:i/>
                      <w:color w:val="0D0D0D" w:themeColor="text1" w:themeTint="F2"/>
                      <w:spacing w:val="12"/>
                      <w:kern w:val="10"/>
                      <w:szCs w:val="24"/>
                      <w14:textFill>
                        <w14:solidFill>
                          <w14:schemeClr w14:val="tx1">
                            <w14:lumMod w14:val="95000"/>
                            <w14:lumOff w14:val="5000"/>
                          </w14:schemeClr>
                        </w14:solidFill>
                      </w14:textFill>
                    </w:rPr>
                  </m:ctrlPr>
                </m:e>
                <m:sub>
                  <m:r>
                    <m:rPr/>
                    <w:rPr>
                      <w:rFonts w:hint="eastAsia" w:ascii="Cambria Math" w:hAnsi="Cambria Math" w:cs="Times New Roman"/>
                      <w:color w:val="0D0D0D" w:themeColor="text1" w:themeTint="F2"/>
                      <w:spacing w:val="12"/>
                      <w:kern w:val="10"/>
                      <w:szCs w:val="24"/>
                      <w14:textFill>
                        <w14:solidFill>
                          <w14:schemeClr w14:val="tx1">
                            <w14:lumMod w14:val="95000"/>
                            <w14:lumOff w14:val="5000"/>
                          </w14:schemeClr>
                        </w14:solidFill>
                      </w14:textFill>
                    </w:rPr>
                    <m:t>i</m:t>
                  </m:r>
                  <m:ctrlPr>
                    <w:rPr>
                      <w:rFonts w:ascii="Cambria Math" w:hAnsi="Cambria Math" w:cs="Times New Roman"/>
                      <w:i/>
                      <w:color w:val="0D0D0D" w:themeColor="text1" w:themeTint="F2"/>
                      <w:spacing w:val="12"/>
                      <w:kern w:val="10"/>
                      <w:szCs w:val="24"/>
                      <w14:textFill>
                        <w14:solidFill>
                          <w14:schemeClr w14:val="tx1">
                            <w14:lumMod w14:val="95000"/>
                            <w14:lumOff w14:val="5000"/>
                          </w14:schemeClr>
                        </w14:solidFill>
                      </w14:textFill>
                    </w:rPr>
                  </m:ctrlPr>
                </m:sub>
              </m:sSub>
              <m:ctrlPr>
                <w:rPr>
                  <w:rFonts w:ascii="Cambria Math" w:hAnsi="Cambria Math" w:cs="Times New Roman"/>
                  <w:i/>
                  <w:color w:val="0D0D0D" w:themeColor="text1" w:themeTint="F2"/>
                  <w:spacing w:val="12"/>
                  <w:kern w:val="10"/>
                  <w:szCs w:val="24"/>
                  <w14:textFill>
                    <w14:solidFill>
                      <w14:schemeClr w14:val="tx1">
                        <w14:lumMod w14:val="95000"/>
                        <w14:lumOff w14:val="5000"/>
                      </w14:schemeClr>
                    </w14:solidFill>
                  </w14:textFill>
                </w:rPr>
              </m:ctrlPr>
            </m:num>
            <m:den>
              <m:sSub>
                <m:sSubPr>
                  <m:ctrlPr>
                    <w:rPr>
                      <w:rFonts w:ascii="Cambria Math" w:hAnsi="Cambria Math" w:cs="Times New Roman"/>
                      <w:i/>
                      <w:color w:val="0D0D0D" w:themeColor="text1" w:themeTint="F2"/>
                      <w:spacing w:val="12"/>
                      <w:kern w:val="10"/>
                      <w:szCs w:val="24"/>
                      <w14:textFill>
                        <w14:solidFill>
                          <w14:schemeClr w14:val="tx1">
                            <w14:lumMod w14:val="95000"/>
                            <w14:lumOff w14:val="5000"/>
                          </w14:schemeClr>
                        </w14:solidFill>
                      </w14:textFill>
                    </w:rPr>
                  </m:ctrlPr>
                </m:sSubPr>
                <m:e>
                  <m:r>
                    <m:rPr/>
                    <w:rPr>
                      <w:rFonts w:ascii="Cambria Math" w:hAnsi="Cambria Math" w:cs="Times New Roman"/>
                      <w:color w:val="0D0D0D" w:themeColor="text1" w:themeTint="F2"/>
                      <w:spacing w:val="12"/>
                      <w:kern w:val="10"/>
                      <w:szCs w:val="24"/>
                      <w14:textFill>
                        <w14:solidFill>
                          <w14:schemeClr w14:val="tx1">
                            <w14:lumMod w14:val="95000"/>
                            <w14:lumOff w14:val="5000"/>
                          </w14:schemeClr>
                        </w14:solidFill>
                      </w14:textFill>
                    </w:rPr>
                    <m:t>C</m:t>
                  </m:r>
                  <m:ctrlPr>
                    <w:rPr>
                      <w:rFonts w:ascii="Cambria Math" w:hAnsi="Cambria Math" w:cs="Times New Roman"/>
                      <w:i/>
                      <w:color w:val="0D0D0D" w:themeColor="text1" w:themeTint="F2"/>
                      <w:spacing w:val="12"/>
                      <w:kern w:val="10"/>
                      <w:szCs w:val="24"/>
                      <w14:textFill>
                        <w14:solidFill>
                          <w14:schemeClr w14:val="tx1">
                            <w14:lumMod w14:val="95000"/>
                            <w14:lumOff w14:val="5000"/>
                          </w14:schemeClr>
                        </w14:solidFill>
                      </w14:textFill>
                    </w:rPr>
                  </m:ctrlPr>
                </m:e>
                <m:sub>
                  <m:r>
                    <m:rPr/>
                    <w:rPr>
                      <w:rFonts w:ascii="Cambria Math" w:hAnsi="Cambria Math" w:cs="Times New Roman"/>
                      <w:color w:val="0D0D0D" w:themeColor="text1" w:themeTint="F2"/>
                      <w:spacing w:val="12"/>
                      <w:kern w:val="10"/>
                      <w:szCs w:val="24"/>
                      <w14:textFill>
                        <w14:solidFill>
                          <w14:schemeClr w14:val="tx1">
                            <w14:lumMod w14:val="95000"/>
                            <w14:lumOff w14:val="5000"/>
                          </w14:schemeClr>
                        </w14:solidFill>
                      </w14:textFill>
                    </w:rPr>
                    <m:t>oi</m:t>
                  </m:r>
                  <m:ctrlPr>
                    <w:rPr>
                      <w:rFonts w:ascii="Cambria Math" w:hAnsi="Cambria Math" w:cs="Times New Roman"/>
                      <w:i/>
                      <w:color w:val="0D0D0D" w:themeColor="text1" w:themeTint="F2"/>
                      <w:spacing w:val="12"/>
                      <w:kern w:val="10"/>
                      <w:szCs w:val="24"/>
                      <w14:textFill>
                        <w14:solidFill>
                          <w14:schemeClr w14:val="tx1">
                            <w14:lumMod w14:val="95000"/>
                            <w14:lumOff w14:val="5000"/>
                          </w14:schemeClr>
                        </w14:solidFill>
                      </w14:textFill>
                    </w:rPr>
                  </m:ctrlPr>
                </m:sub>
              </m:sSub>
              <m:ctrlPr>
                <w:rPr>
                  <w:rFonts w:ascii="Cambria Math" w:hAnsi="Cambria Math" w:cs="Times New Roman"/>
                  <w:i/>
                  <w:color w:val="0D0D0D" w:themeColor="text1" w:themeTint="F2"/>
                  <w:spacing w:val="12"/>
                  <w:kern w:val="10"/>
                  <w:szCs w:val="24"/>
                  <w14:textFill>
                    <w14:solidFill>
                      <w14:schemeClr w14:val="tx1">
                        <w14:lumMod w14:val="95000"/>
                        <w14:lumOff w14:val="5000"/>
                      </w14:schemeClr>
                    </w14:solidFill>
                  </w14:textFill>
                </w:rPr>
              </m:ctrlPr>
            </m:den>
          </m:f>
          <m:r>
            <m:rPr/>
            <w:rPr>
              <w:rFonts w:ascii="Cambria Math" w:hAnsi="Cambria Math" w:cs="Times New Roman"/>
              <w:color w:val="0D0D0D" w:themeColor="text1" w:themeTint="F2"/>
              <w:spacing w:val="12"/>
              <w:kern w:val="10"/>
              <w:szCs w:val="24"/>
              <w14:textFill>
                <w14:solidFill>
                  <w14:schemeClr w14:val="tx1">
                    <w14:lumMod w14:val="95000"/>
                    <w14:lumOff w14:val="5000"/>
                  </w14:schemeClr>
                </w14:solidFill>
              </w14:textFill>
            </w:rPr>
            <m:t>×100%</m:t>
          </m:r>
        </m:oMath>
      </m:oMathPara>
    </w:p>
    <w:p w14:paraId="4A4D5E34">
      <w:pPr>
        <w:ind w:firstLine="48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式中：</w:t>
      </w:r>
    </w:p>
    <w:p w14:paraId="1523C424">
      <w:pPr>
        <w:ind w:firstLine="48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P</w:t>
      </w:r>
      <w:r>
        <w:rPr>
          <w:color w:val="0D0D0D" w:themeColor="text1" w:themeTint="F2"/>
          <w:vertAlign w:val="subscript"/>
          <w14:textFill>
            <w14:solidFill>
              <w14:schemeClr w14:val="tx1">
                <w14:lumMod w14:val="95000"/>
                <w14:lumOff w14:val="5000"/>
              </w14:schemeClr>
            </w14:solidFill>
          </w14:textFill>
        </w:rPr>
        <w:t>i</w:t>
      </w:r>
      <w:r>
        <w:rPr>
          <w:color w:val="0D0D0D" w:themeColor="text1" w:themeTint="F2"/>
          <w14:textFill>
            <w14:solidFill>
              <w14:schemeClr w14:val="tx1">
                <w14:lumMod w14:val="95000"/>
                <w14:lumOff w14:val="5000"/>
              </w14:schemeClr>
            </w14:solidFill>
          </w14:textFill>
        </w:rPr>
        <w:t>——第i个污染物的最大地面空气质量浓度占标率，%；</w:t>
      </w:r>
    </w:p>
    <w:p w14:paraId="646CAAF3">
      <w:pPr>
        <w:ind w:firstLine="48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C</w:t>
      </w:r>
      <w:r>
        <w:rPr>
          <w:color w:val="0D0D0D" w:themeColor="text1" w:themeTint="F2"/>
          <w:vertAlign w:val="subscript"/>
          <w14:textFill>
            <w14:solidFill>
              <w14:schemeClr w14:val="tx1">
                <w14:lumMod w14:val="95000"/>
                <w14:lumOff w14:val="5000"/>
              </w14:schemeClr>
            </w14:solidFill>
          </w14:textFill>
        </w:rPr>
        <w:t>i</w:t>
      </w:r>
      <w:r>
        <w:rPr>
          <w:color w:val="0D0D0D" w:themeColor="text1" w:themeTint="F2"/>
          <w14:textFill>
            <w14:solidFill>
              <w14:schemeClr w14:val="tx1">
                <w14:lumMod w14:val="95000"/>
                <w14:lumOff w14:val="5000"/>
              </w14:schemeClr>
            </w14:solidFill>
          </w14:textFill>
        </w:rPr>
        <w:t>——采用估算模型计算出的第i个污染物的最大1h地面空气质量浓度，μg/m</w:t>
      </w:r>
      <w:r>
        <w:rPr>
          <w:color w:val="0D0D0D" w:themeColor="text1" w:themeTint="F2"/>
          <w:vertAlign w:val="superscript"/>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w:t>
      </w:r>
    </w:p>
    <w:p w14:paraId="7EF8499E">
      <w:pPr>
        <w:ind w:firstLine="48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C</w:t>
      </w:r>
      <w:r>
        <w:rPr>
          <w:color w:val="0D0D0D" w:themeColor="text1" w:themeTint="F2"/>
          <w:vertAlign w:val="subscript"/>
          <w14:textFill>
            <w14:solidFill>
              <w14:schemeClr w14:val="tx1">
                <w14:lumMod w14:val="95000"/>
                <w14:lumOff w14:val="5000"/>
              </w14:schemeClr>
            </w14:solidFill>
          </w14:textFill>
        </w:rPr>
        <w:t>oi</w:t>
      </w:r>
      <w:r>
        <w:rPr>
          <w:color w:val="0D0D0D" w:themeColor="text1" w:themeTint="F2"/>
          <w14:textFill>
            <w14:solidFill>
              <w14:schemeClr w14:val="tx1">
                <w14:lumMod w14:val="95000"/>
                <w14:lumOff w14:val="5000"/>
              </w14:schemeClr>
            </w14:solidFill>
          </w14:textFill>
        </w:rPr>
        <w:t>——第i个污染物的环境空气质量标准，μg/m</w:t>
      </w:r>
      <w:r>
        <w:rPr>
          <w:color w:val="0D0D0D" w:themeColor="text1" w:themeTint="F2"/>
          <w:vertAlign w:val="superscript"/>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w:t>
      </w:r>
      <w:bookmarkEnd w:id="45"/>
      <w:r>
        <w:rPr>
          <w:rFonts w:hint="eastAsia"/>
          <w:color w:val="0D0D0D" w:themeColor="text1" w:themeTint="F2"/>
          <w14:textFill>
            <w14:solidFill>
              <w14:schemeClr w14:val="tx1">
                <w14:lumMod w14:val="95000"/>
                <w14:lumOff w14:val="5000"/>
              </w14:schemeClr>
            </w14:solidFill>
          </w14:textFill>
        </w:rPr>
        <w:t>一般选用GB3095中1小时平均质量浓度的二级浓度限值，如已有地方环境质量标准，应选用地方标准中的浓度限值；对于GB3095及地方环境质量标准中未包含的污染物，可参照HJ2.2附录D中的浓度限值；对于上述标准中均未包含的污染物，可参照选用其他国家、国际组织发布的环境质量浓度限值或基准值，但应作出说明。对仅有8h平均质量浓度限值、日平均质量浓度限值或年均质量浓度限值的，可分别按2倍、3倍、6倍折算为1h。</w:t>
      </w:r>
    </w:p>
    <w:p w14:paraId="7A652479">
      <w:pPr>
        <w:ind w:firstLine="48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环境空气评价工作等级判据详见表2.5-1。</w:t>
      </w:r>
    </w:p>
    <w:p w14:paraId="4572A683">
      <w:pPr>
        <w:pStyle w:val="11"/>
        <w:numPr>
          <w:ilvl w:val="4"/>
          <w:numId w:val="16"/>
        </w:numPr>
      </w:pPr>
      <w:r>
        <w:rPr>
          <w:rFonts w:hint="eastAsia"/>
        </w:rPr>
        <w:t xml:space="preserve"> </w:t>
      </w:r>
      <w:bookmarkStart w:id="46" w:name="_Hlk204958333"/>
      <w:r>
        <w:rPr>
          <w:rFonts w:hint="eastAsia"/>
        </w:rPr>
        <w:t>环境空气评价工作等级判据</w:t>
      </w:r>
      <w:bookmarkEnd w:id="46"/>
    </w:p>
    <w:tbl>
      <w:tblPr>
        <w:tblStyle w:val="30"/>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6"/>
        <w:gridCol w:w="5819"/>
      </w:tblGrid>
      <w:tr w14:paraId="4DE51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66" w:type="dxa"/>
            <w:tcBorders>
              <w:bottom w:val="single" w:color="auto" w:sz="4" w:space="0"/>
              <w:right w:val="single" w:color="auto" w:sz="4" w:space="0"/>
            </w:tcBorders>
            <w:vAlign w:val="center"/>
          </w:tcPr>
          <w:p w14:paraId="380C0DAC">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评价工作等级</w:t>
            </w:r>
          </w:p>
        </w:tc>
        <w:tc>
          <w:tcPr>
            <w:tcW w:w="5819" w:type="dxa"/>
            <w:tcBorders>
              <w:left w:val="single" w:color="auto" w:sz="4" w:space="0"/>
              <w:bottom w:val="single" w:color="auto" w:sz="4" w:space="0"/>
            </w:tcBorders>
            <w:vAlign w:val="center"/>
          </w:tcPr>
          <w:p w14:paraId="41755906">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评价工作分级判据</w:t>
            </w:r>
          </w:p>
        </w:tc>
      </w:tr>
      <w:tr w14:paraId="496F4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66" w:type="dxa"/>
            <w:tcBorders>
              <w:top w:val="single" w:color="auto" w:sz="4" w:space="0"/>
              <w:bottom w:val="single" w:color="auto" w:sz="4" w:space="0"/>
              <w:right w:val="single" w:color="auto" w:sz="4" w:space="0"/>
            </w:tcBorders>
            <w:vAlign w:val="center"/>
          </w:tcPr>
          <w:p w14:paraId="68BD4E7A">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一级</w:t>
            </w:r>
          </w:p>
        </w:tc>
        <w:tc>
          <w:tcPr>
            <w:tcW w:w="5819" w:type="dxa"/>
            <w:tcBorders>
              <w:top w:val="single" w:color="auto" w:sz="4" w:space="0"/>
              <w:left w:val="single" w:color="auto" w:sz="4" w:space="0"/>
              <w:bottom w:val="single" w:color="auto" w:sz="4" w:space="0"/>
            </w:tcBorders>
            <w:vAlign w:val="center"/>
          </w:tcPr>
          <w:p w14:paraId="41789169">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P</w:t>
            </w:r>
            <w:r>
              <w:rPr>
                <w:rFonts w:cs="Times New Roman"/>
                <w:color w:val="0D0D0D" w:themeColor="text1" w:themeTint="F2"/>
                <w:sz w:val="21"/>
                <w:vertAlign w:val="subscript"/>
                <w14:textFill>
                  <w14:solidFill>
                    <w14:schemeClr w14:val="tx1">
                      <w14:lumMod w14:val="95000"/>
                      <w14:lumOff w14:val="5000"/>
                    </w14:schemeClr>
                  </w14:solidFill>
                </w14:textFill>
              </w:rPr>
              <w:t>max</w:t>
            </w:r>
            <w:r>
              <w:rPr>
                <w:rFonts w:cs="Times New Roman"/>
                <w:color w:val="0D0D0D" w:themeColor="text1" w:themeTint="F2"/>
                <w:sz w:val="21"/>
                <w14:textFill>
                  <w14:solidFill>
                    <w14:schemeClr w14:val="tx1">
                      <w14:lumMod w14:val="95000"/>
                      <w14:lumOff w14:val="5000"/>
                    </w14:schemeClr>
                  </w14:solidFill>
                </w14:textFill>
              </w:rPr>
              <w:t>≥10%</w:t>
            </w:r>
          </w:p>
        </w:tc>
      </w:tr>
      <w:tr w14:paraId="3762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66" w:type="dxa"/>
            <w:tcBorders>
              <w:top w:val="single" w:color="auto" w:sz="4" w:space="0"/>
              <w:bottom w:val="single" w:color="auto" w:sz="4" w:space="0"/>
              <w:right w:val="single" w:color="auto" w:sz="4" w:space="0"/>
            </w:tcBorders>
            <w:vAlign w:val="center"/>
          </w:tcPr>
          <w:p w14:paraId="4C698F38">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二级</w:t>
            </w:r>
          </w:p>
        </w:tc>
        <w:tc>
          <w:tcPr>
            <w:tcW w:w="5819" w:type="dxa"/>
            <w:tcBorders>
              <w:top w:val="single" w:color="auto" w:sz="4" w:space="0"/>
              <w:left w:val="single" w:color="auto" w:sz="4" w:space="0"/>
              <w:bottom w:val="single" w:color="auto" w:sz="4" w:space="0"/>
            </w:tcBorders>
            <w:vAlign w:val="center"/>
          </w:tcPr>
          <w:p w14:paraId="08A830BD">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1%&lt;P</w:t>
            </w:r>
            <w:r>
              <w:rPr>
                <w:rFonts w:cs="Times New Roman"/>
                <w:color w:val="0D0D0D" w:themeColor="text1" w:themeTint="F2"/>
                <w:sz w:val="21"/>
                <w:vertAlign w:val="subscript"/>
                <w14:textFill>
                  <w14:solidFill>
                    <w14:schemeClr w14:val="tx1">
                      <w14:lumMod w14:val="95000"/>
                      <w14:lumOff w14:val="5000"/>
                    </w14:schemeClr>
                  </w14:solidFill>
                </w14:textFill>
              </w:rPr>
              <w:t>max</w:t>
            </w:r>
            <w:r>
              <w:rPr>
                <w:rFonts w:cs="Times New Roman"/>
                <w:color w:val="0D0D0D" w:themeColor="text1" w:themeTint="F2"/>
                <w:sz w:val="21"/>
                <w14:textFill>
                  <w14:solidFill>
                    <w14:schemeClr w14:val="tx1">
                      <w14:lumMod w14:val="95000"/>
                      <w14:lumOff w14:val="5000"/>
                    </w14:schemeClr>
                  </w14:solidFill>
                </w14:textFill>
              </w:rPr>
              <w:t>&lt;10%</w:t>
            </w:r>
          </w:p>
        </w:tc>
      </w:tr>
      <w:tr w14:paraId="5B09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66" w:type="dxa"/>
            <w:tcBorders>
              <w:top w:val="single" w:color="auto" w:sz="4" w:space="0"/>
              <w:right w:val="single" w:color="auto" w:sz="4" w:space="0"/>
            </w:tcBorders>
            <w:vAlign w:val="center"/>
          </w:tcPr>
          <w:p w14:paraId="559D626E">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三级</w:t>
            </w:r>
          </w:p>
        </w:tc>
        <w:tc>
          <w:tcPr>
            <w:tcW w:w="5819" w:type="dxa"/>
            <w:tcBorders>
              <w:top w:val="single" w:color="auto" w:sz="4" w:space="0"/>
              <w:left w:val="single" w:color="auto" w:sz="4" w:space="0"/>
            </w:tcBorders>
            <w:vAlign w:val="center"/>
          </w:tcPr>
          <w:p w14:paraId="11D6084E">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P</w:t>
            </w:r>
            <w:r>
              <w:rPr>
                <w:rFonts w:cs="Times New Roman"/>
                <w:color w:val="0D0D0D" w:themeColor="text1" w:themeTint="F2"/>
                <w:sz w:val="21"/>
                <w:vertAlign w:val="subscript"/>
                <w14:textFill>
                  <w14:solidFill>
                    <w14:schemeClr w14:val="tx1">
                      <w14:lumMod w14:val="95000"/>
                      <w14:lumOff w14:val="5000"/>
                    </w14:schemeClr>
                  </w14:solidFill>
                </w14:textFill>
              </w:rPr>
              <w:t>max</w:t>
            </w:r>
            <w:r>
              <w:rPr>
                <w:rFonts w:cs="Times New Roman"/>
                <w:color w:val="0D0D0D" w:themeColor="text1" w:themeTint="F2"/>
                <w:sz w:val="21"/>
                <w14:textFill>
                  <w14:solidFill>
                    <w14:schemeClr w14:val="tx1">
                      <w14:lumMod w14:val="95000"/>
                      <w14:lumOff w14:val="5000"/>
                    </w14:schemeClr>
                  </w14:solidFill>
                </w14:textFill>
              </w:rPr>
              <w:t>&lt;1%</w:t>
            </w:r>
          </w:p>
        </w:tc>
      </w:tr>
    </w:tbl>
    <w:p w14:paraId="0A9D266D">
      <w:pPr>
        <w:pStyle w:val="2"/>
        <w:ind w:firstLine="240"/>
      </w:pPr>
      <w:bookmarkStart w:id="47" w:name="_Hlk204051027"/>
      <w:r>
        <w:br w:type="page"/>
      </w:r>
    </w:p>
    <w:p w14:paraId="6D271486">
      <w:pPr>
        <w:ind w:firstLine="48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根据《环境影响评价技术导则  大气环境》（HJ2.2-2018）</w:t>
      </w:r>
      <w:bookmarkEnd w:id="47"/>
      <w:r>
        <w:rPr>
          <w:rFonts w:hint="eastAsia"/>
          <w:color w:val="0D0D0D" w:themeColor="text1" w:themeTint="F2"/>
          <w14:textFill>
            <w14:solidFill>
              <w14:schemeClr w14:val="tx1">
                <w14:lumMod w14:val="95000"/>
                <w14:lumOff w14:val="5000"/>
              </w14:schemeClr>
            </w14:solidFill>
          </w14:textFill>
        </w:rPr>
        <w:t>，采用AERSCREEN模型筛选计算，估算模型参数详见表2.5-2。</w:t>
      </w:r>
    </w:p>
    <w:p w14:paraId="225A9EA3">
      <w:pPr>
        <w:pStyle w:val="11"/>
      </w:pPr>
      <w:r>
        <w:rPr>
          <w:rFonts w:hint="eastAsia"/>
        </w:rPr>
        <w:t xml:space="preserve"> 估算模型参数表</w:t>
      </w:r>
    </w:p>
    <w:tbl>
      <w:tblPr>
        <w:tblStyle w:val="30"/>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213"/>
        <w:gridCol w:w="3924"/>
        <w:gridCol w:w="2105"/>
      </w:tblGrid>
      <w:tr w14:paraId="748056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blHeader/>
        </w:trPr>
        <w:tc>
          <w:tcPr>
            <w:tcW w:w="3861" w:type="pct"/>
            <w:gridSpan w:val="2"/>
            <w:vAlign w:val="center"/>
          </w:tcPr>
          <w:p w14:paraId="2F9216C9">
            <w:pPr>
              <w:spacing w:line="240" w:lineRule="auto"/>
              <w:jc w:val="center"/>
              <w:rPr>
                <w:color w:val="0D0D0D" w:themeColor="text1" w:themeTint="F2"/>
                <w:sz w:val="21"/>
                <w:u w:val="single"/>
                <w14:textFill>
                  <w14:solidFill>
                    <w14:schemeClr w14:val="tx1">
                      <w14:lumMod w14:val="95000"/>
                      <w14:lumOff w14:val="5000"/>
                    </w14:schemeClr>
                  </w14:solidFill>
                </w14:textFill>
              </w:rPr>
            </w:pPr>
            <w:r>
              <w:rPr>
                <w:color w:val="0D0D0D" w:themeColor="text1" w:themeTint="F2"/>
                <w:sz w:val="21"/>
                <w:u w:val="single"/>
                <w14:textFill>
                  <w14:solidFill>
                    <w14:schemeClr w14:val="tx1">
                      <w14:lumMod w14:val="95000"/>
                      <w14:lumOff w14:val="5000"/>
                    </w14:schemeClr>
                  </w14:solidFill>
                </w14:textFill>
              </w:rPr>
              <w:t>参数</w:t>
            </w:r>
          </w:p>
        </w:tc>
        <w:tc>
          <w:tcPr>
            <w:tcW w:w="1139" w:type="pct"/>
            <w:vAlign w:val="center"/>
          </w:tcPr>
          <w:p w14:paraId="1280DBE3">
            <w:pPr>
              <w:spacing w:line="240" w:lineRule="auto"/>
              <w:jc w:val="center"/>
              <w:rPr>
                <w:color w:val="0D0D0D" w:themeColor="text1" w:themeTint="F2"/>
                <w:sz w:val="21"/>
                <w:u w:val="single"/>
                <w14:textFill>
                  <w14:solidFill>
                    <w14:schemeClr w14:val="tx1">
                      <w14:lumMod w14:val="95000"/>
                      <w14:lumOff w14:val="5000"/>
                    </w14:schemeClr>
                  </w14:solidFill>
                </w14:textFill>
              </w:rPr>
            </w:pPr>
            <w:r>
              <w:rPr>
                <w:color w:val="0D0D0D" w:themeColor="text1" w:themeTint="F2"/>
                <w:sz w:val="21"/>
                <w:u w:val="single"/>
                <w14:textFill>
                  <w14:solidFill>
                    <w14:schemeClr w14:val="tx1">
                      <w14:lumMod w14:val="95000"/>
                      <w14:lumOff w14:val="5000"/>
                    </w14:schemeClr>
                  </w14:solidFill>
                </w14:textFill>
              </w:rPr>
              <w:t>取值</w:t>
            </w:r>
          </w:p>
        </w:tc>
      </w:tr>
      <w:tr w14:paraId="780D42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738" w:type="pct"/>
            <w:vMerge w:val="restart"/>
            <w:vAlign w:val="center"/>
          </w:tcPr>
          <w:p w14:paraId="7A75E2F7">
            <w:pPr>
              <w:spacing w:line="240" w:lineRule="auto"/>
              <w:jc w:val="center"/>
              <w:rPr>
                <w:color w:val="0D0D0D" w:themeColor="text1" w:themeTint="F2"/>
                <w:sz w:val="21"/>
                <w:u w:val="single"/>
                <w14:textFill>
                  <w14:solidFill>
                    <w14:schemeClr w14:val="tx1">
                      <w14:lumMod w14:val="95000"/>
                      <w14:lumOff w14:val="5000"/>
                    </w14:schemeClr>
                  </w14:solidFill>
                </w14:textFill>
              </w:rPr>
            </w:pPr>
            <w:r>
              <w:rPr>
                <w:color w:val="0D0D0D" w:themeColor="text1" w:themeTint="F2"/>
                <w:sz w:val="21"/>
                <w:u w:val="single"/>
                <w14:textFill>
                  <w14:solidFill>
                    <w14:schemeClr w14:val="tx1">
                      <w14:lumMod w14:val="95000"/>
                      <w14:lumOff w14:val="5000"/>
                    </w14:schemeClr>
                  </w14:solidFill>
                </w14:textFill>
              </w:rPr>
              <w:t>城市/农村选项</w:t>
            </w:r>
          </w:p>
        </w:tc>
        <w:tc>
          <w:tcPr>
            <w:tcW w:w="2123" w:type="pct"/>
            <w:vAlign w:val="center"/>
          </w:tcPr>
          <w:p w14:paraId="179124FB">
            <w:pPr>
              <w:spacing w:line="240" w:lineRule="auto"/>
              <w:jc w:val="center"/>
              <w:rPr>
                <w:color w:val="0D0D0D" w:themeColor="text1" w:themeTint="F2"/>
                <w:sz w:val="21"/>
                <w:u w:val="single"/>
                <w14:textFill>
                  <w14:solidFill>
                    <w14:schemeClr w14:val="tx1">
                      <w14:lumMod w14:val="95000"/>
                      <w14:lumOff w14:val="5000"/>
                    </w14:schemeClr>
                  </w14:solidFill>
                </w14:textFill>
              </w:rPr>
            </w:pPr>
            <w:r>
              <w:rPr>
                <w:color w:val="0D0D0D" w:themeColor="text1" w:themeTint="F2"/>
                <w:sz w:val="21"/>
                <w:u w:val="single"/>
                <w14:textFill>
                  <w14:solidFill>
                    <w14:schemeClr w14:val="tx1">
                      <w14:lumMod w14:val="95000"/>
                      <w14:lumOff w14:val="5000"/>
                    </w14:schemeClr>
                  </w14:solidFill>
                </w14:textFill>
              </w:rPr>
              <w:t>城市/农村</w:t>
            </w:r>
          </w:p>
        </w:tc>
        <w:tc>
          <w:tcPr>
            <w:tcW w:w="1139" w:type="pct"/>
            <w:vAlign w:val="center"/>
          </w:tcPr>
          <w:p w14:paraId="36445F6A">
            <w:pPr>
              <w:spacing w:line="240" w:lineRule="auto"/>
              <w:jc w:val="center"/>
              <w:rPr>
                <w:color w:val="0D0D0D" w:themeColor="text1" w:themeTint="F2"/>
                <w:sz w:val="21"/>
                <w:u w:val="single"/>
                <w14:textFill>
                  <w14:solidFill>
                    <w14:schemeClr w14:val="tx1">
                      <w14:lumMod w14:val="95000"/>
                      <w14:lumOff w14:val="5000"/>
                    </w14:schemeClr>
                  </w14:solidFill>
                </w14:textFill>
              </w:rPr>
            </w:pPr>
            <w:r>
              <w:rPr>
                <w:rFonts w:hint="eastAsia"/>
                <w:color w:val="0D0D0D" w:themeColor="text1" w:themeTint="F2"/>
                <w:sz w:val="21"/>
                <w:u w:val="single"/>
                <w14:textFill>
                  <w14:solidFill>
                    <w14:schemeClr w14:val="tx1">
                      <w14:lumMod w14:val="95000"/>
                      <w14:lumOff w14:val="5000"/>
                    </w14:schemeClr>
                  </w14:solidFill>
                </w14:textFill>
              </w:rPr>
              <w:t>城市</w:t>
            </w:r>
          </w:p>
        </w:tc>
      </w:tr>
      <w:tr w14:paraId="4AC75F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738" w:type="pct"/>
            <w:vMerge w:val="continue"/>
            <w:vAlign w:val="center"/>
          </w:tcPr>
          <w:p w14:paraId="2FAE6638">
            <w:pPr>
              <w:spacing w:line="240" w:lineRule="auto"/>
              <w:jc w:val="center"/>
              <w:rPr>
                <w:color w:val="0D0D0D" w:themeColor="text1" w:themeTint="F2"/>
                <w:sz w:val="21"/>
                <w:u w:val="single"/>
                <w14:textFill>
                  <w14:solidFill>
                    <w14:schemeClr w14:val="tx1">
                      <w14:lumMod w14:val="95000"/>
                      <w14:lumOff w14:val="5000"/>
                    </w14:schemeClr>
                  </w14:solidFill>
                </w14:textFill>
              </w:rPr>
            </w:pPr>
          </w:p>
        </w:tc>
        <w:tc>
          <w:tcPr>
            <w:tcW w:w="2123" w:type="pct"/>
            <w:vAlign w:val="center"/>
          </w:tcPr>
          <w:p w14:paraId="50944CC8">
            <w:pPr>
              <w:spacing w:line="240" w:lineRule="auto"/>
              <w:jc w:val="center"/>
              <w:rPr>
                <w:color w:val="0D0D0D" w:themeColor="text1" w:themeTint="F2"/>
                <w:sz w:val="21"/>
                <w:u w:val="single"/>
                <w14:textFill>
                  <w14:solidFill>
                    <w14:schemeClr w14:val="tx1">
                      <w14:lumMod w14:val="95000"/>
                      <w14:lumOff w14:val="5000"/>
                    </w14:schemeClr>
                  </w14:solidFill>
                </w14:textFill>
              </w:rPr>
            </w:pPr>
            <w:r>
              <w:rPr>
                <w:color w:val="0D0D0D" w:themeColor="text1" w:themeTint="F2"/>
                <w:sz w:val="21"/>
                <w:u w:val="single"/>
                <w14:textFill>
                  <w14:solidFill>
                    <w14:schemeClr w14:val="tx1">
                      <w14:lumMod w14:val="95000"/>
                      <w14:lumOff w14:val="5000"/>
                    </w14:schemeClr>
                  </w14:solidFill>
                </w14:textFill>
              </w:rPr>
              <w:t>人口数</w:t>
            </w:r>
            <w:r>
              <w:rPr>
                <w:rFonts w:hint="eastAsia"/>
                <w:color w:val="0D0D0D" w:themeColor="text1" w:themeTint="F2"/>
                <w:sz w:val="21"/>
                <w:u w:val="single"/>
                <w14:textFill>
                  <w14:solidFill>
                    <w14:schemeClr w14:val="tx1">
                      <w14:lumMod w14:val="95000"/>
                      <w14:lumOff w14:val="5000"/>
                    </w14:schemeClr>
                  </w14:solidFill>
                </w14:textFill>
              </w:rPr>
              <w:t>（</w:t>
            </w:r>
            <w:r>
              <w:rPr>
                <w:color w:val="0D0D0D" w:themeColor="text1" w:themeTint="F2"/>
                <w:sz w:val="21"/>
                <w:u w:val="single"/>
                <w14:textFill>
                  <w14:solidFill>
                    <w14:schemeClr w14:val="tx1">
                      <w14:lumMod w14:val="95000"/>
                      <w14:lumOff w14:val="5000"/>
                    </w14:schemeClr>
                  </w14:solidFill>
                </w14:textFill>
              </w:rPr>
              <w:t>城市人口数</w:t>
            </w:r>
            <w:r>
              <w:rPr>
                <w:rFonts w:hint="eastAsia"/>
                <w:color w:val="0D0D0D" w:themeColor="text1" w:themeTint="F2"/>
                <w:sz w:val="21"/>
                <w:u w:val="single"/>
                <w14:textFill>
                  <w14:solidFill>
                    <w14:schemeClr w14:val="tx1">
                      <w14:lumMod w14:val="95000"/>
                      <w14:lumOff w14:val="5000"/>
                    </w14:schemeClr>
                  </w14:solidFill>
                </w14:textFill>
              </w:rPr>
              <w:t>）</w:t>
            </w:r>
          </w:p>
        </w:tc>
        <w:tc>
          <w:tcPr>
            <w:tcW w:w="1139" w:type="pct"/>
            <w:vAlign w:val="center"/>
          </w:tcPr>
          <w:p w14:paraId="645277B6">
            <w:pPr>
              <w:spacing w:line="240" w:lineRule="auto"/>
              <w:jc w:val="center"/>
              <w:rPr>
                <w:color w:val="0D0D0D" w:themeColor="text1" w:themeTint="F2"/>
                <w:sz w:val="21"/>
                <w:u w:val="single"/>
                <w14:textFill>
                  <w14:solidFill>
                    <w14:schemeClr w14:val="tx1">
                      <w14:lumMod w14:val="95000"/>
                      <w14:lumOff w14:val="5000"/>
                    </w14:schemeClr>
                  </w14:solidFill>
                </w14:textFill>
              </w:rPr>
            </w:pPr>
            <w:r>
              <w:rPr>
                <w:rFonts w:hint="eastAsia"/>
                <w:color w:val="0D0D0D" w:themeColor="text1" w:themeTint="F2"/>
                <w:sz w:val="21"/>
                <w:u w:val="single"/>
                <w14:textFill>
                  <w14:solidFill>
                    <w14:schemeClr w14:val="tx1">
                      <w14:lumMod w14:val="95000"/>
                      <w14:lumOff w14:val="5000"/>
                    </w14:schemeClr>
                  </w14:solidFill>
                </w14:textFill>
              </w:rPr>
              <w:t>90000</w:t>
            </w:r>
          </w:p>
        </w:tc>
      </w:tr>
      <w:tr w14:paraId="58BD17C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3861" w:type="pct"/>
            <w:gridSpan w:val="2"/>
            <w:vAlign w:val="center"/>
          </w:tcPr>
          <w:p w14:paraId="5DB6F224">
            <w:pPr>
              <w:spacing w:line="240" w:lineRule="auto"/>
              <w:jc w:val="center"/>
              <w:rPr>
                <w:color w:val="0D0D0D" w:themeColor="text1" w:themeTint="F2"/>
                <w:sz w:val="21"/>
                <w:u w:val="single"/>
                <w14:textFill>
                  <w14:solidFill>
                    <w14:schemeClr w14:val="tx1">
                      <w14:lumMod w14:val="95000"/>
                      <w14:lumOff w14:val="5000"/>
                    </w14:schemeClr>
                  </w14:solidFill>
                </w14:textFill>
              </w:rPr>
            </w:pPr>
            <w:r>
              <w:rPr>
                <w:color w:val="0D0D0D" w:themeColor="text1" w:themeTint="F2"/>
                <w:sz w:val="21"/>
                <w:u w:val="single"/>
                <w14:textFill>
                  <w14:solidFill>
                    <w14:schemeClr w14:val="tx1">
                      <w14:lumMod w14:val="95000"/>
                      <w14:lumOff w14:val="5000"/>
                    </w14:schemeClr>
                  </w14:solidFill>
                </w14:textFill>
              </w:rPr>
              <w:t>最高环境温度</w:t>
            </w:r>
          </w:p>
        </w:tc>
        <w:tc>
          <w:tcPr>
            <w:tcW w:w="1139" w:type="pct"/>
            <w:vAlign w:val="center"/>
          </w:tcPr>
          <w:p w14:paraId="4E742505">
            <w:pPr>
              <w:spacing w:line="240" w:lineRule="auto"/>
              <w:jc w:val="center"/>
              <w:rPr>
                <w:color w:val="0D0D0D" w:themeColor="text1" w:themeTint="F2"/>
                <w:sz w:val="21"/>
                <w:u w:val="single"/>
                <w14:textFill>
                  <w14:solidFill>
                    <w14:schemeClr w14:val="tx1">
                      <w14:lumMod w14:val="95000"/>
                      <w14:lumOff w14:val="5000"/>
                    </w14:schemeClr>
                  </w14:solidFill>
                </w14:textFill>
              </w:rPr>
            </w:pPr>
            <w:r>
              <w:rPr>
                <w:rFonts w:hint="eastAsia"/>
                <w:color w:val="0D0D0D" w:themeColor="text1" w:themeTint="F2"/>
                <w:sz w:val="21"/>
                <w:u w:val="single"/>
                <w14:textFill>
                  <w14:solidFill>
                    <w14:schemeClr w14:val="tx1">
                      <w14:lumMod w14:val="95000"/>
                      <w14:lumOff w14:val="5000"/>
                    </w14:schemeClr>
                  </w14:solidFill>
                </w14:textFill>
              </w:rPr>
              <w:t>37.9</w:t>
            </w:r>
          </w:p>
        </w:tc>
      </w:tr>
      <w:tr w14:paraId="2BD484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3861" w:type="pct"/>
            <w:gridSpan w:val="2"/>
            <w:vAlign w:val="center"/>
          </w:tcPr>
          <w:p w14:paraId="6945AA12">
            <w:pPr>
              <w:spacing w:line="240" w:lineRule="auto"/>
              <w:jc w:val="center"/>
              <w:rPr>
                <w:color w:val="0D0D0D" w:themeColor="text1" w:themeTint="F2"/>
                <w:sz w:val="21"/>
                <w:u w:val="single"/>
                <w14:textFill>
                  <w14:solidFill>
                    <w14:schemeClr w14:val="tx1">
                      <w14:lumMod w14:val="95000"/>
                      <w14:lumOff w14:val="5000"/>
                    </w14:schemeClr>
                  </w14:solidFill>
                </w14:textFill>
              </w:rPr>
            </w:pPr>
            <w:r>
              <w:rPr>
                <w:color w:val="0D0D0D" w:themeColor="text1" w:themeTint="F2"/>
                <w:sz w:val="21"/>
                <w:u w:val="single"/>
                <w14:textFill>
                  <w14:solidFill>
                    <w14:schemeClr w14:val="tx1">
                      <w14:lumMod w14:val="95000"/>
                      <w14:lumOff w14:val="5000"/>
                    </w14:schemeClr>
                  </w14:solidFill>
                </w14:textFill>
              </w:rPr>
              <w:t>最低环境温度</w:t>
            </w:r>
          </w:p>
        </w:tc>
        <w:tc>
          <w:tcPr>
            <w:tcW w:w="1139" w:type="pct"/>
            <w:vAlign w:val="center"/>
          </w:tcPr>
          <w:p w14:paraId="309A55A6">
            <w:pPr>
              <w:spacing w:line="240" w:lineRule="auto"/>
              <w:jc w:val="center"/>
              <w:rPr>
                <w:color w:val="0D0D0D" w:themeColor="text1" w:themeTint="F2"/>
                <w:sz w:val="21"/>
                <w:u w:val="single"/>
                <w14:textFill>
                  <w14:solidFill>
                    <w14:schemeClr w14:val="tx1">
                      <w14:lumMod w14:val="95000"/>
                      <w14:lumOff w14:val="5000"/>
                    </w14:schemeClr>
                  </w14:solidFill>
                </w14:textFill>
              </w:rPr>
            </w:pPr>
            <w:r>
              <w:rPr>
                <w:rFonts w:hint="eastAsia"/>
                <w:color w:val="0D0D0D" w:themeColor="text1" w:themeTint="F2"/>
                <w:sz w:val="21"/>
                <w:u w:val="single"/>
                <w14:textFill>
                  <w14:solidFill>
                    <w14:schemeClr w14:val="tx1">
                      <w14:lumMod w14:val="95000"/>
                      <w14:lumOff w14:val="5000"/>
                    </w14:schemeClr>
                  </w14:solidFill>
                </w14:textFill>
              </w:rPr>
              <w:t>1.6</w:t>
            </w:r>
          </w:p>
        </w:tc>
      </w:tr>
      <w:tr w14:paraId="7B68ED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3861" w:type="pct"/>
            <w:gridSpan w:val="2"/>
            <w:vAlign w:val="center"/>
          </w:tcPr>
          <w:p w14:paraId="12E6D36E">
            <w:pPr>
              <w:spacing w:line="240" w:lineRule="auto"/>
              <w:jc w:val="center"/>
              <w:rPr>
                <w:color w:val="0D0D0D" w:themeColor="text1" w:themeTint="F2"/>
                <w:sz w:val="21"/>
                <w:u w:val="single"/>
                <w14:textFill>
                  <w14:solidFill>
                    <w14:schemeClr w14:val="tx1">
                      <w14:lumMod w14:val="95000"/>
                      <w14:lumOff w14:val="5000"/>
                    </w14:schemeClr>
                  </w14:solidFill>
                </w14:textFill>
              </w:rPr>
            </w:pPr>
            <w:r>
              <w:rPr>
                <w:color w:val="0D0D0D" w:themeColor="text1" w:themeTint="F2"/>
                <w:sz w:val="21"/>
                <w:u w:val="single"/>
                <w14:textFill>
                  <w14:solidFill>
                    <w14:schemeClr w14:val="tx1">
                      <w14:lumMod w14:val="95000"/>
                      <w14:lumOff w14:val="5000"/>
                    </w14:schemeClr>
                  </w14:solidFill>
                </w14:textFill>
              </w:rPr>
              <w:t>土地利用类型</w:t>
            </w:r>
          </w:p>
        </w:tc>
        <w:tc>
          <w:tcPr>
            <w:tcW w:w="1139" w:type="pct"/>
            <w:vAlign w:val="center"/>
          </w:tcPr>
          <w:p w14:paraId="3C49EF2A">
            <w:pPr>
              <w:spacing w:line="240" w:lineRule="auto"/>
              <w:jc w:val="center"/>
              <w:rPr>
                <w:color w:val="0D0D0D" w:themeColor="text1" w:themeTint="F2"/>
                <w:sz w:val="21"/>
                <w:u w:val="single"/>
                <w14:textFill>
                  <w14:solidFill>
                    <w14:schemeClr w14:val="tx1">
                      <w14:lumMod w14:val="95000"/>
                      <w14:lumOff w14:val="5000"/>
                    </w14:schemeClr>
                  </w14:solidFill>
                </w14:textFill>
              </w:rPr>
            </w:pPr>
            <w:r>
              <w:rPr>
                <w:rFonts w:hint="eastAsia"/>
                <w:color w:val="0D0D0D" w:themeColor="text1" w:themeTint="F2"/>
                <w:sz w:val="21"/>
                <w:u w:val="single"/>
                <w14:textFill>
                  <w14:solidFill>
                    <w14:schemeClr w14:val="tx1">
                      <w14:lumMod w14:val="95000"/>
                      <w14:lumOff w14:val="5000"/>
                    </w14:schemeClr>
                  </w14:solidFill>
                </w14:textFill>
              </w:rPr>
              <w:t>城市</w:t>
            </w:r>
          </w:p>
        </w:tc>
      </w:tr>
      <w:tr w14:paraId="1F3BEFC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3861" w:type="pct"/>
            <w:gridSpan w:val="2"/>
            <w:vAlign w:val="center"/>
          </w:tcPr>
          <w:p w14:paraId="03731ABC">
            <w:pPr>
              <w:spacing w:line="240" w:lineRule="auto"/>
              <w:jc w:val="center"/>
              <w:rPr>
                <w:color w:val="0D0D0D" w:themeColor="text1" w:themeTint="F2"/>
                <w:sz w:val="21"/>
                <w:u w:val="single"/>
                <w14:textFill>
                  <w14:solidFill>
                    <w14:schemeClr w14:val="tx1">
                      <w14:lumMod w14:val="95000"/>
                      <w14:lumOff w14:val="5000"/>
                    </w14:schemeClr>
                  </w14:solidFill>
                </w14:textFill>
              </w:rPr>
            </w:pPr>
            <w:r>
              <w:rPr>
                <w:color w:val="0D0D0D" w:themeColor="text1" w:themeTint="F2"/>
                <w:sz w:val="21"/>
                <w:u w:val="single"/>
                <w14:textFill>
                  <w14:solidFill>
                    <w14:schemeClr w14:val="tx1">
                      <w14:lumMod w14:val="95000"/>
                      <w14:lumOff w14:val="5000"/>
                    </w14:schemeClr>
                  </w14:solidFill>
                </w14:textFill>
              </w:rPr>
              <w:t>区域湿度条件</w:t>
            </w:r>
          </w:p>
        </w:tc>
        <w:tc>
          <w:tcPr>
            <w:tcW w:w="1139" w:type="pct"/>
            <w:vAlign w:val="center"/>
          </w:tcPr>
          <w:p w14:paraId="71D54EC6">
            <w:pPr>
              <w:spacing w:line="240" w:lineRule="auto"/>
              <w:jc w:val="center"/>
              <w:rPr>
                <w:color w:val="0D0D0D" w:themeColor="text1" w:themeTint="F2"/>
                <w:sz w:val="21"/>
                <w:u w:val="single"/>
                <w14:textFill>
                  <w14:solidFill>
                    <w14:schemeClr w14:val="tx1">
                      <w14:lumMod w14:val="95000"/>
                      <w14:lumOff w14:val="5000"/>
                    </w14:schemeClr>
                  </w14:solidFill>
                </w14:textFill>
              </w:rPr>
            </w:pPr>
            <w:r>
              <w:rPr>
                <w:color w:val="0D0D0D" w:themeColor="text1" w:themeTint="F2"/>
                <w:sz w:val="21"/>
                <w:u w:val="single"/>
                <w14:textFill>
                  <w14:solidFill>
                    <w14:schemeClr w14:val="tx1">
                      <w14:lumMod w14:val="95000"/>
                      <w14:lumOff w14:val="5000"/>
                    </w14:schemeClr>
                  </w14:solidFill>
                </w14:textFill>
              </w:rPr>
              <w:t>潮湿</w:t>
            </w:r>
          </w:p>
        </w:tc>
      </w:tr>
      <w:tr w14:paraId="79183D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738" w:type="pct"/>
            <w:vMerge w:val="restart"/>
            <w:vAlign w:val="center"/>
          </w:tcPr>
          <w:p w14:paraId="596A63DB">
            <w:pPr>
              <w:spacing w:line="240" w:lineRule="auto"/>
              <w:jc w:val="center"/>
              <w:rPr>
                <w:color w:val="0D0D0D" w:themeColor="text1" w:themeTint="F2"/>
                <w:sz w:val="21"/>
                <w:u w:val="single"/>
                <w14:textFill>
                  <w14:solidFill>
                    <w14:schemeClr w14:val="tx1">
                      <w14:lumMod w14:val="95000"/>
                      <w14:lumOff w14:val="5000"/>
                    </w14:schemeClr>
                  </w14:solidFill>
                </w14:textFill>
              </w:rPr>
            </w:pPr>
            <w:r>
              <w:rPr>
                <w:color w:val="0D0D0D" w:themeColor="text1" w:themeTint="F2"/>
                <w:sz w:val="21"/>
                <w:u w:val="single"/>
                <w14:textFill>
                  <w14:solidFill>
                    <w14:schemeClr w14:val="tx1">
                      <w14:lumMod w14:val="95000"/>
                      <w14:lumOff w14:val="5000"/>
                    </w14:schemeClr>
                  </w14:solidFill>
                </w14:textFill>
              </w:rPr>
              <w:t>是否考虑地形</w:t>
            </w:r>
          </w:p>
        </w:tc>
        <w:tc>
          <w:tcPr>
            <w:tcW w:w="2123" w:type="pct"/>
            <w:vAlign w:val="center"/>
          </w:tcPr>
          <w:p w14:paraId="6185BC19">
            <w:pPr>
              <w:spacing w:line="240" w:lineRule="auto"/>
              <w:jc w:val="center"/>
              <w:rPr>
                <w:color w:val="0D0D0D" w:themeColor="text1" w:themeTint="F2"/>
                <w:sz w:val="21"/>
                <w:u w:val="single"/>
                <w14:textFill>
                  <w14:solidFill>
                    <w14:schemeClr w14:val="tx1">
                      <w14:lumMod w14:val="95000"/>
                      <w14:lumOff w14:val="5000"/>
                    </w14:schemeClr>
                  </w14:solidFill>
                </w14:textFill>
              </w:rPr>
            </w:pPr>
            <w:r>
              <w:rPr>
                <w:color w:val="0D0D0D" w:themeColor="text1" w:themeTint="F2"/>
                <w:sz w:val="21"/>
                <w:u w:val="single"/>
                <w14:textFill>
                  <w14:solidFill>
                    <w14:schemeClr w14:val="tx1">
                      <w14:lumMod w14:val="95000"/>
                      <w14:lumOff w14:val="5000"/>
                    </w14:schemeClr>
                  </w14:solidFill>
                </w14:textFill>
              </w:rPr>
              <w:t>考虑地形</w:t>
            </w:r>
          </w:p>
        </w:tc>
        <w:tc>
          <w:tcPr>
            <w:tcW w:w="1139" w:type="pct"/>
            <w:vAlign w:val="center"/>
          </w:tcPr>
          <w:p w14:paraId="628DE85E">
            <w:pPr>
              <w:spacing w:line="240" w:lineRule="auto"/>
              <w:jc w:val="center"/>
              <w:rPr>
                <w:color w:val="0D0D0D" w:themeColor="text1" w:themeTint="F2"/>
                <w:sz w:val="21"/>
                <w:u w:val="single"/>
                <w14:textFill>
                  <w14:solidFill>
                    <w14:schemeClr w14:val="tx1">
                      <w14:lumMod w14:val="95000"/>
                      <w14:lumOff w14:val="5000"/>
                    </w14:schemeClr>
                  </w14:solidFill>
                </w14:textFill>
              </w:rPr>
            </w:pPr>
            <w:r>
              <w:rPr>
                <w:color w:val="0D0D0D" w:themeColor="text1" w:themeTint="F2"/>
                <w:sz w:val="21"/>
                <w:u w:val="single"/>
                <w14:textFill>
                  <w14:solidFill>
                    <w14:schemeClr w14:val="tx1">
                      <w14:lumMod w14:val="95000"/>
                      <w14:lumOff w14:val="5000"/>
                    </w14:schemeClr>
                  </w14:solidFill>
                </w14:textFill>
              </w:rPr>
              <w:t>是</w:t>
            </w:r>
          </w:p>
        </w:tc>
      </w:tr>
      <w:tr w14:paraId="43E4A3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738" w:type="pct"/>
            <w:vMerge w:val="continue"/>
            <w:vAlign w:val="center"/>
          </w:tcPr>
          <w:p w14:paraId="31FA8D24">
            <w:pPr>
              <w:spacing w:line="240" w:lineRule="auto"/>
              <w:jc w:val="center"/>
              <w:rPr>
                <w:color w:val="0D0D0D" w:themeColor="text1" w:themeTint="F2"/>
                <w:sz w:val="21"/>
                <w:u w:val="single"/>
                <w14:textFill>
                  <w14:solidFill>
                    <w14:schemeClr w14:val="tx1">
                      <w14:lumMod w14:val="95000"/>
                      <w14:lumOff w14:val="5000"/>
                    </w14:schemeClr>
                  </w14:solidFill>
                </w14:textFill>
              </w:rPr>
            </w:pPr>
          </w:p>
        </w:tc>
        <w:tc>
          <w:tcPr>
            <w:tcW w:w="2123" w:type="pct"/>
            <w:vAlign w:val="center"/>
          </w:tcPr>
          <w:p w14:paraId="74057D9C">
            <w:pPr>
              <w:spacing w:line="240" w:lineRule="auto"/>
              <w:jc w:val="center"/>
              <w:rPr>
                <w:color w:val="0D0D0D" w:themeColor="text1" w:themeTint="F2"/>
                <w:sz w:val="21"/>
                <w:u w:val="single"/>
                <w14:textFill>
                  <w14:solidFill>
                    <w14:schemeClr w14:val="tx1">
                      <w14:lumMod w14:val="95000"/>
                      <w14:lumOff w14:val="5000"/>
                    </w14:schemeClr>
                  </w14:solidFill>
                </w14:textFill>
              </w:rPr>
            </w:pPr>
            <w:r>
              <w:rPr>
                <w:color w:val="0D0D0D" w:themeColor="text1" w:themeTint="F2"/>
                <w:sz w:val="21"/>
                <w:u w:val="single"/>
                <w14:textFill>
                  <w14:solidFill>
                    <w14:schemeClr w14:val="tx1">
                      <w14:lumMod w14:val="95000"/>
                      <w14:lumOff w14:val="5000"/>
                    </w14:schemeClr>
                  </w14:solidFill>
                </w14:textFill>
              </w:rPr>
              <w:t>地形数据分辨率</w:t>
            </w:r>
            <w:r>
              <w:rPr>
                <w:rFonts w:hint="eastAsia"/>
                <w:color w:val="0D0D0D" w:themeColor="text1" w:themeTint="F2"/>
                <w:sz w:val="21"/>
                <w:u w:val="single"/>
                <w14:textFill>
                  <w14:solidFill>
                    <w14:schemeClr w14:val="tx1">
                      <w14:lumMod w14:val="95000"/>
                      <w14:lumOff w14:val="5000"/>
                    </w14:schemeClr>
                  </w14:solidFill>
                </w14:textFill>
              </w:rPr>
              <w:t>（</w:t>
            </w:r>
            <w:r>
              <w:rPr>
                <w:color w:val="0D0D0D" w:themeColor="text1" w:themeTint="F2"/>
                <w:sz w:val="21"/>
                <w:u w:val="single"/>
                <w14:textFill>
                  <w14:solidFill>
                    <w14:schemeClr w14:val="tx1">
                      <w14:lumMod w14:val="95000"/>
                      <w14:lumOff w14:val="5000"/>
                    </w14:schemeClr>
                  </w14:solidFill>
                </w14:textFill>
              </w:rPr>
              <w:t>m</w:t>
            </w:r>
            <w:r>
              <w:rPr>
                <w:rFonts w:hint="eastAsia"/>
                <w:color w:val="0D0D0D" w:themeColor="text1" w:themeTint="F2"/>
                <w:sz w:val="21"/>
                <w:u w:val="single"/>
                <w14:textFill>
                  <w14:solidFill>
                    <w14:schemeClr w14:val="tx1">
                      <w14:lumMod w14:val="95000"/>
                      <w14:lumOff w14:val="5000"/>
                    </w14:schemeClr>
                  </w14:solidFill>
                </w14:textFill>
              </w:rPr>
              <w:t>）</w:t>
            </w:r>
          </w:p>
        </w:tc>
        <w:tc>
          <w:tcPr>
            <w:tcW w:w="1139" w:type="pct"/>
            <w:vAlign w:val="center"/>
          </w:tcPr>
          <w:p w14:paraId="11B0BA38">
            <w:pPr>
              <w:spacing w:line="240" w:lineRule="auto"/>
              <w:jc w:val="center"/>
              <w:rPr>
                <w:color w:val="0D0D0D" w:themeColor="text1" w:themeTint="F2"/>
                <w:sz w:val="21"/>
                <w:u w:val="single"/>
                <w14:textFill>
                  <w14:solidFill>
                    <w14:schemeClr w14:val="tx1">
                      <w14:lumMod w14:val="95000"/>
                      <w14:lumOff w14:val="5000"/>
                    </w14:schemeClr>
                  </w14:solidFill>
                </w14:textFill>
              </w:rPr>
            </w:pPr>
            <w:r>
              <w:rPr>
                <w:color w:val="0D0D0D" w:themeColor="text1" w:themeTint="F2"/>
                <w:sz w:val="21"/>
                <w:u w:val="single"/>
                <w14:textFill>
                  <w14:solidFill>
                    <w14:schemeClr w14:val="tx1">
                      <w14:lumMod w14:val="95000"/>
                      <w14:lumOff w14:val="5000"/>
                    </w14:schemeClr>
                  </w14:solidFill>
                </w14:textFill>
              </w:rPr>
              <w:t>90</w:t>
            </w:r>
          </w:p>
        </w:tc>
      </w:tr>
      <w:tr w14:paraId="1A4C68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738" w:type="pct"/>
            <w:vMerge w:val="restart"/>
            <w:vAlign w:val="center"/>
          </w:tcPr>
          <w:p w14:paraId="3556BA58">
            <w:pPr>
              <w:spacing w:line="240" w:lineRule="auto"/>
              <w:jc w:val="center"/>
              <w:rPr>
                <w:color w:val="0D0D0D" w:themeColor="text1" w:themeTint="F2"/>
                <w:sz w:val="21"/>
                <w:u w:val="single"/>
                <w14:textFill>
                  <w14:solidFill>
                    <w14:schemeClr w14:val="tx1">
                      <w14:lumMod w14:val="95000"/>
                      <w14:lumOff w14:val="5000"/>
                    </w14:schemeClr>
                  </w14:solidFill>
                </w14:textFill>
              </w:rPr>
            </w:pPr>
            <w:r>
              <w:rPr>
                <w:color w:val="0D0D0D" w:themeColor="text1" w:themeTint="F2"/>
                <w:sz w:val="21"/>
                <w:u w:val="single"/>
                <w14:textFill>
                  <w14:solidFill>
                    <w14:schemeClr w14:val="tx1">
                      <w14:lumMod w14:val="95000"/>
                      <w14:lumOff w14:val="5000"/>
                    </w14:schemeClr>
                  </w14:solidFill>
                </w14:textFill>
              </w:rPr>
              <w:t>是否考虑岸线熏烟</w:t>
            </w:r>
          </w:p>
        </w:tc>
        <w:tc>
          <w:tcPr>
            <w:tcW w:w="2123" w:type="pct"/>
            <w:vAlign w:val="center"/>
          </w:tcPr>
          <w:p w14:paraId="5B378660">
            <w:pPr>
              <w:spacing w:line="240" w:lineRule="auto"/>
              <w:jc w:val="center"/>
              <w:rPr>
                <w:color w:val="0D0D0D" w:themeColor="text1" w:themeTint="F2"/>
                <w:sz w:val="21"/>
                <w:u w:val="single"/>
                <w14:textFill>
                  <w14:solidFill>
                    <w14:schemeClr w14:val="tx1">
                      <w14:lumMod w14:val="95000"/>
                      <w14:lumOff w14:val="5000"/>
                    </w14:schemeClr>
                  </w14:solidFill>
                </w14:textFill>
              </w:rPr>
            </w:pPr>
            <w:r>
              <w:rPr>
                <w:color w:val="0D0D0D" w:themeColor="text1" w:themeTint="F2"/>
                <w:sz w:val="21"/>
                <w:u w:val="single"/>
                <w14:textFill>
                  <w14:solidFill>
                    <w14:schemeClr w14:val="tx1">
                      <w14:lumMod w14:val="95000"/>
                      <w14:lumOff w14:val="5000"/>
                    </w14:schemeClr>
                  </w14:solidFill>
                </w14:textFill>
              </w:rPr>
              <w:t>考虑岸线熏烟</w:t>
            </w:r>
          </w:p>
        </w:tc>
        <w:tc>
          <w:tcPr>
            <w:tcW w:w="1139" w:type="pct"/>
            <w:vAlign w:val="center"/>
          </w:tcPr>
          <w:p w14:paraId="7C2B0ADB">
            <w:pPr>
              <w:spacing w:line="240" w:lineRule="auto"/>
              <w:jc w:val="center"/>
              <w:rPr>
                <w:color w:val="0D0D0D" w:themeColor="text1" w:themeTint="F2"/>
                <w:sz w:val="21"/>
                <w:u w:val="single"/>
                <w14:textFill>
                  <w14:solidFill>
                    <w14:schemeClr w14:val="tx1">
                      <w14:lumMod w14:val="95000"/>
                      <w14:lumOff w14:val="5000"/>
                    </w14:schemeClr>
                  </w14:solidFill>
                </w14:textFill>
              </w:rPr>
            </w:pPr>
            <w:r>
              <w:rPr>
                <w:rFonts w:hint="eastAsia"/>
                <w:color w:val="0D0D0D" w:themeColor="text1" w:themeTint="F2"/>
                <w:sz w:val="21"/>
                <w:u w:val="single"/>
                <w14:textFill>
                  <w14:solidFill>
                    <w14:schemeClr w14:val="tx1">
                      <w14:lumMod w14:val="95000"/>
                      <w14:lumOff w14:val="5000"/>
                    </w14:schemeClr>
                  </w14:solidFill>
                </w14:textFill>
              </w:rPr>
              <w:t>否</w:t>
            </w:r>
          </w:p>
        </w:tc>
      </w:tr>
      <w:tr w14:paraId="2B8221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738" w:type="pct"/>
            <w:vMerge w:val="continue"/>
            <w:vAlign w:val="center"/>
          </w:tcPr>
          <w:p w14:paraId="005864BB">
            <w:pPr>
              <w:spacing w:line="240" w:lineRule="auto"/>
              <w:jc w:val="center"/>
              <w:rPr>
                <w:color w:val="0D0D0D" w:themeColor="text1" w:themeTint="F2"/>
                <w:sz w:val="21"/>
                <w:u w:val="single"/>
                <w14:textFill>
                  <w14:solidFill>
                    <w14:schemeClr w14:val="tx1">
                      <w14:lumMod w14:val="95000"/>
                      <w14:lumOff w14:val="5000"/>
                    </w14:schemeClr>
                  </w14:solidFill>
                </w14:textFill>
              </w:rPr>
            </w:pPr>
          </w:p>
        </w:tc>
        <w:tc>
          <w:tcPr>
            <w:tcW w:w="2123" w:type="pct"/>
            <w:vAlign w:val="center"/>
          </w:tcPr>
          <w:p w14:paraId="5A1D1008">
            <w:pPr>
              <w:spacing w:line="240" w:lineRule="auto"/>
              <w:jc w:val="center"/>
              <w:rPr>
                <w:color w:val="0D0D0D" w:themeColor="text1" w:themeTint="F2"/>
                <w:sz w:val="21"/>
                <w:u w:val="single"/>
                <w14:textFill>
                  <w14:solidFill>
                    <w14:schemeClr w14:val="tx1">
                      <w14:lumMod w14:val="95000"/>
                      <w14:lumOff w14:val="5000"/>
                    </w14:schemeClr>
                  </w14:solidFill>
                </w14:textFill>
              </w:rPr>
            </w:pPr>
            <w:r>
              <w:rPr>
                <w:color w:val="0D0D0D" w:themeColor="text1" w:themeTint="F2"/>
                <w:sz w:val="21"/>
                <w:u w:val="single"/>
                <w14:textFill>
                  <w14:solidFill>
                    <w14:schemeClr w14:val="tx1">
                      <w14:lumMod w14:val="95000"/>
                      <w14:lumOff w14:val="5000"/>
                    </w14:schemeClr>
                  </w14:solidFill>
                </w14:textFill>
              </w:rPr>
              <w:t>岸线距离/m</w:t>
            </w:r>
          </w:p>
        </w:tc>
        <w:tc>
          <w:tcPr>
            <w:tcW w:w="1139" w:type="pct"/>
            <w:vAlign w:val="center"/>
          </w:tcPr>
          <w:p w14:paraId="27FCE24B">
            <w:pPr>
              <w:spacing w:line="240" w:lineRule="auto"/>
              <w:jc w:val="center"/>
              <w:rPr>
                <w:color w:val="0D0D0D" w:themeColor="text1" w:themeTint="F2"/>
                <w:sz w:val="21"/>
                <w:u w:val="single"/>
                <w14:textFill>
                  <w14:solidFill>
                    <w14:schemeClr w14:val="tx1">
                      <w14:lumMod w14:val="95000"/>
                      <w14:lumOff w14:val="5000"/>
                    </w14:schemeClr>
                  </w14:solidFill>
                </w14:textFill>
              </w:rPr>
            </w:pPr>
            <w:r>
              <w:rPr>
                <w:rFonts w:hint="eastAsia"/>
                <w:color w:val="0D0D0D" w:themeColor="text1" w:themeTint="F2"/>
                <w:sz w:val="21"/>
                <w:u w:val="single"/>
                <w14:textFill>
                  <w14:solidFill>
                    <w14:schemeClr w14:val="tx1">
                      <w14:lumMod w14:val="95000"/>
                      <w14:lumOff w14:val="5000"/>
                    </w14:schemeClr>
                  </w14:solidFill>
                </w14:textFill>
              </w:rPr>
              <w:t>/</w:t>
            </w:r>
          </w:p>
        </w:tc>
      </w:tr>
      <w:tr w14:paraId="039373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738" w:type="pct"/>
            <w:vMerge w:val="continue"/>
            <w:vAlign w:val="center"/>
          </w:tcPr>
          <w:p w14:paraId="3A5A64EB">
            <w:pPr>
              <w:spacing w:line="240" w:lineRule="auto"/>
              <w:jc w:val="center"/>
              <w:rPr>
                <w:color w:val="0D0D0D" w:themeColor="text1" w:themeTint="F2"/>
                <w:sz w:val="21"/>
                <w:u w:val="single"/>
                <w14:textFill>
                  <w14:solidFill>
                    <w14:schemeClr w14:val="tx1">
                      <w14:lumMod w14:val="95000"/>
                      <w14:lumOff w14:val="5000"/>
                    </w14:schemeClr>
                  </w14:solidFill>
                </w14:textFill>
              </w:rPr>
            </w:pPr>
          </w:p>
        </w:tc>
        <w:tc>
          <w:tcPr>
            <w:tcW w:w="2123" w:type="pct"/>
            <w:vAlign w:val="center"/>
          </w:tcPr>
          <w:p w14:paraId="38DE5D58">
            <w:pPr>
              <w:spacing w:line="240" w:lineRule="auto"/>
              <w:jc w:val="center"/>
              <w:rPr>
                <w:color w:val="0D0D0D" w:themeColor="text1" w:themeTint="F2"/>
                <w:sz w:val="21"/>
                <w:u w:val="single"/>
                <w14:textFill>
                  <w14:solidFill>
                    <w14:schemeClr w14:val="tx1">
                      <w14:lumMod w14:val="95000"/>
                      <w14:lumOff w14:val="5000"/>
                    </w14:schemeClr>
                  </w14:solidFill>
                </w14:textFill>
              </w:rPr>
            </w:pPr>
            <w:r>
              <w:rPr>
                <w:color w:val="0D0D0D" w:themeColor="text1" w:themeTint="F2"/>
                <w:sz w:val="21"/>
                <w:u w:val="single"/>
                <w14:textFill>
                  <w14:solidFill>
                    <w14:schemeClr w14:val="tx1">
                      <w14:lumMod w14:val="95000"/>
                      <w14:lumOff w14:val="5000"/>
                    </w14:schemeClr>
                  </w14:solidFill>
                </w14:textFill>
              </w:rPr>
              <w:t>岸线方向/°</w:t>
            </w:r>
          </w:p>
        </w:tc>
        <w:tc>
          <w:tcPr>
            <w:tcW w:w="1139" w:type="pct"/>
            <w:vAlign w:val="center"/>
          </w:tcPr>
          <w:p w14:paraId="45AFC7DE">
            <w:pPr>
              <w:spacing w:line="240" w:lineRule="auto"/>
              <w:jc w:val="center"/>
              <w:rPr>
                <w:color w:val="0D0D0D" w:themeColor="text1" w:themeTint="F2"/>
                <w:sz w:val="21"/>
                <w:u w:val="single"/>
                <w14:textFill>
                  <w14:solidFill>
                    <w14:schemeClr w14:val="tx1">
                      <w14:lumMod w14:val="95000"/>
                      <w14:lumOff w14:val="5000"/>
                    </w14:schemeClr>
                  </w14:solidFill>
                </w14:textFill>
              </w:rPr>
            </w:pPr>
            <w:r>
              <w:rPr>
                <w:rFonts w:hint="eastAsia"/>
                <w:color w:val="0D0D0D" w:themeColor="text1" w:themeTint="F2"/>
                <w:sz w:val="21"/>
                <w:u w:val="single"/>
                <w14:textFill>
                  <w14:solidFill>
                    <w14:schemeClr w14:val="tx1">
                      <w14:lumMod w14:val="95000"/>
                      <w14:lumOff w14:val="5000"/>
                    </w14:schemeClr>
                  </w14:solidFill>
                </w14:textFill>
              </w:rPr>
              <w:t>/</w:t>
            </w:r>
          </w:p>
        </w:tc>
      </w:tr>
    </w:tbl>
    <w:p w14:paraId="3D103BE3">
      <w:pPr>
        <w:ind w:firstLine="480" w:firstLineChars="200"/>
        <w:rPr>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污染源</w:t>
      </w:r>
      <w:r>
        <w:rPr>
          <w:rFonts w:cs="Times New Roman"/>
          <w:color w:val="0D0D0D" w:themeColor="text1" w:themeTint="F2"/>
          <w:szCs w:val="24"/>
          <w14:textFill>
            <w14:solidFill>
              <w14:schemeClr w14:val="tx1">
                <w14:lumMod w14:val="95000"/>
                <w14:lumOff w14:val="5000"/>
              </w14:schemeClr>
            </w14:solidFill>
          </w14:textFill>
        </w:rPr>
        <w:t>预测参数详见表</w:t>
      </w:r>
      <w:r>
        <w:rPr>
          <w:rFonts w:hint="eastAsia" w:cs="Times New Roman"/>
          <w:color w:val="0D0D0D" w:themeColor="text1" w:themeTint="F2"/>
          <w:szCs w:val="24"/>
          <w14:textFill>
            <w14:solidFill>
              <w14:schemeClr w14:val="tx1">
                <w14:lumMod w14:val="95000"/>
                <w14:lumOff w14:val="5000"/>
              </w14:schemeClr>
            </w14:solidFill>
          </w14:textFill>
        </w:rPr>
        <w:t>2</w:t>
      </w:r>
      <w:r>
        <w:rPr>
          <w:rFonts w:cs="Times New Roman"/>
          <w:color w:val="0D0D0D" w:themeColor="text1" w:themeTint="F2"/>
          <w:szCs w:val="24"/>
          <w14:textFill>
            <w14:solidFill>
              <w14:schemeClr w14:val="tx1">
                <w14:lumMod w14:val="95000"/>
                <w14:lumOff w14:val="5000"/>
              </w14:schemeClr>
            </w14:solidFill>
          </w14:textFill>
        </w:rPr>
        <w:t>.5-3</w:t>
      </w:r>
      <w:r>
        <w:rPr>
          <w:rFonts w:hint="eastAsia" w:cs="Times New Roman"/>
          <w:color w:val="0D0D0D" w:themeColor="text1" w:themeTint="F2"/>
          <w:szCs w:val="24"/>
          <w14:textFill>
            <w14:solidFill>
              <w14:schemeClr w14:val="tx1">
                <w14:lumMod w14:val="95000"/>
                <w14:lumOff w14:val="5000"/>
              </w14:schemeClr>
            </w14:solidFill>
          </w14:textFill>
        </w:rPr>
        <w:t>~表2.5-4</w:t>
      </w:r>
      <w:r>
        <w:rPr>
          <w:rFonts w:cs="Times New Roman"/>
          <w:color w:val="0D0D0D" w:themeColor="text1" w:themeTint="F2"/>
          <w:szCs w:val="24"/>
          <w14:textFill>
            <w14:solidFill>
              <w14:schemeClr w14:val="tx1">
                <w14:lumMod w14:val="95000"/>
                <w14:lumOff w14:val="5000"/>
              </w14:schemeClr>
            </w14:solidFill>
          </w14:textFill>
        </w:rPr>
        <w:t>，预测结果</w:t>
      </w:r>
      <w:r>
        <w:rPr>
          <w:rFonts w:hint="eastAsia" w:cs="Times New Roman"/>
          <w:color w:val="0D0D0D" w:themeColor="text1" w:themeTint="F2"/>
          <w:szCs w:val="24"/>
          <w14:textFill>
            <w14:solidFill>
              <w14:schemeClr w14:val="tx1">
                <w14:lumMod w14:val="95000"/>
                <w14:lumOff w14:val="5000"/>
              </w14:schemeClr>
            </w14:solidFill>
          </w14:textFill>
        </w:rPr>
        <w:t>详</w:t>
      </w:r>
      <w:r>
        <w:rPr>
          <w:rFonts w:cs="Times New Roman"/>
          <w:color w:val="0D0D0D" w:themeColor="text1" w:themeTint="F2"/>
          <w:szCs w:val="24"/>
          <w14:textFill>
            <w14:solidFill>
              <w14:schemeClr w14:val="tx1">
                <w14:lumMod w14:val="95000"/>
                <w14:lumOff w14:val="5000"/>
              </w14:schemeClr>
            </w14:solidFill>
          </w14:textFill>
        </w:rPr>
        <w:t>见表</w:t>
      </w:r>
      <w:r>
        <w:rPr>
          <w:rFonts w:hint="eastAsia" w:cs="Times New Roman"/>
          <w:color w:val="0D0D0D" w:themeColor="text1" w:themeTint="F2"/>
          <w:szCs w:val="24"/>
          <w14:textFill>
            <w14:solidFill>
              <w14:schemeClr w14:val="tx1">
                <w14:lumMod w14:val="95000"/>
                <w14:lumOff w14:val="5000"/>
              </w14:schemeClr>
            </w14:solidFill>
          </w14:textFill>
        </w:rPr>
        <w:t>2</w:t>
      </w:r>
      <w:r>
        <w:rPr>
          <w:rFonts w:cs="Times New Roman"/>
          <w:color w:val="0D0D0D" w:themeColor="text1" w:themeTint="F2"/>
          <w:szCs w:val="24"/>
          <w14:textFill>
            <w14:solidFill>
              <w14:schemeClr w14:val="tx1">
                <w14:lumMod w14:val="95000"/>
                <w14:lumOff w14:val="5000"/>
              </w14:schemeClr>
            </w14:solidFill>
          </w14:textFill>
        </w:rPr>
        <w:t>.5-</w:t>
      </w:r>
      <w:r>
        <w:rPr>
          <w:rFonts w:hint="eastAsia" w:cs="Times New Roman"/>
          <w:color w:val="0D0D0D" w:themeColor="text1" w:themeTint="F2"/>
          <w:szCs w:val="24"/>
          <w14:textFill>
            <w14:solidFill>
              <w14:schemeClr w14:val="tx1">
                <w14:lumMod w14:val="95000"/>
                <w14:lumOff w14:val="5000"/>
              </w14:schemeClr>
            </w14:solidFill>
          </w14:textFill>
        </w:rPr>
        <w:t>5。</w:t>
      </w:r>
    </w:p>
    <w:p w14:paraId="67E25EB4">
      <w:pPr>
        <w:ind w:firstLine="480" w:firstLineChars="200"/>
        <w:rPr>
          <w:color w:val="0D0D0D" w:themeColor="text1" w:themeTint="F2"/>
          <w14:textFill>
            <w14:solidFill>
              <w14:schemeClr w14:val="tx1">
                <w14:lumMod w14:val="95000"/>
                <w14:lumOff w14:val="5000"/>
              </w14:schemeClr>
            </w14:solidFill>
          </w14:textFill>
        </w:rPr>
        <w:sectPr>
          <w:footerReference r:id="rId5" w:type="default"/>
          <w:pgSz w:w="11906" w:h="16838"/>
          <w:pgMar w:top="1440" w:right="1440" w:bottom="1440" w:left="1440" w:header="851" w:footer="992" w:gutter="0"/>
          <w:pgNumType w:start="1"/>
          <w:cols w:space="425" w:num="1"/>
          <w:docGrid w:type="lines" w:linePitch="312" w:charSpace="0"/>
        </w:sectPr>
      </w:pPr>
    </w:p>
    <w:p w14:paraId="5C1FEE24">
      <w:pPr>
        <w:pStyle w:val="11"/>
      </w:pPr>
      <w:r>
        <w:rPr>
          <w:rFonts w:hint="eastAsia"/>
        </w:rPr>
        <w:t xml:space="preserve"> 矩形面源排放估算模式参数表</w:t>
      </w:r>
    </w:p>
    <w:tbl>
      <w:tblPr>
        <w:tblStyle w:val="30"/>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797"/>
        <w:gridCol w:w="1344"/>
        <w:gridCol w:w="1230"/>
        <w:gridCol w:w="1171"/>
        <w:gridCol w:w="887"/>
        <w:gridCol w:w="887"/>
        <w:gridCol w:w="1171"/>
        <w:gridCol w:w="879"/>
        <w:gridCol w:w="879"/>
        <w:gridCol w:w="763"/>
        <w:gridCol w:w="763"/>
        <w:gridCol w:w="1403"/>
      </w:tblGrid>
      <w:tr w14:paraId="62BA49A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987" w:type="pct"/>
            <w:vMerge w:val="restart"/>
            <w:vAlign w:val="center"/>
          </w:tcPr>
          <w:p w14:paraId="25DC6A9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污染源名称</w:t>
            </w:r>
          </w:p>
        </w:tc>
        <w:tc>
          <w:tcPr>
            <w:tcW w:w="908" w:type="pct"/>
            <w:gridSpan w:val="2"/>
            <w:vAlign w:val="center"/>
          </w:tcPr>
          <w:p w14:paraId="13F23F3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坐标</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413" w:type="pct"/>
            <w:vMerge w:val="restart"/>
            <w:vAlign w:val="center"/>
          </w:tcPr>
          <w:p w14:paraId="4447973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海拔高度</w:t>
            </w:r>
          </w:p>
          <w:p w14:paraId="4F70977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m</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1038" w:type="pct"/>
            <w:gridSpan w:val="3"/>
            <w:vAlign w:val="center"/>
          </w:tcPr>
          <w:p w14:paraId="2D70AD8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矩形面源</w:t>
            </w:r>
          </w:p>
        </w:tc>
        <w:tc>
          <w:tcPr>
            <w:tcW w:w="1654" w:type="pct"/>
            <w:gridSpan w:val="5"/>
            <w:vAlign w:val="center"/>
          </w:tcPr>
          <w:p w14:paraId="4855C31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污染物排放速率</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kg/h</w:t>
            </w:r>
            <w:r>
              <w:rPr>
                <w:rFonts w:hint="eastAsia"/>
                <w:color w:val="0D0D0D" w:themeColor="text1" w:themeTint="F2"/>
                <w:sz w:val="21"/>
                <w:szCs w:val="21"/>
                <w:u w:val="single"/>
                <w14:textFill>
                  <w14:solidFill>
                    <w14:schemeClr w14:val="tx1">
                      <w14:lumMod w14:val="95000"/>
                      <w14:lumOff w14:val="5000"/>
                    </w14:schemeClr>
                  </w14:solidFill>
                </w14:textFill>
              </w:rPr>
              <w:t>）</w:t>
            </w:r>
          </w:p>
        </w:tc>
      </w:tr>
      <w:tr w14:paraId="6A7258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987" w:type="pct"/>
            <w:vMerge w:val="continue"/>
            <w:vAlign w:val="center"/>
          </w:tcPr>
          <w:p w14:paraId="1FA9B2B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474" w:type="pct"/>
            <w:vAlign w:val="center"/>
          </w:tcPr>
          <w:p w14:paraId="4C39DEC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经度</w:t>
            </w:r>
          </w:p>
        </w:tc>
        <w:tc>
          <w:tcPr>
            <w:tcW w:w="433" w:type="pct"/>
            <w:vAlign w:val="center"/>
          </w:tcPr>
          <w:p w14:paraId="6324A9B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纬度</w:t>
            </w:r>
          </w:p>
        </w:tc>
        <w:tc>
          <w:tcPr>
            <w:tcW w:w="413" w:type="pct"/>
            <w:vMerge w:val="continue"/>
            <w:vAlign w:val="center"/>
          </w:tcPr>
          <w:p w14:paraId="108FFCD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313" w:type="pct"/>
            <w:vAlign w:val="center"/>
          </w:tcPr>
          <w:p w14:paraId="540F8D2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长度</w:t>
            </w:r>
          </w:p>
          <w:p w14:paraId="7EE3ADC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m</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313" w:type="pct"/>
            <w:vAlign w:val="center"/>
          </w:tcPr>
          <w:p w14:paraId="4ADC111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宽度</w:t>
            </w:r>
          </w:p>
          <w:p w14:paraId="7F8DA34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m</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413" w:type="pct"/>
            <w:vAlign w:val="center"/>
          </w:tcPr>
          <w:p w14:paraId="2484F02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有效高度</w:t>
            </w:r>
          </w:p>
          <w:p w14:paraId="77BE80E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m</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310" w:type="pct"/>
            <w:vAlign w:val="center"/>
          </w:tcPr>
          <w:p w14:paraId="18CF6BF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NH</w:t>
            </w:r>
            <w:r>
              <w:rPr>
                <w:color w:val="0D0D0D" w:themeColor="text1" w:themeTint="F2"/>
                <w:sz w:val="21"/>
                <w:szCs w:val="21"/>
                <w:u w:val="single"/>
                <w:vertAlign w:val="subscript"/>
                <w14:textFill>
                  <w14:solidFill>
                    <w14:schemeClr w14:val="tx1">
                      <w14:lumMod w14:val="95000"/>
                      <w14:lumOff w14:val="5000"/>
                    </w14:schemeClr>
                  </w14:solidFill>
                </w14:textFill>
              </w:rPr>
              <w:t>3</w:t>
            </w:r>
          </w:p>
        </w:tc>
        <w:tc>
          <w:tcPr>
            <w:tcW w:w="310" w:type="pct"/>
            <w:vAlign w:val="center"/>
          </w:tcPr>
          <w:p w14:paraId="686DA54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H</w:t>
            </w:r>
            <w:r>
              <w:rPr>
                <w:color w:val="0D0D0D" w:themeColor="text1" w:themeTint="F2"/>
                <w:sz w:val="21"/>
                <w:szCs w:val="21"/>
                <w:u w:val="single"/>
                <w:vertAlign w:val="subscript"/>
                <w14:textFill>
                  <w14:solidFill>
                    <w14:schemeClr w14:val="tx1">
                      <w14:lumMod w14:val="95000"/>
                      <w14:lumOff w14:val="5000"/>
                    </w14:schemeClr>
                  </w14:solidFill>
                </w14:textFill>
              </w:rPr>
              <w:t>2</w:t>
            </w:r>
            <w:r>
              <w:rPr>
                <w:color w:val="0D0D0D" w:themeColor="text1" w:themeTint="F2"/>
                <w:sz w:val="21"/>
                <w:szCs w:val="21"/>
                <w:u w:val="single"/>
                <w14:textFill>
                  <w14:solidFill>
                    <w14:schemeClr w14:val="tx1">
                      <w14:lumMod w14:val="95000"/>
                      <w14:lumOff w14:val="5000"/>
                    </w14:schemeClr>
                  </w14:solidFill>
                </w14:textFill>
              </w:rPr>
              <w:t>S</w:t>
            </w:r>
          </w:p>
        </w:tc>
        <w:tc>
          <w:tcPr>
            <w:tcW w:w="269" w:type="pct"/>
            <w:vAlign w:val="center"/>
          </w:tcPr>
          <w:p w14:paraId="06A45C3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TSP</w:t>
            </w:r>
          </w:p>
        </w:tc>
        <w:tc>
          <w:tcPr>
            <w:tcW w:w="269" w:type="pct"/>
            <w:vAlign w:val="center"/>
          </w:tcPr>
          <w:p w14:paraId="78AE870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甲醇</w:t>
            </w:r>
          </w:p>
        </w:tc>
        <w:tc>
          <w:tcPr>
            <w:tcW w:w="495" w:type="pct"/>
            <w:vAlign w:val="center"/>
          </w:tcPr>
          <w:p w14:paraId="172D586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非甲烷总烃</w:t>
            </w:r>
          </w:p>
        </w:tc>
      </w:tr>
      <w:tr w14:paraId="3CCFCBD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987" w:type="pct"/>
            <w:vAlign w:val="center"/>
          </w:tcPr>
          <w:p w14:paraId="0F048A4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污水处理站</w:t>
            </w:r>
          </w:p>
        </w:tc>
        <w:tc>
          <w:tcPr>
            <w:tcW w:w="474" w:type="pct"/>
            <w:vAlign w:val="center"/>
          </w:tcPr>
          <w:p w14:paraId="3C39D90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433" w:type="pct"/>
            <w:vAlign w:val="center"/>
          </w:tcPr>
          <w:p w14:paraId="1247B87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413" w:type="pct"/>
            <w:vAlign w:val="center"/>
          </w:tcPr>
          <w:p w14:paraId="647C555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0</w:t>
            </w:r>
          </w:p>
        </w:tc>
        <w:tc>
          <w:tcPr>
            <w:tcW w:w="313" w:type="pct"/>
            <w:vAlign w:val="center"/>
          </w:tcPr>
          <w:p w14:paraId="10E1E51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39</w:t>
            </w:r>
          </w:p>
        </w:tc>
        <w:tc>
          <w:tcPr>
            <w:tcW w:w="313" w:type="pct"/>
            <w:vAlign w:val="center"/>
          </w:tcPr>
          <w:p w14:paraId="451E3C9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16</w:t>
            </w:r>
          </w:p>
        </w:tc>
        <w:tc>
          <w:tcPr>
            <w:tcW w:w="413" w:type="pct"/>
            <w:vAlign w:val="center"/>
          </w:tcPr>
          <w:p w14:paraId="3407E85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w:t>
            </w:r>
          </w:p>
        </w:tc>
        <w:tc>
          <w:tcPr>
            <w:tcW w:w="310" w:type="pct"/>
            <w:vAlign w:val="center"/>
          </w:tcPr>
          <w:p w14:paraId="6ED4AEC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0.0044</w:t>
            </w:r>
          </w:p>
        </w:tc>
        <w:tc>
          <w:tcPr>
            <w:tcW w:w="310" w:type="pct"/>
            <w:vAlign w:val="center"/>
          </w:tcPr>
          <w:p w14:paraId="7042727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0.0001</w:t>
            </w:r>
          </w:p>
        </w:tc>
        <w:tc>
          <w:tcPr>
            <w:tcW w:w="269" w:type="pct"/>
            <w:vAlign w:val="center"/>
          </w:tcPr>
          <w:p w14:paraId="1D00A53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69" w:type="pct"/>
            <w:vAlign w:val="center"/>
          </w:tcPr>
          <w:p w14:paraId="642FE86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495" w:type="pct"/>
            <w:vAlign w:val="center"/>
          </w:tcPr>
          <w:p w14:paraId="5F263C4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0.0014</w:t>
            </w:r>
          </w:p>
        </w:tc>
      </w:tr>
      <w:tr w14:paraId="03795B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987" w:type="pct"/>
            <w:vAlign w:val="center"/>
          </w:tcPr>
          <w:p w14:paraId="22A7A1D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生物柴油车间</w:t>
            </w:r>
          </w:p>
        </w:tc>
        <w:tc>
          <w:tcPr>
            <w:tcW w:w="474" w:type="pct"/>
            <w:vAlign w:val="center"/>
          </w:tcPr>
          <w:p w14:paraId="13F8C62B">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433" w:type="pct"/>
            <w:vAlign w:val="center"/>
          </w:tcPr>
          <w:p w14:paraId="49D72C46">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413" w:type="pct"/>
            <w:vAlign w:val="center"/>
          </w:tcPr>
          <w:p w14:paraId="5ECA4C4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w:t>
            </w:r>
          </w:p>
        </w:tc>
        <w:tc>
          <w:tcPr>
            <w:tcW w:w="313" w:type="pct"/>
            <w:vAlign w:val="center"/>
          </w:tcPr>
          <w:p w14:paraId="11DDFBC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16</w:t>
            </w:r>
          </w:p>
        </w:tc>
        <w:tc>
          <w:tcPr>
            <w:tcW w:w="313" w:type="pct"/>
            <w:vAlign w:val="center"/>
          </w:tcPr>
          <w:p w14:paraId="0C10673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48</w:t>
            </w:r>
          </w:p>
        </w:tc>
        <w:tc>
          <w:tcPr>
            <w:tcW w:w="413" w:type="pct"/>
            <w:vAlign w:val="center"/>
          </w:tcPr>
          <w:p w14:paraId="6C54A11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21.5</w:t>
            </w:r>
          </w:p>
        </w:tc>
        <w:tc>
          <w:tcPr>
            <w:tcW w:w="310" w:type="pct"/>
            <w:vAlign w:val="center"/>
          </w:tcPr>
          <w:p w14:paraId="05B4CFB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310" w:type="pct"/>
            <w:vAlign w:val="center"/>
          </w:tcPr>
          <w:p w14:paraId="049169B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69" w:type="pct"/>
            <w:vAlign w:val="center"/>
          </w:tcPr>
          <w:p w14:paraId="59922B5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69" w:type="pct"/>
            <w:vAlign w:val="center"/>
          </w:tcPr>
          <w:p w14:paraId="57964EF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0.343</w:t>
            </w:r>
          </w:p>
        </w:tc>
        <w:tc>
          <w:tcPr>
            <w:tcW w:w="495" w:type="pct"/>
            <w:vAlign w:val="center"/>
          </w:tcPr>
          <w:p w14:paraId="3C61800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0.456</w:t>
            </w:r>
          </w:p>
        </w:tc>
      </w:tr>
      <w:tr w14:paraId="3D21F1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987" w:type="pct"/>
            <w:vAlign w:val="center"/>
          </w:tcPr>
          <w:p w14:paraId="2E60B3B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工业级混合油车间</w:t>
            </w:r>
          </w:p>
        </w:tc>
        <w:tc>
          <w:tcPr>
            <w:tcW w:w="474" w:type="pct"/>
            <w:vAlign w:val="center"/>
          </w:tcPr>
          <w:p w14:paraId="4EDB9F1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433" w:type="pct"/>
            <w:vAlign w:val="center"/>
          </w:tcPr>
          <w:p w14:paraId="5A72275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413" w:type="pct"/>
            <w:vAlign w:val="center"/>
          </w:tcPr>
          <w:p w14:paraId="685D12F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0</w:t>
            </w:r>
          </w:p>
        </w:tc>
        <w:tc>
          <w:tcPr>
            <w:tcW w:w="313" w:type="pct"/>
            <w:vAlign w:val="center"/>
          </w:tcPr>
          <w:p w14:paraId="55AD9B6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19</w:t>
            </w:r>
          </w:p>
        </w:tc>
        <w:tc>
          <w:tcPr>
            <w:tcW w:w="313" w:type="pct"/>
            <w:vAlign w:val="center"/>
          </w:tcPr>
          <w:p w14:paraId="0030443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61</w:t>
            </w:r>
          </w:p>
        </w:tc>
        <w:tc>
          <w:tcPr>
            <w:tcW w:w="413" w:type="pct"/>
            <w:vAlign w:val="center"/>
          </w:tcPr>
          <w:p w14:paraId="56B5E4D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19</w:t>
            </w:r>
          </w:p>
        </w:tc>
        <w:tc>
          <w:tcPr>
            <w:tcW w:w="310" w:type="pct"/>
            <w:vAlign w:val="center"/>
          </w:tcPr>
          <w:p w14:paraId="2D97D4A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310" w:type="pct"/>
            <w:vAlign w:val="center"/>
          </w:tcPr>
          <w:p w14:paraId="34C4D19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69" w:type="pct"/>
            <w:vAlign w:val="center"/>
          </w:tcPr>
          <w:p w14:paraId="56E57E0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0.028</w:t>
            </w:r>
          </w:p>
        </w:tc>
        <w:tc>
          <w:tcPr>
            <w:tcW w:w="269" w:type="pct"/>
            <w:vAlign w:val="center"/>
          </w:tcPr>
          <w:p w14:paraId="68F2FCB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495" w:type="pct"/>
            <w:vAlign w:val="center"/>
          </w:tcPr>
          <w:p w14:paraId="43EE7D0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0.138</w:t>
            </w:r>
          </w:p>
        </w:tc>
      </w:tr>
      <w:tr w14:paraId="0A522A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987" w:type="pct"/>
            <w:vAlign w:val="center"/>
          </w:tcPr>
          <w:p w14:paraId="083780E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甲醇罐区</w:t>
            </w:r>
          </w:p>
        </w:tc>
        <w:tc>
          <w:tcPr>
            <w:tcW w:w="474" w:type="pct"/>
            <w:vAlign w:val="center"/>
          </w:tcPr>
          <w:p w14:paraId="545A0F17">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433" w:type="pct"/>
            <w:vAlign w:val="center"/>
          </w:tcPr>
          <w:p w14:paraId="1E01BD06">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413" w:type="pct"/>
            <w:vAlign w:val="center"/>
          </w:tcPr>
          <w:p w14:paraId="43BD569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w:t>
            </w:r>
          </w:p>
        </w:tc>
        <w:tc>
          <w:tcPr>
            <w:tcW w:w="313" w:type="pct"/>
            <w:vAlign w:val="center"/>
          </w:tcPr>
          <w:p w14:paraId="51AF964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26</w:t>
            </w:r>
          </w:p>
        </w:tc>
        <w:tc>
          <w:tcPr>
            <w:tcW w:w="313" w:type="pct"/>
            <w:vAlign w:val="center"/>
          </w:tcPr>
          <w:p w14:paraId="5825F1B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18</w:t>
            </w:r>
          </w:p>
        </w:tc>
        <w:tc>
          <w:tcPr>
            <w:tcW w:w="413" w:type="pct"/>
            <w:vAlign w:val="center"/>
          </w:tcPr>
          <w:p w14:paraId="42B61ED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11</w:t>
            </w:r>
          </w:p>
        </w:tc>
        <w:tc>
          <w:tcPr>
            <w:tcW w:w="310" w:type="pct"/>
            <w:vAlign w:val="center"/>
          </w:tcPr>
          <w:p w14:paraId="5FC91A0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310" w:type="pct"/>
            <w:vAlign w:val="center"/>
          </w:tcPr>
          <w:p w14:paraId="40F78FA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69" w:type="pct"/>
            <w:vAlign w:val="center"/>
          </w:tcPr>
          <w:p w14:paraId="744EB3B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69" w:type="pct"/>
            <w:vAlign w:val="center"/>
          </w:tcPr>
          <w:p w14:paraId="5995353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0.013</w:t>
            </w:r>
          </w:p>
        </w:tc>
        <w:tc>
          <w:tcPr>
            <w:tcW w:w="495" w:type="pct"/>
            <w:vAlign w:val="center"/>
          </w:tcPr>
          <w:p w14:paraId="39E9A69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r>
      <w:tr w14:paraId="2824D6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987" w:type="pct"/>
            <w:vAlign w:val="center"/>
          </w:tcPr>
          <w:p w14:paraId="66B4DDE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中转罐区</w:t>
            </w:r>
          </w:p>
        </w:tc>
        <w:tc>
          <w:tcPr>
            <w:tcW w:w="474" w:type="pct"/>
            <w:vAlign w:val="center"/>
          </w:tcPr>
          <w:p w14:paraId="43B163D9">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433" w:type="pct"/>
            <w:vAlign w:val="center"/>
          </w:tcPr>
          <w:p w14:paraId="07504484">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413" w:type="pct"/>
            <w:vAlign w:val="center"/>
          </w:tcPr>
          <w:p w14:paraId="2D6136C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w:t>
            </w:r>
          </w:p>
        </w:tc>
        <w:tc>
          <w:tcPr>
            <w:tcW w:w="313" w:type="pct"/>
            <w:vAlign w:val="center"/>
          </w:tcPr>
          <w:p w14:paraId="057F13F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36</w:t>
            </w:r>
          </w:p>
        </w:tc>
        <w:tc>
          <w:tcPr>
            <w:tcW w:w="313" w:type="pct"/>
            <w:vAlign w:val="center"/>
          </w:tcPr>
          <w:p w14:paraId="772D898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60</w:t>
            </w:r>
          </w:p>
        </w:tc>
        <w:tc>
          <w:tcPr>
            <w:tcW w:w="413" w:type="pct"/>
            <w:vAlign w:val="center"/>
          </w:tcPr>
          <w:p w14:paraId="2901CC9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12</w:t>
            </w:r>
          </w:p>
        </w:tc>
        <w:tc>
          <w:tcPr>
            <w:tcW w:w="310" w:type="pct"/>
            <w:vAlign w:val="center"/>
          </w:tcPr>
          <w:p w14:paraId="4513BBD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310" w:type="pct"/>
            <w:vAlign w:val="center"/>
          </w:tcPr>
          <w:p w14:paraId="2119026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69" w:type="pct"/>
            <w:vAlign w:val="center"/>
          </w:tcPr>
          <w:p w14:paraId="577E6CE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69" w:type="pct"/>
            <w:vAlign w:val="center"/>
          </w:tcPr>
          <w:p w14:paraId="32BFE20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495" w:type="pct"/>
            <w:vAlign w:val="center"/>
          </w:tcPr>
          <w:p w14:paraId="0B8D18D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0.015</w:t>
            </w:r>
          </w:p>
        </w:tc>
      </w:tr>
      <w:tr w14:paraId="6360934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987" w:type="pct"/>
            <w:vAlign w:val="center"/>
          </w:tcPr>
          <w:p w14:paraId="32C86A9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生物柴油和废弃油脂罐区</w:t>
            </w:r>
          </w:p>
        </w:tc>
        <w:tc>
          <w:tcPr>
            <w:tcW w:w="474" w:type="pct"/>
            <w:vAlign w:val="center"/>
          </w:tcPr>
          <w:p w14:paraId="4DAD6D95">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433" w:type="pct"/>
            <w:vAlign w:val="center"/>
          </w:tcPr>
          <w:p w14:paraId="1151C15A">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413" w:type="pct"/>
            <w:vAlign w:val="center"/>
          </w:tcPr>
          <w:p w14:paraId="0873537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0</w:t>
            </w:r>
          </w:p>
        </w:tc>
        <w:tc>
          <w:tcPr>
            <w:tcW w:w="313" w:type="pct"/>
            <w:vAlign w:val="center"/>
          </w:tcPr>
          <w:p w14:paraId="4B55D7C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53</w:t>
            </w:r>
          </w:p>
        </w:tc>
        <w:tc>
          <w:tcPr>
            <w:tcW w:w="313" w:type="pct"/>
            <w:vAlign w:val="center"/>
          </w:tcPr>
          <w:p w14:paraId="37445F3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77</w:t>
            </w:r>
          </w:p>
        </w:tc>
        <w:tc>
          <w:tcPr>
            <w:tcW w:w="413" w:type="pct"/>
            <w:vAlign w:val="center"/>
          </w:tcPr>
          <w:p w14:paraId="55066E7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13</w:t>
            </w:r>
          </w:p>
        </w:tc>
        <w:tc>
          <w:tcPr>
            <w:tcW w:w="310" w:type="pct"/>
            <w:vAlign w:val="center"/>
          </w:tcPr>
          <w:p w14:paraId="72C9AE9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310" w:type="pct"/>
            <w:vAlign w:val="center"/>
          </w:tcPr>
          <w:p w14:paraId="3E3CAAE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69" w:type="pct"/>
            <w:vAlign w:val="center"/>
          </w:tcPr>
          <w:p w14:paraId="38745EA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69" w:type="pct"/>
            <w:vAlign w:val="center"/>
          </w:tcPr>
          <w:p w14:paraId="1C5C08F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495" w:type="pct"/>
            <w:vAlign w:val="center"/>
          </w:tcPr>
          <w:p w14:paraId="40596A1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0.028</w:t>
            </w:r>
          </w:p>
        </w:tc>
      </w:tr>
    </w:tbl>
    <w:p w14:paraId="6EC2601B">
      <w:pPr>
        <w:pStyle w:val="11"/>
      </w:pPr>
      <w:r>
        <w:rPr>
          <w:rFonts w:hint="eastAsia"/>
        </w:rPr>
        <w:t xml:space="preserve"> 点源排放估算模式参数表</w:t>
      </w:r>
    </w:p>
    <w:tbl>
      <w:tblPr>
        <w:tblStyle w:val="30"/>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81"/>
        <w:gridCol w:w="1278"/>
        <w:gridCol w:w="1168"/>
        <w:gridCol w:w="1400"/>
        <w:gridCol w:w="944"/>
        <w:gridCol w:w="944"/>
        <w:gridCol w:w="995"/>
        <w:gridCol w:w="1086"/>
        <w:gridCol w:w="700"/>
        <w:gridCol w:w="700"/>
        <w:gridCol w:w="700"/>
        <w:gridCol w:w="859"/>
        <w:gridCol w:w="805"/>
        <w:gridCol w:w="805"/>
        <w:gridCol w:w="809"/>
      </w:tblGrid>
      <w:tr w14:paraId="320A29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346" w:type="pct"/>
            <w:vMerge w:val="restart"/>
            <w:vAlign w:val="center"/>
          </w:tcPr>
          <w:p w14:paraId="12BD4F0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污染源名称</w:t>
            </w:r>
          </w:p>
        </w:tc>
        <w:tc>
          <w:tcPr>
            <w:tcW w:w="863" w:type="pct"/>
            <w:gridSpan w:val="2"/>
            <w:vAlign w:val="center"/>
          </w:tcPr>
          <w:p w14:paraId="038D3EA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排气筒底部中心坐标</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494" w:type="pct"/>
            <w:vMerge w:val="restart"/>
            <w:vAlign w:val="center"/>
          </w:tcPr>
          <w:p w14:paraId="5CA912E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排气筒底部海拔高度</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m</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1400" w:type="pct"/>
            <w:gridSpan w:val="4"/>
            <w:vAlign w:val="center"/>
          </w:tcPr>
          <w:p w14:paraId="5D466B3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排气筒参数</w:t>
            </w:r>
          </w:p>
        </w:tc>
        <w:tc>
          <w:tcPr>
            <w:tcW w:w="1897" w:type="pct"/>
            <w:gridSpan w:val="7"/>
            <w:vAlign w:val="center"/>
          </w:tcPr>
          <w:p w14:paraId="4AF670D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污染物排放速率</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kg/h</w:t>
            </w:r>
            <w:r>
              <w:rPr>
                <w:rFonts w:hint="eastAsia"/>
                <w:color w:val="0D0D0D" w:themeColor="text1" w:themeTint="F2"/>
                <w:sz w:val="21"/>
                <w:szCs w:val="21"/>
                <w:u w:val="single"/>
                <w14:textFill>
                  <w14:solidFill>
                    <w14:schemeClr w14:val="tx1">
                      <w14:lumMod w14:val="95000"/>
                      <w14:lumOff w14:val="5000"/>
                    </w14:schemeClr>
                  </w14:solidFill>
                </w14:textFill>
              </w:rPr>
              <w:t>）</w:t>
            </w:r>
          </w:p>
        </w:tc>
      </w:tr>
      <w:tr w14:paraId="2857DC4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346" w:type="pct"/>
            <w:vMerge w:val="continue"/>
            <w:vAlign w:val="center"/>
          </w:tcPr>
          <w:p w14:paraId="4AF46D0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451" w:type="pct"/>
            <w:vAlign w:val="center"/>
          </w:tcPr>
          <w:p w14:paraId="1E07A7C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经度</w:t>
            </w:r>
          </w:p>
        </w:tc>
        <w:tc>
          <w:tcPr>
            <w:tcW w:w="412" w:type="pct"/>
            <w:vAlign w:val="center"/>
          </w:tcPr>
          <w:p w14:paraId="26BBFE9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纬度</w:t>
            </w:r>
          </w:p>
        </w:tc>
        <w:tc>
          <w:tcPr>
            <w:tcW w:w="494" w:type="pct"/>
            <w:vMerge w:val="continue"/>
            <w:vAlign w:val="center"/>
          </w:tcPr>
          <w:p w14:paraId="1521DDE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333" w:type="pct"/>
            <w:vAlign w:val="center"/>
          </w:tcPr>
          <w:p w14:paraId="4F4A25C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高度</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m</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333" w:type="pct"/>
            <w:vAlign w:val="center"/>
          </w:tcPr>
          <w:p w14:paraId="6A992F9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内径</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m</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351" w:type="pct"/>
            <w:vAlign w:val="center"/>
          </w:tcPr>
          <w:p w14:paraId="11C3B94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温度</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383" w:type="pct"/>
            <w:vAlign w:val="center"/>
          </w:tcPr>
          <w:p w14:paraId="1CA8AC1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流速</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m/s</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47" w:type="pct"/>
            <w:vAlign w:val="center"/>
          </w:tcPr>
          <w:p w14:paraId="0DDDF40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S</w:t>
            </w:r>
            <w:r>
              <w:rPr>
                <w:color w:val="0D0D0D" w:themeColor="text1" w:themeTint="F2"/>
                <w:sz w:val="21"/>
                <w:szCs w:val="21"/>
                <w:u w:val="single"/>
                <w14:textFill>
                  <w14:solidFill>
                    <w14:schemeClr w14:val="tx1">
                      <w14:lumMod w14:val="95000"/>
                      <w14:lumOff w14:val="5000"/>
                    </w14:schemeClr>
                  </w14:solidFill>
                </w14:textFill>
              </w:rPr>
              <w:t>O</w:t>
            </w:r>
            <w:r>
              <w:rPr>
                <w:rFonts w:hint="eastAsia"/>
                <w:color w:val="0D0D0D" w:themeColor="text1" w:themeTint="F2"/>
                <w:sz w:val="21"/>
                <w:szCs w:val="21"/>
                <w:u w:val="single"/>
                <w:vertAlign w:val="subscript"/>
                <w14:textFill>
                  <w14:solidFill>
                    <w14:schemeClr w14:val="tx1">
                      <w14:lumMod w14:val="95000"/>
                      <w14:lumOff w14:val="5000"/>
                    </w14:schemeClr>
                  </w14:solidFill>
                </w14:textFill>
              </w:rPr>
              <w:t>2</w:t>
            </w:r>
          </w:p>
        </w:tc>
        <w:tc>
          <w:tcPr>
            <w:tcW w:w="247" w:type="pct"/>
            <w:vAlign w:val="center"/>
          </w:tcPr>
          <w:p w14:paraId="16E6661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NOx</w:t>
            </w:r>
          </w:p>
        </w:tc>
        <w:tc>
          <w:tcPr>
            <w:tcW w:w="247" w:type="pct"/>
            <w:vAlign w:val="center"/>
          </w:tcPr>
          <w:p w14:paraId="1FE73BC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PM</w:t>
            </w:r>
            <w:r>
              <w:rPr>
                <w:color w:val="0D0D0D" w:themeColor="text1" w:themeTint="F2"/>
                <w:sz w:val="21"/>
                <w:szCs w:val="21"/>
                <w:u w:val="single"/>
                <w:vertAlign w:val="subscript"/>
                <w14:textFill>
                  <w14:solidFill>
                    <w14:schemeClr w14:val="tx1">
                      <w14:lumMod w14:val="95000"/>
                      <w14:lumOff w14:val="5000"/>
                    </w14:schemeClr>
                  </w14:solidFill>
                </w14:textFill>
              </w:rPr>
              <w:t>10</w:t>
            </w:r>
          </w:p>
        </w:tc>
        <w:tc>
          <w:tcPr>
            <w:tcW w:w="303" w:type="pct"/>
            <w:vAlign w:val="center"/>
          </w:tcPr>
          <w:p w14:paraId="04ECF65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NMHC</w:t>
            </w:r>
          </w:p>
        </w:tc>
        <w:tc>
          <w:tcPr>
            <w:tcW w:w="284" w:type="pct"/>
            <w:vAlign w:val="center"/>
          </w:tcPr>
          <w:p w14:paraId="11B3588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甲醇</w:t>
            </w:r>
          </w:p>
        </w:tc>
        <w:tc>
          <w:tcPr>
            <w:tcW w:w="284" w:type="pct"/>
            <w:vAlign w:val="center"/>
          </w:tcPr>
          <w:p w14:paraId="6041BB3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NH</w:t>
            </w:r>
            <w:r>
              <w:rPr>
                <w:color w:val="0D0D0D" w:themeColor="text1" w:themeTint="F2"/>
                <w:sz w:val="21"/>
                <w:szCs w:val="21"/>
                <w:u w:val="single"/>
                <w:vertAlign w:val="subscript"/>
                <w14:textFill>
                  <w14:solidFill>
                    <w14:schemeClr w14:val="tx1">
                      <w14:lumMod w14:val="95000"/>
                      <w14:lumOff w14:val="5000"/>
                    </w14:schemeClr>
                  </w14:solidFill>
                </w14:textFill>
              </w:rPr>
              <w:t>3</w:t>
            </w:r>
          </w:p>
        </w:tc>
        <w:tc>
          <w:tcPr>
            <w:tcW w:w="284" w:type="pct"/>
            <w:vAlign w:val="center"/>
          </w:tcPr>
          <w:p w14:paraId="7C18134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H</w:t>
            </w:r>
            <w:r>
              <w:rPr>
                <w:color w:val="0D0D0D" w:themeColor="text1" w:themeTint="F2"/>
                <w:sz w:val="21"/>
                <w:szCs w:val="21"/>
                <w:u w:val="single"/>
                <w:vertAlign w:val="subscript"/>
                <w14:textFill>
                  <w14:solidFill>
                    <w14:schemeClr w14:val="tx1">
                      <w14:lumMod w14:val="95000"/>
                      <w14:lumOff w14:val="5000"/>
                    </w14:schemeClr>
                  </w14:solidFill>
                </w14:textFill>
              </w:rPr>
              <w:t>2</w:t>
            </w:r>
            <w:r>
              <w:rPr>
                <w:color w:val="0D0D0D" w:themeColor="text1" w:themeTint="F2"/>
                <w:sz w:val="21"/>
                <w:szCs w:val="21"/>
                <w:u w:val="single"/>
                <w14:textFill>
                  <w14:solidFill>
                    <w14:schemeClr w14:val="tx1">
                      <w14:lumMod w14:val="95000"/>
                      <w14:lumOff w14:val="5000"/>
                    </w14:schemeClr>
                  </w14:solidFill>
                </w14:textFill>
              </w:rPr>
              <w:t>S</w:t>
            </w:r>
          </w:p>
        </w:tc>
      </w:tr>
      <w:tr w14:paraId="597134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346" w:type="pct"/>
            <w:vAlign w:val="center"/>
          </w:tcPr>
          <w:p w14:paraId="49F86D4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DA001</w:t>
            </w:r>
          </w:p>
        </w:tc>
        <w:tc>
          <w:tcPr>
            <w:tcW w:w="451" w:type="pct"/>
            <w:vAlign w:val="center"/>
          </w:tcPr>
          <w:p w14:paraId="5A8525F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412" w:type="pct"/>
            <w:vAlign w:val="center"/>
          </w:tcPr>
          <w:p w14:paraId="410F5C0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494" w:type="pct"/>
            <w:vAlign w:val="center"/>
          </w:tcPr>
          <w:p w14:paraId="0549B7A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0</w:t>
            </w:r>
          </w:p>
        </w:tc>
        <w:tc>
          <w:tcPr>
            <w:tcW w:w="333" w:type="pct"/>
            <w:vAlign w:val="center"/>
          </w:tcPr>
          <w:p w14:paraId="7817765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30</w:t>
            </w:r>
          </w:p>
        </w:tc>
        <w:tc>
          <w:tcPr>
            <w:tcW w:w="333" w:type="pct"/>
            <w:vAlign w:val="center"/>
          </w:tcPr>
          <w:p w14:paraId="37236D9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0.8</w:t>
            </w:r>
          </w:p>
        </w:tc>
        <w:tc>
          <w:tcPr>
            <w:tcW w:w="351" w:type="pct"/>
            <w:vAlign w:val="center"/>
          </w:tcPr>
          <w:p w14:paraId="653074C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65</w:t>
            </w:r>
          </w:p>
        </w:tc>
        <w:tc>
          <w:tcPr>
            <w:tcW w:w="383" w:type="pct"/>
            <w:vAlign w:val="center"/>
          </w:tcPr>
          <w:p w14:paraId="0EFDBDB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13.5</w:t>
            </w:r>
          </w:p>
        </w:tc>
        <w:tc>
          <w:tcPr>
            <w:tcW w:w="247" w:type="pct"/>
            <w:vAlign w:val="center"/>
          </w:tcPr>
          <w:p w14:paraId="37647FE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47" w:type="pct"/>
            <w:vAlign w:val="center"/>
          </w:tcPr>
          <w:p w14:paraId="258CB4D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47" w:type="pct"/>
            <w:vAlign w:val="center"/>
          </w:tcPr>
          <w:p w14:paraId="22034F3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303" w:type="pct"/>
            <w:vAlign w:val="center"/>
          </w:tcPr>
          <w:p w14:paraId="74039F8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1.2333</w:t>
            </w:r>
          </w:p>
        </w:tc>
        <w:tc>
          <w:tcPr>
            <w:tcW w:w="284" w:type="pct"/>
            <w:vAlign w:val="center"/>
          </w:tcPr>
          <w:p w14:paraId="4A0C5CC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0.6736</w:t>
            </w:r>
          </w:p>
        </w:tc>
        <w:tc>
          <w:tcPr>
            <w:tcW w:w="284" w:type="pct"/>
            <w:vAlign w:val="center"/>
          </w:tcPr>
          <w:p w14:paraId="5751256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0.0839</w:t>
            </w:r>
          </w:p>
        </w:tc>
        <w:tc>
          <w:tcPr>
            <w:tcW w:w="284" w:type="pct"/>
            <w:vAlign w:val="center"/>
          </w:tcPr>
          <w:p w14:paraId="5F15913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0.0014</w:t>
            </w:r>
          </w:p>
        </w:tc>
      </w:tr>
      <w:tr w14:paraId="6749F3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trPr>
        <w:tc>
          <w:tcPr>
            <w:tcW w:w="346" w:type="pct"/>
            <w:vAlign w:val="center"/>
          </w:tcPr>
          <w:p w14:paraId="433FF9C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DA002</w:t>
            </w:r>
          </w:p>
        </w:tc>
        <w:tc>
          <w:tcPr>
            <w:tcW w:w="451" w:type="pct"/>
            <w:vAlign w:val="center"/>
          </w:tcPr>
          <w:p w14:paraId="085D0D4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412" w:type="pct"/>
            <w:vAlign w:val="center"/>
          </w:tcPr>
          <w:p w14:paraId="74D2033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494" w:type="pct"/>
            <w:vAlign w:val="center"/>
          </w:tcPr>
          <w:p w14:paraId="37D1A92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0</w:t>
            </w:r>
          </w:p>
        </w:tc>
        <w:tc>
          <w:tcPr>
            <w:tcW w:w="333" w:type="pct"/>
            <w:vAlign w:val="center"/>
          </w:tcPr>
          <w:p w14:paraId="0152E6C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40</w:t>
            </w:r>
          </w:p>
        </w:tc>
        <w:tc>
          <w:tcPr>
            <w:tcW w:w="333" w:type="pct"/>
            <w:vAlign w:val="center"/>
          </w:tcPr>
          <w:p w14:paraId="646B4CA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0.8</w:t>
            </w:r>
          </w:p>
        </w:tc>
        <w:tc>
          <w:tcPr>
            <w:tcW w:w="351" w:type="pct"/>
            <w:vAlign w:val="center"/>
          </w:tcPr>
          <w:p w14:paraId="0369B5D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65</w:t>
            </w:r>
          </w:p>
        </w:tc>
        <w:tc>
          <w:tcPr>
            <w:tcW w:w="383" w:type="pct"/>
            <w:vAlign w:val="center"/>
          </w:tcPr>
          <w:p w14:paraId="0972878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13.8</w:t>
            </w:r>
          </w:p>
        </w:tc>
        <w:tc>
          <w:tcPr>
            <w:tcW w:w="247" w:type="pct"/>
            <w:vAlign w:val="center"/>
          </w:tcPr>
          <w:p w14:paraId="09C5E7E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0.135</w:t>
            </w:r>
          </w:p>
        </w:tc>
        <w:tc>
          <w:tcPr>
            <w:tcW w:w="247" w:type="pct"/>
            <w:vAlign w:val="center"/>
          </w:tcPr>
          <w:p w14:paraId="085EB36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3.017</w:t>
            </w:r>
          </w:p>
        </w:tc>
        <w:tc>
          <w:tcPr>
            <w:tcW w:w="247" w:type="pct"/>
            <w:vAlign w:val="center"/>
          </w:tcPr>
          <w:p w14:paraId="341472F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0.156</w:t>
            </w:r>
          </w:p>
        </w:tc>
        <w:tc>
          <w:tcPr>
            <w:tcW w:w="303" w:type="pct"/>
            <w:vAlign w:val="center"/>
          </w:tcPr>
          <w:p w14:paraId="0F8C638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84" w:type="pct"/>
            <w:vAlign w:val="center"/>
          </w:tcPr>
          <w:p w14:paraId="17D3D39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84" w:type="pct"/>
            <w:vAlign w:val="center"/>
          </w:tcPr>
          <w:p w14:paraId="3468361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84" w:type="pct"/>
            <w:vAlign w:val="center"/>
          </w:tcPr>
          <w:p w14:paraId="1CF111F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r>
    </w:tbl>
    <w:p w14:paraId="123EAAA3">
      <w:pPr>
        <w:ind w:firstLine="480" w:firstLineChars="200"/>
        <w:rPr>
          <w:color w:val="0D0D0D" w:themeColor="text1" w:themeTint="F2"/>
          <w14:textFill>
            <w14:solidFill>
              <w14:schemeClr w14:val="tx1">
                <w14:lumMod w14:val="95000"/>
                <w14:lumOff w14:val="5000"/>
              </w14:schemeClr>
            </w14:solidFill>
          </w14:textFill>
        </w:rPr>
      </w:pPr>
    </w:p>
    <w:p w14:paraId="75118FE6">
      <w:pPr>
        <w:ind w:firstLine="480" w:firstLineChars="200"/>
        <w:rPr>
          <w:color w:val="0D0D0D" w:themeColor="text1" w:themeTint="F2"/>
          <w14:textFill>
            <w14:solidFill>
              <w14:schemeClr w14:val="tx1">
                <w14:lumMod w14:val="95000"/>
                <w14:lumOff w14:val="5000"/>
              </w14:schemeClr>
            </w14:solidFill>
          </w14:textFill>
        </w:rPr>
        <w:sectPr>
          <w:pgSz w:w="16838" w:h="11906" w:orient="landscape"/>
          <w:pgMar w:top="1440" w:right="1440" w:bottom="1440" w:left="1440" w:header="851" w:footer="992" w:gutter="0"/>
          <w:cols w:space="425" w:num="1"/>
          <w:docGrid w:type="linesAndChars" w:linePitch="312" w:charSpace="0"/>
        </w:sectPr>
      </w:pPr>
    </w:p>
    <w:p w14:paraId="19B2FF90">
      <w:pPr>
        <w:pStyle w:val="11"/>
      </w:pPr>
      <w:r>
        <w:rPr>
          <w:rFonts w:hint="eastAsia"/>
        </w:rPr>
        <w:t xml:space="preserve"> 估算模式计算结果表</w:t>
      </w:r>
    </w:p>
    <w:tbl>
      <w:tblPr>
        <w:tblStyle w:val="30"/>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118"/>
        <w:gridCol w:w="1303"/>
        <w:gridCol w:w="1416"/>
        <w:gridCol w:w="1416"/>
        <w:gridCol w:w="1002"/>
        <w:gridCol w:w="987"/>
      </w:tblGrid>
      <w:tr w14:paraId="070C941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87" w:type="pct"/>
            <w:vAlign w:val="center"/>
          </w:tcPr>
          <w:p w14:paraId="1A3C4C5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bookmarkStart w:id="48" w:name="_Hlk166950228"/>
            <w:r>
              <w:rPr>
                <w:color w:val="0D0D0D" w:themeColor="text1" w:themeTint="F2"/>
                <w:sz w:val="21"/>
                <w:szCs w:val="21"/>
                <w:u w:val="single"/>
                <w14:textFill>
                  <w14:solidFill>
                    <w14:schemeClr w14:val="tx1">
                      <w14:lumMod w14:val="95000"/>
                      <w14:lumOff w14:val="5000"/>
                    </w14:schemeClr>
                  </w14:solidFill>
                </w14:textFill>
              </w:rPr>
              <w:t>污染源名称</w:t>
            </w:r>
          </w:p>
        </w:tc>
        <w:tc>
          <w:tcPr>
            <w:tcW w:w="705" w:type="pct"/>
            <w:vAlign w:val="center"/>
          </w:tcPr>
          <w:p w14:paraId="1648F94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评价因子</w:t>
            </w:r>
          </w:p>
        </w:tc>
        <w:tc>
          <w:tcPr>
            <w:tcW w:w="766" w:type="pct"/>
            <w:vAlign w:val="center"/>
          </w:tcPr>
          <w:p w14:paraId="6C70DD5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评价标准</w:t>
            </w:r>
          </w:p>
          <w:p w14:paraId="088ED1B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μg/m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766" w:type="pct"/>
            <w:vAlign w:val="center"/>
          </w:tcPr>
          <w:p w14:paraId="5B8837F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Cmax</w:t>
            </w:r>
          </w:p>
          <w:p w14:paraId="6A0FF53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μg/m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42" w:type="pct"/>
            <w:vAlign w:val="center"/>
          </w:tcPr>
          <w:p w14:paraId="22CB39E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Pmax</w:t>
            </w:r>
          </w:p>
          <w:p w14:paraId="013EADA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34" w:type="pct"/>
            <w:vAlign w:val="center"/>
          </w:tcPr>
          <w:p w14:paraId="378C26A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D10%</w:t>
            </w:r>
          </w:p>
          <w:p w14:paraId="5C997AE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m</w:t>
            </w:r>
            <w:r>
              <w:rPr>
                <w:rFonts w:hint="eastAsia"/>
                <w:color w:val="0D0D0D" w:themeColor="text1" w:themeTint="F2"/>
                <w:sz w:val="21"/>
                <w:szCs w:val="21"/>
                <w:u w:val="single"/>
                <w14:textFill>
                  <w14:solidFill>
                    <w14:schemeClr w14:val="tx1">
                      <w14:lumMod w14:val="95000"/>
                      <w14:lumOff w14:val="5000"/>
                    </w14:schemeClr>
                  </w14:solidFill>
                </w14:textFill>
              </w:rPr>
              <w:t>）</w:t>
            </w:r>
          </w:p>
        </w:tc>
      </w:tr>
      <w:tr w14:paraId="60483E8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87" w:type="pct"/>
            <w:vMerge w:val="restart"/>
            <w:vAlign w:val="center"/>
          </w:tcPr>
          <w:p w14:paraId="0B893D5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DA001</w:t>
            </w:r>
          </w:p>
        </w:tc>
        <w:tc>
          <w:tcPr>
            <w:tcW w:w="705" w:type="pct"/>
            <w:vAlign w:val="center"/>
          </w:tcPr>
          <w:p w14:paraId="2B03A7D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NMHC</w:t>
            </w:r>
          </w:p>
        </w:tc>
        <w:tc>
          <w:tcPr>
            <w:tcW w:w="766" w:type="pct"/>
            <w:vAlign w:val="center"/>
          </w:tcPr>
          <w:p w14:paraId="464AF6D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2000</w:t>
            </w:r>
          </w:p>
        </w:tc>
        <w:tc>
          <w:tcPr>
            <w:tcW w:w="766" w:type="pct"/>
            <w:vAlign w:val="center"/>
          </w:tcPr>
          <w:p w14:paraId="44ED5D9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10.5789</w:t>
            </w:r>
          </w:p>
        </w:tc>
        <w:tc>
          <w:tcPr>
            <w:tcW w:w="542" w:type="pct"/>
            <w:vAlign w:val="center"/>
          </w:tcPr>
          <w:p w14:paraId="612D4E5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0.53</w:t>
            </w:r>
          </w:p>
        </w:tc>
        <w:tc>
          <w:tcPr>
            <w:tcW w:w="534" w:type="pct"/>
            <w:vAlign w:val="center"/>
          </w:tcPr>
          <w:p w14:paraId="2224291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w:t>
            </w:r>
          </w:p>
        </w:tc>
      </w:tr>
      <w:tr w14:paraId="47AD8C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87" w:type="pct"/>
            <w:vMerge w:val="continue"/>
            <w:vAlign w:val="center"/>
          </w:tcPr>
          <w:p w14:paraId="122D0B1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05" w:type="pct"/>
            <w:vAlign w:val="center"/>
          </w:tcPr>
          <w:p w14:paraId="650E519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甲醇</w:t>
            </w:r>
          </w:p>
        </w:tc>
        <w:tc>
          <w:tcPr>
            <w:tcW w:w="766" w:type="pct"/>
            <w:vAlign w:val="center"/>
          </w:tcPr>
          <w:p w14:paraId="715D9D9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3000</w:t>
            </w:r>
          </w:p>
        </w:tc>
        <w:tc>
          <w:tcPr>
            <w:tcW w:w="766" w:type="pct"/>
            <w:vAlign w:val="center"/>
          </w:tcPr>
          <w:p w14:paraId="2F74AF5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5.7779</w:t>
            </w:r>
          </w:p>
        </w:tc>
        <w:tc>
          <w:tcPr>
            <w:tcW w:w="542" w:type="pct"/>
            <w:vAlign w:val="center"/>
          </w:tcPr>
          <w:p w14:paraId="2A77305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0.19</w:t>
            </w:r>
          </w:p>
        </w:tc>
        <w:tc>
          <w:tcPr>
            <w:tcW w:w="534" w:type="pct"/>
            <w:vAlign w:val="center"/>
          </w:tcPr>
          <w:p w14:paraId="39853E2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w:t>
            </w:r>
          </w:p>
        </w:tc>
      </w:tr>
      <w:tr w14:paraId="46D0FF8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87" w:type="pct"/>
            <w:vMerge w:val="continue"/>
            <w:vAlign w:val="center"/>
          </w:tcPr>
          <w:p w14:paraId="2AC1273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05" w:type="pct"/>
            <w:vAlign w:val="center"/>
          </w:tcPr>
          <w:p w14:paraId="4F096C1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NH</w:t>
            </w:r>
            <w:r>
              <w:rPr>
                <w:color w:val="0D0D0D" w:themeColor="text1" w:themeTint="F2"/>
                <w:sz w:val="21"/>
                <w:szCs w:val="21"/>
                <w:vertAlign w:val="subscript"/>
                <w14:textFill>
                  <w14:solidFill>
                    <w14:schemeClr w14:val="tx1">
                      <w14:lumMod w14:val="95000"/>
                      <w14:lumOff w14:val="5000"/>
                    </w14:schemeClr>
                  </w14:solidFill>
                </w14:textFill>
              </w:rPr>
              <w:t>3</w:t>
            </w:r>
          </w:p>
        </w:tc>
        <w:tc>
          <w:tcPr>
            <w:tcW w:w="766" w:type="pct"/>
            <w:vAlign w:val="center"/>
          </w:tcPr>
          <w:p w14:paraId="3783F69C">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200</w:t>
            </w:r>
          </w:p>
        </w:tc>
        <w:tc>
          <w:tcPr>
            <w:tcW w:w="766" w:type="pct"/>
            <w:vAlign w:val="center"/>
          </w:tcPr>
          <w:p w14:paraId="5C98931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0.7197</w:t>
            </w:r>
          </w:p>
        </w:tc>
        <w:tc>
          <w:tcPr>
            <w:tcW w:w="542" w:type="pct"/>
            <w:vAlign w:val="center"/>
          </w:tcPr>
          <w:p w14:paraId="6450B49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0.36</w:t>
            </w:r>
          </w:p>
        </w:tc>
        <w:tc>
          <w:tcPr>
            <w:tcW w:w="534" w:type="pct"/>
            <w:vAlign w:val="center"/>
          </w:tcPr>
          <w:p w14:paraId="072C3A9B">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w:t>
            </w:r>
          </w:p>
        </w:tc>
      </w:tr>
      <w:tr w14:paraId="37F0BF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87" w:type="pct"/>
            <w:vMerge w:val="continue"/>
            <w:vAlign w:val="center"/>
          </w:tcPr>
          <w:p w14:paraId="448C010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05" w:type="pct"/>
            <w:vAlign w:val="center"/>
          </w:tcPr>
          <w:p w14:paraId="4A1100B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H</w:t>
            </w:r>
            <w:r>
              <w:rPr>
                <w:color w:val="0D0D0D" w:themeColor="text1" w:themeTint="F2"/>
                <w:sz w:val="21"/>
                <w:szCs w:val="21"/>
                <w:vertAlign w:val="subscript"/>
                <w14:textFill>
                  <w14:solidFill>
                    <w14:schemeClr w14:val="tx1">
                      <w14:lumMod w14:val="95000"/>
                      <w14:lumOff w14:val="5000"/>
                    </w14:schemeClr>
                  </w14:solidFill>
                </w14:textFill>
              </w:rPr>
              <w:t>2</w:t>
            </w:r>
            <w:r>
              <w:rPr>
                <w:color w:val="0D0D0D" w:themeColor="text1" w:themeTint="F2"/>
                <w:sz w:val="21"/>
                <w:szCs w:val="21"/>
                <w14:textFill>
                  <w14:solidFill>
                    <w14:schemeClr w14:val="tx1">
                      <w14:lumMod w14:val="95000"/>
                      <w14:lumOff w14:val="5000"/>
                    </w14:schemeClr>
                  </w14:solidFill>
                </w14:textFill>
              </w:rPr>
              <w:t>S</w:t>
            </w:r>
          </w:p>
        </w:tc>
        <w:tc>
          <w:tcPr>
            <w:tcW w:w="766" w:type="pct"/>
            <w:vAlign w:val="center"/>
          </w:tcPr>
          <w:p w14:paraId="0955B178">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10</w:t>
            </w:r>
          </w:p>
        </w:tc>
        <w:tc>
          <w:tcPr>
            <w:tcW w:w="766" w:type="pct"/>
            <w:vAlign w:val="center"/>
          </w:tcPr>
          <w:p w14:paraId="3786108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0.012</w:t>
            </w:r>
          </w:p>
        </w:tc>
        <w:tc>
          <w:tcPr>
            <w:tcW w:w="542" w:type="pct"/>
            <w:vAlign w:val="center"/>
          </w:tcPr>
          <w:p w14:paraId="2D34CCE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0.12</w:t>
            </w:r>
          </w:p>
        </w:tc>
        <w:tc>
          <w:tcPr>
            <w:tcW w:w="534" w:type="pct"/>
            <w:vAlign w:val="center"/>
          </w:tcPr>
          <w:p w14:paraId="5DA5AD28">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w:t>
            </w:r>
          </w:p>
        </w:tc>
      </w:tr>
      <w:tr w14:paraId="57DD1E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87" w:type="pct"/>
            <w:vMerge w:val="restart"/>
            <w:vAlign w:val="center"/>
          </w:tcPr>
          <w:p w14:paraId="436A1172">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DA00</w:t>
            </w:r>
            <w:r>
              <w:rPr>
                <w:rFonts w:hint="eastAsia"/>
                <w:color w:val="0D0D0D" w:themeColor="text1" w:themeTint="F2"/>
                <w:sz w:val="21"/>
                <w:szCs w:val="21"/>
                <w14:textFill>
                  <w14:solidFill>
                    <w14:schemeClr w14:val="tx1">
                      <w14:lumMod w14:val="95000"/>
                      <w14:lumOff w14:val="5000"/>
                    </w14:schemeClr>
                  </w14:solidFill>
                </w14:textFill>
              </w:rPr>
              <w:t>2</w:t>
            </w:r>
          </w:p>
        </w:tc>
        <w:tc>
          <w:tcPr>
            <w:tcW w:w="705" w:type="pct"/>
            <w:vAlign w:val="center"/>
          </w:tcPr>
          <w:p w14:paraId="572C24A5">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SO</w:t>
            </w:r>
            <w:r>
              <w:rPr>
                <w:color w:val="0D0D0D" w:themeColor="text1" w:themeTint="F2"/>
                <w:sz w:val="21"/>
                <w:szCs w:val="21"/>
                <w:vertAlign w:val="subscript"/>
                <w14:textFill>
                  <w14:solidFill>
                    <w14:schemeClr w14:val="tx1">
                      <w14:lumMod w14:val="95000"/>
                      <w14:lumOff w14:val="5000"/>
                    </w14:schemeClr>
                  </w14:solidFill>
                </w14:textFill>
              </w:rPr>
              <w:t>2</w:t>
            </w:r>
          </w:p>
        </w:tc>
        <w:tc>
          <w:tcPr>
            <w:tcW w:w="766" w:type="pct"/>
            <w:vAlign w:val="center"/>
          </w:tcPr>
          <w:p w14:paraId="5386ACCD">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500</w:t>
            </w:r>
          </w:p>
        </w:tc>
        <w:tc>
          <w:tcPr>
            <w:tcW w:w="766" w:type="pct"/>
            <w:vAlign w:val="center"/>
          </w:tcPr>
          <w:p w14:paraId="70A00CA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0.8992</w:t>
            </w:r>
          </w:p>
        </w:tc>
        <w:tc>
          <w:tcPr>
            <w:tcW w:w="542" w:type="pct"/>
            <w:vAlign w:val="center"/>
          </w:tcPr>
          <w:p w14:paraId="4712A79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0.18</w:t>
            </w:r>
          </w:p>
        </w:tc>
        <w:tc>
          <w:tcPr>
            <w:tcW w:w="534" w:type="pct"/>
            <w:vAlign w:val="center"/>
          </w:tcPr>
          <w:p w14:paraId="31B3C018">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w:t>
            </w:r>
          </w:p>
        </w:tc>
      </w:tr>
      <w:tr w14:paraId="38BAA9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87" w:type="pct"/>
            <w:vMerge w:val="continue"/>
            <w:vAlign w:val="center"/>
          </w:tcPr>
          <w:p w14:paraId="51DC7AE5">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705" w:type="pct"/>
            <w:vAlign w:val="center"/>
          </w:tcPr>
          <w:p w14:paraId="12637BE9">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NOx</w:t>
            </w:r>
          </w:p>
        </w:tc>
        <w:tc>
          <w:tcPr>
            <w:tcW w:w="766" w:type="pct"/>
            <w:vAlign w:val="center"/>
          </w:tcPr>
          <w:p w14:paraId="0D954F85">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250</w:t>
            </w:r>
          </w:p>
        </w:tc>
        <w:tc>
          <w:tcPr>
            <w:tcW w:w="766" w:type="pct"/>
            <w:vAlign w:val="center"/>
          </w:tcPr>
          <w:p w14:paraId="34186BC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20.0959</w:t>
            </w:r>
          </w:p>
        </w:tc>
        <w:tc>
          <w:tcPr>
            <w:tcW w:w="542" w:type="pct"/>
            <w:vAlign w:val="center"/>
          </w:tcPr>
          <w:p w14:paraId="27EC39B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8.04</w:t>
            </w:r>
          </w:p>
        </w:tc>
        <w:tc>
          <w:tcPr>
            <w:tcW w:w="534" w:type="pct"/>
            <w:vAlign w:val="center"/>
          </w:tcPr>
          <w:p w14:paraId="2C6EFBB2">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w:t>
            </w:r>
          </w:p>
        </w:tc>
      </w:tr>
      <w:tr w14:paraId="055A25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87" w:type="pct"/>
            <w:vMerge w:val="continue"/>
            <w:vAlign w:val="center"/>
          </w:tcPr>
          <w:p w14:paraId="2A3430D8">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705" w:type="pct"/>
            <w:vAlign w:val="center"/>
          </w:tcPr>
          <w:p w14:paraId="2F428E9C">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PM</w:t>
            </w:r>
            <w:r>
              <w:rPr>
                <w:color w:val="0D0D0D" w:themeColor="text1" w:themeTint="F2"/>
                <w:sz w:val="21"/>
                <w:szCs w:val="21"/>
                <w:vertAlign w:val="subscript"/>
                <w14:textFill>
                  <w14:solidFill>
                    <w14:schemeClr w14:val="tx1">
                      <w14:lumMod w14:val="95000"/>
                      <w14:lumOff w14:val="5000"/>
                    </w14:schemeClr>
                  </w14:solidFill>
                </w14:textFill>
              </w:rPr>
              <w:t>10</w:t>
            </w:r>
          </w:p>
        </w:tc>
        <w:tc>
          <w:tcPr>
            <w:tcW w:w="766" w:type="pct"/>
            <w:vAlign w:val="center"/>
          </w:tcPr>
          <w:p w14:paraId="2765BCBB">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450</w:t>
            </w:r>
          </w:p>
        </w:tc>
        <w:tc>
          <w:tcPr>
            <w:tcW w:w="766" w:type="pct"/>
            <w:vAlign w:val="center"/>
          </w:tcPr>
          <w:p w14:paraId="0506256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1.0391</w:t>
            </w:r>
          </w:p>
        </w:tc>
        <w:tc>
          <w:tcPr>
            <w:tcW w:w="542" w:type="pct"/>
            <w:vAlign w:val="center"/>
          </w:tcPr>
          <w:p w14:paraId="57D5C79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0.23</w:t>
            </w:r>
          </w:p>
        </w:tc>
        <w:tc>
          <w:tcPr>
            <w:tcW w:w="534" w:type="pct"/>
            <w:vAlign w:val="center"/>
          </w:tcPr>
          <w:p w14:paraId="3F56F0A1">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w:t>
            </w:r>
          </w:p>
        </w:tc>
      </w:tr>
      <w:tr w14:paraId="6681BD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87" w:type="pct"/>
            <w:vMerge w:val="restart"/>
            <w:vAlign w:val="center"/>
          </w:tcPr>
          <w:p w14:paraId="01CCC83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生物柴油车间</w:t>
            </w:r>
          </w:p>
        </w:tc>
        <w:tc>
          <w:tcPr>
            <w:tcW w:w="705" w:type="pct"/>
            <w:vAlign w:val="center"/>
          </w:tcPr>
          <w:p w14:paraId="282955B9">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NMHC</w:t>
            </w:r>
          </w:p>
        </w:tc>
        <w:tc>
          <w:tcPr>
            <w:tcW w:w="766" w:type="pct"/>
            <w:vAlign w:val="center"/>
          </w:tcPr>
          <w:p w14:paraId="54CA6416">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2000</w:t>
            </w:r>
          </w:p>
        </w:tc>
        <w:tc>
          <w:tcPr>
            <w:tcW w:w="766" w:type="pct"/>
            <w:vAlign w:val="center"/>
          </w:tcPr>
          <w:p w14:paraId="736E949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134.34</w:t>
            </w:r>
          </w:p>
        </w:tc>
        <w:tc>
          <w:tcPr>
            <w:tcW w:w="542" w:type="pct"/>
            <w:vAlign w:val="center"/>
          </w:tcPr>
          <w:p w14:paraId="7446E3E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6.72</w:t>
            </w:r>
          </w:p>
        </w:tc>
        <w:tc>
          <w:tcPr>
            <w:tcW w:w="534" w:type="pct"/>
            <w:vAlign w:val="center"/>
          </w:tcPr>
          <w:p w14:paraId="5EA1212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r>
      <w:tr w14:paraId="627A80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87" w:type="pct"/>
            <w:vMerge w:val="continue"/>
            <w:vAlign w:val="center"/>
          </w:tcPr>
          <w:p w14:paraId="19B24452">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705" w:type="pct"/>
            <w:vAlign w:val="center"/>
          </w:tcPr>
          <w:p w14:paraId="66F3C019">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甲醇</w:t>
            </w:r>
          </w:p>
        </w:tc>
        <w:tc>
          <w:tcPr>
            <w:tcW w:w="766" w:type="pct"/>
            <w:vAlign w:val="center"/>
          </w:tcPr>
          <w:p w14:paraId="301D75C5">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3000</w:t>
            </w:r>
          </w:p>
        </w:tc>
        <w:tc>
          <w:tcPr>
            <w:tcW w:w="766" w:type="pct"/>
            <w:vAlign w:val="center"/>
          </w:tcPr>
          <w:p w14:paraId="753BD59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101.0496</w:t>
            </w:r>
          </w:p>
        </w:tc>
        <w:tc>
          <w:tcPr>
            <w:tcW w:w="542" w:type="pct"/>
            <w:vAlign w:val="center"/>
          </w:tcPr>
          <w:p w14:paraId="137EDA1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3.37</w:t>
            </w:r>
          </w:p>
        </w:tc>
        <w:tc>
          <w:tcPr>
            <w:tcW w:w="534" w:type="pct"/>
            <w:vAlign w:val="center"/>
          </w:tcPr>
          <w:p w14:paraId="0480F66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r>
      <w:tr w14:paraId="604E4E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87" w:type="pct"/>
            <w:vMerge w:val="restart"/>
            <w:vAlign w:val="center"/>
          </w:tcPr>
          <w:p w14:paraId="75138F1F">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工业级混合油车间</w:t>
            </w:r>
          </w:p>
        </w:tc>
        <w:tc>
          <w:tcPr>
            <w:tcW w:w="705" w:type="pct"/>
            <w:vAlign w:val="center"/>
          </w:tcPr>
          <w:p w14:paraId="0A66885C">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TSP</w:t>
            </w:r>
          </w:p>
        </w:tc>
        <w:tc>
          <w:tcPr>
            <w:tcW w:w="766" w:type="pct"/>
            <w:vAlign w:val="center"/>
          </w:tcPr>
          <w:p w14:paraId="1A89DAB6">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900</w:t>
            </w:r>
          </w:p>
        </w:tc>
        <w:tc>
          <w:tcPr>
            <w:tcW w:w="766" w:type="pct"/>
            <w:vAlign w:val="center"/>
          </w:tcPr>
          <w:p w14:paraId="35982ED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8.5747</w:t>
            </w:r>
          </w:p>
        </w:tc>
        <w:tc>
          <w:tcPr>
            <w:tcW w:w="542" w:type="pct"/>
            <w:vAlign w:val="center"/>
          </w:tcPr>
          <w:p w14:paraId="2A48D25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0.95</w:t>
            </w:r>
          </w:p>
        </w:tc>
        <w:tc>
          <w:tcPr>
            <w:tcW w:w="534" w:type="pct"/>
            <w:vAlign w:val="center"/>
          </w:tcPr>
          <w:p w14:paraId="46B9C884">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w:t>
            </w:r>
          </w:p>
        </w:tc>
      </w:tr>
      <w:tr w14:paraId="2A5C9C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87" w:type="pct"/>
            <w:vMerge w:val="continue"/>
            <w:vAlign w:val="center"/>
          </w:tcPr>
          <w:p w14:paraId="7F60E72C">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705" w:type="pct"/>
            <w:vAlign w:val="center"/>
          </w:tcPr>
          <w:p w14:paraId="43918F40">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NMHC</w:t>
            </w:r>
          </w:p>
        </w:tc>
        <w:tc>
          <w:tcPr>
            <w:tcW w:w="766" w:type="pct"/>
            <w:vAlign w:val="center"/>
          </w:tcPr>
          <w:p w14:paraId="4231654A">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2000</w:t>
            </w:r>
          </w:p>
        </w:tc>
        <w:tc>
          <w:tcPr>
            <w:tcW w:w="766" w:type="pct"/>
            <w:vAlign w:val="center"/>
          </w:tcPr>
          <w:p w14:paraId="7C0795F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42.2610</w:t>
            </w:r>
          </w:p>
        </w:tc>
        <w:tc>
          <w:tcPr>
            <w:tcW w:w="542" w:type="pct"/>
            <w:vAlign w:val="center"/>
          </w:tcPr>
          <w:p w14:paraId="4A10BC2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2.11</w:t>
            </w:r>
          </w:p>
        </w:tc>
        <w:tc>
          <w:tcPr>
            <w:tcW w:w="534" w:type="pct"/>
            <w:vAlign w:val="center"/>
          </w:tcPr>
          <w:p w14:paraId="7F102B5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r>
      <w:tr w14:paraId="2DA16E0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87" w:type="pct"/>
            <w:vMerge w:val="restart"/>
            <w:vAlign w:val="center"/>
          </w:tcPr>
          <w:p w14:paraId="6856D624">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污水处理站</w:t>
            </w:r>
          </w:p>
        </w:tc>
        <w:tc>
          <w:tcPr>
            <w:tcW w:w="705" w:type="pct"/>
            <w:vAlign w:val="center"/>
          </w:tcPr>
          <w:p w14:paraId="66620BC0">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NH</w:t>
            </w:r>
            <w:r>
              <w:rPr>
                <w:color w:val="0D0D0D" w:themeColor="text1" w:themeTint="F2"/>
                <w:sz w:val="21"/>
                <w:szCs w:val="21"/>
                <w:vertAlign w:val="subscript"/>
                <w14:textFill>
                  <w14:solidFill>
                    <w14:schemeClr w14:val="tx1">
                      <w14:lumMod w14:val="95000"/>
                      <w14:lumOff w14:val="5000"/>
                    </w14:schemeClr>
                  </w14:solidFill>
                </w14:textFill>
              </w:rPr>
              <w:t>3</w:t>
            </w:r>
          </w:p>
        </w:tc>
        <w:tc>
          <w:tcPr>
            <w:tcW w:w="766" w:type="pct"/>
            <w:vAlign w:val="center"/>
          </w:tcPr>
          <w:p w14:paraId="5A69BB6F">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200</w:t>
            </w:r>
          </w:p>
        </w:tc>
        <w:tc>
          <w:tcPr>
            <w:tcW w:w="766" w:type="pct"/>
            <w:vAlign w:val="center"/>
          </w:tcPr>
          <w:p w14:paraId="254886B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13.2960</w:t>
            </w:r>
          </w:p>
        </w:tc>
        <w:tc>
          <w:tcPr>
            <w:tcW w:w="542" w:type="pct"/>
            <w:vAlign w:val="center"/>
          </w:tcPr>
          <w:p w14:paraId="6A65CC5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6.65</w:t>
            </w:r>
          </w:p>
        </w:tc>
        <w:tc>
          <w:tcPr>
            <w:tcW w:w="534" w:type="pct"/>
            <w:vAlign w:val="center"/>
          </w:tcPr>
          <w:p w14:paraId="5E5CEA9D">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w:t>
            </w:r>
          </w:p>
        </w:tc>
      </w:tr>
      <w:tr w14:paraId="6C333C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87" w:type="pct"/>
            <w:vMerge w:val="continue"/>
            <w:vAlign w:val="center"/>
          </w:tcPr>
          <w:p w14:paraId="5393AAAF">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705" w:type="pct"/>
            <w:vAlign w:val="center"/>
          </w:tcPr>
          <w:p w14:paraId="6307EEE3">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H</w:t>
            </w:r>
            <w:r>
              <w:rPr>
                <w:color w:val="0D0D0D" w:themeColor="text1" w:themeTint="F2"/>
                <w:sz w:val="21"/>
                <w:szCs w:val="21"/>
                <w:vertAlign w:val="subscript"/>
                <w14:textFill>
                  <w14:solidFill>
                    <w14:schemeClr w14:val="tx1">
                      <w14:lumMod w14:val="95000"/>
                      <w14:lumOff w14:val="5000"/>
                    </w14:schemeClr>
                  </w14:solidFill>
                </w14:textFill>
              </w:rPr>
              <w:t>2</w:t>
            </w:r>
            <w:r>
              <w:rPr>
                <w:color w:val="0D0D0D" w:themeColor="text1" w:themeTint="F2"/>
                <w:sz w:val="21"/>
                <w:szCs w:val="21"/>
                <w14:textFill>
                  <w14:solidFill>
                    <w14:schemeClr w14:val="tx1">
                      <w14:lumMod w14:val="95000"/>
                      <w14:lumOff w14:val="5000"/>
                    </w14:schemeClr>
                  </w14:solidFill>
                </w14:textFill>
              </w:rPr>
              <w:t>S</w:t>
            </w:r>
          </w:p>
        </w:tc>
        <w:tc>
          <w:tcPr>
            <w:tcW w:w="766" w:type="pct"/>
            <w:vAlign w:val="center"/>
          </w:tcPr>
          <w:p w14:paraId="42646936">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10</w:t>
            </w:r>
          </w:p>
        </w:tc>
        <w:tc>
          <w:tcPr>
            <w:tcW w:w="766" w:type="pct"/>
            <w:vAlign w:val="center"/>
          </w:tcPr>
          <w:p w14:paraId="212501E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0.3022</w:t>
            </w:r>
          </w:p>
        </w:tc>
        <w:tc>
          <w:tcPr>
            <w:tcW w:w="542" w:type="pct"/>
            <w:vAlign w:val="center"/>
          </w:tcPr>
          <w:p w14:paraId="23C7BB9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3.02</w:t>
            </w:r>
          </w:p>
        </w:tc>
        <w:tc>
          <w:tcPr>
            <w:tcW w:w="534" w:type="pct"/>
            <w:vAlign w:val="center"/>
          </w:tcPr>
          <w:p w14:paraId="407539B2">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w:t>
            </w:r>
          </w:p>
        </w:tc>
      </w:tr>
      <w:tr w14:paraId="4046D8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87" w:type="pct"/>
            <w:vMerge w:val="continue"/>
            <w:vAlign w:val="center"/>
          </w:tcPr>
          <w:p w14:paraId="1A277C00">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705" w:type="pct"/>
            <w:vAlign w:val="center"/>
          </w:tcPr>
          <w:p w14:paraId="77CCC923">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NMHC</w:t>
            </w:r>
          </w:p>
        </w:tc>
        <w:tc>
          <w:tcPr>
            <w:tcW w:w="766" w:type="pct"/>
            <w:vAlign w:val="center"/>
          </w:tcPr>
          <w:p w14:paraId="064D4C50">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2000</w:t>
            </w:r>
          </w:p>
        </w:tc>
        <w:tc>
          <w:tcPr>
            <w:tcW w:w="766" w:type="pct"/>
            <w:vAlign w:val="center"/>
          </w:tcPr>
          <w:p w14:paraId="5E7551A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4.2305</w:t>
            </w:r>
          </w:p>
        </w:tc>
        <w:tc>
          <w:tcPr>
            <w:tcW w:w="542" w:type="pct"/>
            <w:vAlign w:val="center"/>
          </w:tcPr>
          <w:p w14:paraId="55C9930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0.21</w:t>
            </w:r>
          </w:p>
        </w:tc>
        <w:tc>
          <w:tcPr>
            <w:tcW w:w="534" w:type="pct"/>
            <w:vAlign w:val="center"/>
          </w:tcPr>
          <w:p w14:paraId="3119A7C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r>
      <w:tr w14:paraId="177CD6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87" w:type="pct"/>
            <w:vAlign w:val="center"/>
          </w:tcPr>
          <w:p w14:paraId="29CB029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甲醇罐区</w:t>
            </w:r>
          </w:p>
        </w:tc>
        <w:tc>
          <w:tcPr>
            <w:tcW w:w="705" w:type="pct"/>
            <w:vAlign w:val="center"/>
          </w:tcPr>
          <w:p w14:paraId="6C2E7A45">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甲醇</w:t>
            </w:r>
          </w:p>
        </w:tc>
        <w:tc>
          <w:tcPr>
            <w:tcW w:w="766" w:type="pct"/>
            <w:vAlign w:val="center"/>
          </w:tcPr>
          <w:p w14:paraId="4E15A419">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3000</w:t>
            </w:r>
          </w:p>
        </w:tc>
        <w:tc>
          <w:tcPr>
            <w:tcW w:w="766" w:type="pct"/>
            <w:vAlign w:val="center"/>
          </w:tcPr>
          <w:p w14:paraId="2F4536D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13.9920</w:t>
            </w:r>
          </w:p>
        </w:tc>
        <w:tc>
          <w:tcPr>
            <w:tcW w:w="542" w:type="pct"/>
            <w:vAlign w:val="center"/>
          </w:tcPr>
          <w:p w14:paraId="0D549A5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0.47</w:t>
            </w:r>
          </w:p>
        </w:tc>
        <w:tc>
          <w:tcPr>
            <w:tcW w:w="534" w:type="pct"/>
            <w:vAlign w:val="center"/>
          </w:tcPr>
          <w:p w14:paraId="01B1A7B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r>
      <w:tr w14:paraId="7CDDCC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87" w:type="pct"/>
            <w:vAlign w:val="center"/>
          </w:tcPr>
          <w:p w14:paraId="3316D90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中转罐区</w:t>
            </w:r>
          </w:p>
        </w:tc>
        <w:tc>
          <w:tcPr>
            <w:tcW w:w="705" w:type="pct"/>
            <w:vAlign w:val="center"/>
          </w:tcPr>
          <w:p w14:paraId="0E8FD069">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NMHC</w:t>
            </w:r>
          </w:p>
        </w:tc>
        <w:tc>
          <w:tcPr>
            <w:tcW w:w="766" w:type="pct"/>
            <w:vAlign w:val="center"/>
          </w:tcPr>
          <w:p w14:paraId="3E3B05D7">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2000</w:t>
            </w:r>
          </w:p>
        </w:tc>
        <w:tc>
          <w:tcPr>
            <w:tcW w:w="766" w:type="pct"/>
            <w:vAlign w:val="center"/>
          </w:tcPr>
          <w:p w14:paraId="795BDDB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8.3810</w:t>
            </w:r>
          </w:p>
        </w:tc>
        <w:tc>
          <w:tcPr>
            <w:tcW w:w="542" w:type="pct"/>
            <w:vAlign w:val="center"/>
          </w:tcPr>
          <w:p w14:paraId="5454F8A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0.42</w:t>
            </w:r>
          </w:p>
        </w:tc>
        <w:tc>
          <w:tcPr>
            <w:tcW w:w="534" w:type="pct"/>
            <w:vAlign w:val="center"/>
          </w:tcPr>
          <w:p w14:paraId="5AD3728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r>
      <w:tr w14:paraId="6E7EEE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87" w:type="pct"/>
            <w:vAlign w:val="center"/>
          </w:tcPr>
          <w:p w14:paraId="1C1AE2A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生物柴油和废弃油脂罐区</w:t>
            </w:r>
          </w:p>
        </w:tc>
        <w:tc>
          <w:tcPr>
            <w:tcW w:w="705" w:type="pct"/>
            <w:vAlign w:val="center"/>
          </w:tcPr>
          <w:p w14:paraId="4E75561D">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NMHC</w:t>
            </w:r>
          </w:p>
        </w:tc>
        <w:tc>
          <w:tcPr>
            <w:tcW w:w="766" w:type="pct"/>
            <w:vAlign w:val="center"/>
          </w:tcPr>
          <w:p w14:paraId="06757AA5">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2000</w:t>
            </w:r>
          </w:p>
        </w:tc>
        <w:tc>
          <w:tcPr>
            <w:tcW w:w="766" w:type="pct"/>
            <w:vAlign w:val="center"/>
          </w:tcPr>
          <w:p w14:paraId="63EEB2D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11.2690</w:t>
            </w:r>
          </w:p>
        </w:tc>
        <w:tc>
          <w:tcPr>
            <w:tcW w:w="542" w:type="pct"/>
            <w:vAlign w:val="center"/>
          </w:tcPr>
          <w:p w14:paraId="574F534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0.56</w:t>
            </w:r>
          </w:p>
        </w:tc>
        <w:tc>
          <w:tcPr>
            <w:tcW w:w="534" w:type="pct"/>
            <w:vAlign w:val="center"/>
          </w:tcPr>
          <w:p w14:paraId="193A594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r>
    </w:tbl>
    <w:p w14:paraId="75B27E29">
      <w:pPr>
        <w:ind w:firstLine="480" w:firstLineChars="200"/>
        <w:rPr>
          <w:rFonts w:cs="Times New Roman"/>
          <w:color w:val="0D0D0D" w:themeColor="text1" w:themeTint="F2"/>
          <w:szCs w:val="24"/>
          <w:u w:val="single"/>
          <w14:textFill>
            <w14:solidFill>
              <w14:schemeClr w14:val="tx1">
                <w14:lumMod w14:val="95000"/>
                <w14:lumOff w14:val="5000"/>
              </w14:schemeClr>
            </w14:solidFill>
          </w14:textFill>
        </w:rPr>
      </w:pPr>
      <w:r>
        <w:rPr>
          <w:rFonts w:hint="eastAsia" w:cs="Times New Roman"/>
          <w:color w:val="0D0D0D" w:themeColor="text1" w:themeTint="F2"/>
          <w:szCs w:val="24"/>
          <w:u w:val="single"/>
          <w14:textFill>
            <w14:solidFill>
              <w14:schemeClr w14:val="tx1">
                <w14:lumMod w14:val="95000"/>
                <w14:lumOff w14:val="5000"/>
              </w14:schemeClr>
            </w14:solidFill>
          </w14:textFill>
        </w:rPr>
        <w:t>由上表可知</w:t>
      </w:r>
      <w:r>
        <w:rPr>
          <w:rFonts w:cs="Times New Roman"/>
          <w:color w:val="0D0D0D" w:themeColor="text1" w:themeTint="F2"/>
          <w:szCs w:val="24"/>
          <w:u w:val="single"/>
          <w14:textFill>
            <w14:solidFill>
              <w14:schemeClr w14:val="tx1">
                <w14:lumMod w14:val="95000"/>
                <w14:lumOff w14:val="5000"/>
              </w14:schemeClr>
            </w14:solidFill>
          </w14:textFill>
        </w:rPr>
        <w:t>，</w:t>
      </w:r>
      <w:bookmarkEnd w:id="48"/>
      <w:r>
        <w:rPr>
          <w:rFonts w:hint="eastAsia"/>
          <w:color w:val="0D0D0D" w:themeColor="text1" w:themeTint="F2"/>
          <w:u w:val="single"/>
          <w14:textFill>
            <w14:solidFill>
              <w14:schemeClr w14:val="tx1">
                <w14:lumMod w14:val="95000"/>
                <w14:lumOff w14:val="5000"/>
              </w14:schemeClr>
            </w14:solidFill>
          </w14:textFill>
        </w:rPr>
        <w:t>项目Pmax最大值出现为DA002排放的</w:t>
      </w:r>
      <w:r>
        <w:rPr>
          <w:rFonts w:hint="eastAsia"/>
          <w:color w:val="0D0D0D" w:themeColor="text1" w:themeTint="F2"/>
          <w:szCs w:val="24"/>
          <w:u w:val="single"/>
          <w14:textFill>
            <w14:solidFill>
              <w14:schemeClr w14:val="tx1">
                <w14:lumMod w14:val="95000"/>
                <w14:lumOff w14:val="5000"/>
              </w14:schemeClr>
            </w14:solidFill>
          </w14:textFill>
        </w:rPr>
        <w:t>NOx</w:t>
      </w:r>
      <w:r>
        <w:rPr>
          <w:rFonts w:hint="eastAsia"/>
          <w:color w:val="0D0D0D" w:themeColor="text1" w:themeTint="F2"/>
          <w:u w:val="single"/>
          <w14:textFill>
            <w14:solidFill>
              <w14:schemeClr w14:val="tx1">
                <w14:lumMod w14:val="95000"/>
                <w14:lumOff w14:val="5000"/>
              </w14:schemeClr>
            </w14:solidFill>
          </w14:textFill>
        </w:rPr>
        <w:t>，Pmax值为8.04%，Cmax为20.0959μg/m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w:t>
      </w:r>
      <w:r>
        <w:rPr>
          <w:rFonts w:hint="eastAsia" w:cs="Times New Roman"/>
          <w:color w:val="0D0D0D" w:themeColor="text1" w:themeTint="F2"/>
          <w:szCs w:val="24"/>
          <w:u w:val="single"/>
          <w14:textFill>
            <w14:solidFill>
              <w14:schemeClr w14:val="tx1">
                <w14:lumMod w14:val="95000"/>
                <w14:lumOff w14:val="5000"/>
              </w14:schemeClr>
            </w14:solidFill>
          </w14:textFill>
        </w:rPr>
        <w:t>因此，</w:t>
      </w:r>
      <w:r>
        <w:rPr>
          <w:rFonts w:cs="Times New Roman"/>
          <w:color w:val="0D0D0D" w:themeColor="text1" w:themeTint="F2"/>
          <w:szCs w:val="24"/>
          <w:u w:val="single"/>
          <w14:textFill>
            <w14:solidFill>
              <w14:schemeClr w14:val="tx1">
                <w14:lumMod w14:val="95000"/>
                <w14:lumOff w14:val="5000"/>
              </w14:schemeClr>
            </w14:solidFill>
          </w14:textFill>
        </w:rPr>
        <w:t>大气</w:t>
      </w:r>
      <w:bookmarkStart w:id="49" w:name="_Hlk192344617"/>
      <w:r>
        <w:rPr>
          <w:rFonts w:cs="Times New Roman"/>
          <w:color w:val="0D0D0D" w:themeColor="text1" w:themeTint="F2"/>
          <w:szCs w:val="24"/>
          <w:u w:val="single"/>
          <w14:textFill>
            <w14:solidFill>
              <w14:schemeClr w14:val="tx1">
                <w14:lumMod w14:val="95000"/>
                <w14:lumOff w14:val="5000"/>
              </w14:schemeClr>
            </w14:solidFill>
          </w14:textFill>
        </w:rPr>
        <w:t>环境影响评价工作等级</w:t>
      </w:r>
      <w:bookmarkEnd w:id="49"/>
      <w:r>
        <w:rPr>
          <w:rFonts w:cs="Times New Roman"/>
          <w:color w:val="0D0D0D" w:themeColor="text1" w:themeTint="F2"/>
          <w:szCs w:val="24"/>
          <w:u w:val="single"/>
          <w14:textFill>
            <w14:solidFill>
              <w14:schemeClr w14:val="tx1">
                <w14:lumMod w14:val="95000"/>
                <w14:lumOff w14:val="5000"/>
              </w14:schemeClr>
            </w14:solidFill>
          </w14:textFill>
        </w:rPr>
        <w:t>为</w:t>
      </w:r>
      <w:r>
        <w:rPr>
          <w:rFonts w:hint="eastAsia" w:cs="Times New Roman"/>
          <w:color w:val="0D0D0D" w:themeColor="text1" w:themeTint="F2"/>
          <w:szCs w:val="24"/>
          <w:u w:val="single"/>
          <w14:textFill>
            <w14:solidFill>
              <w14:schemeClr w14:val="tx1">
                <w14:lumMod w14:val="95000"/>
                <w14:lumOff w14:val="5000"/>
              </w14:schemeClr>
            </w14:solidFill>
          </w14:textFill>
        </w:rPr>
        <w:t>二级。</w:t>
      </w:r>
    </w:p>
    <w:p w14:paraId="50B498A6">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根据《环境影响评价技术导则  大气环境》（HJ2.2-2018），对电力、钢铁、水泥、石化、化工、平板玻璃、有色等高耗能行业的多源项目或以使用高污染燃料为主的多源项目，并且编制环境影响报告书的项目评价等级提高一级。本项目属于石化行业，但不属于“两高”项目，因此，本次评价</w:t>
      </w:r>
      <w:r>
        <w:rPr>
          <w:rFonts w:cs="Times New Roman"/>
          <w:color w:val="0D0D0D" w:themeColor="text1" w:themeTint="F2"/>
          <w:szCs w:val="24"/>
          <w:u w:val="single"/>
          <w14:textFill>
            <w14:solidFill>
              <w14:schemeClr w14:val="tx1">
                <w14:lumMod w14:val="95000"/>
                <w14:lumOff w14:val="5000"/>
              </w14:schemeClr>
            </w14:solidFill>
          </w14:textFill>
        </w:rPr>
        <w:t>大气环境影响评价工作等级</w:t>
      </w:r>
      <w:r>
        <w:rPr>
          <w:rFonts w:hint="eastAsia"/>
          <w:color w:val="0D0D0D" w:themeColor="text1" w:themeTint="F2"/>
          <w:u w:val="single"/>
          <w14:textFill>
            <w14:solidFill>
              <w14:schemeClr w14:val="tx1">
                <w14:lumMod w14:val="95000"/>
                <w14:lumOff w14:val="5000"/>
              </w14:schemeClr>
            </w14:solidFill>
          </w14:textFill>
        </w:rPr>
        <w:t>不用提高一级，为二级评价。</w:t>
      </w:r>
    </w:p>
    <w:p w14:paraId="4D2BB93A">
      <w:pPr>
        <w:pStyle w:val="10"/>
      </w:pPr>
      <w:r>
        <w:rPr>
          <w:rFonts w:hint="eastAsia"/>
        </w:rPr>
        <w:t>评价范围</w:t>
      </w:r>
    </w:p>
    <w:p w14:paraId="0D172069">
      <w:pPr>
        <w:ind w:firstLine="480" w:firstLineChars="200"/>
        <w:rPr>
          <w:color w:val="0D0D0D" w:themeColor="text1" w:themeTint="F2"/>
          <w14:textFill>
            <w14:solidFill>
              <w14:schemeClr w14:val="tx1">
                <w14:lumMod w14:val="95000"/>
                <w14:lumOff w14:val="5000"/>
              </w14:schemeClr>
            </w14:solidFill>
          </w14:textFill>
        </w:rPr>
      </w:pPr>
      <w:bookmarkStart w:id="50" w:name="_Hlk166950253"/>
      <w:r>
        <w:rPr>
          <w:rFonts w:cs="Times New Roman"/>
          <w:color w:val="0D0D0D" w:themeColor="text1" w:themeTint="F2"/>
          <w14:textFill>
            <w14:solidFill>
              <w14:schemeClr w14:val="tx1">
                <w14:lumMod w14:val="95000"/>
                <w14:lumOff w14:val="5000"/>
              </w14:schemeClr>
            </w14:solidFill>
          </w14:textFill>
        </w:rPr>
        <w:t>以项目厂址为中心，边长为5km</w:t>
      </w:r>
      <w:r>
        <w:rPr>
          <w:rFonts w:hint="eastAsia" w:cs="Times New Roman"/>
          <w:color w:val="0D0D0D" w:themeColor="text1" w:themeTint="F2"/>
          <w14:textFill>
            <w14:solidFill>
              <w14:schemeClr w14:val="tx1">
                <w14:lumMod w14:val="95000"/>
                <w14:lumOff w14:val="5000"/>
              </w14:schemeClr>
            </w14:solidFill>
          </w14:textFill>
        </w:rPr>
        <w:t>的</w:t>
      </w:r>
      <w:r>
        <w:rPr>
          <w:rFonts w:cs="Times New Roman"/>
          <w:color w:val="0D0D0D" w:themeColor="text1" w:themeTint="F2"/>
          <w14:textFill>
            <w14:solidFill>
              <w14:schemeClr w14:val="tx1">
                <w14:lumMod w14:val="95000"/>
                <w14:lumOff w14:val="5000"/>
              </w14:schemeClr>
            </w14:solidFill>
          </w14:textFill>
        </w:rPr>
        <w:t>矩形区域</w:t>
      </w:r>
      <w:bookmarkEnd w:id="50"/>
      <w:r>
        <w:rPr>
          <w:rFonts w:cs="Times New Roman"/>
          <w:color w:val="0D0D0D" w:themeColor="text1" w:themeTint="F2"/>
          <w:szCs w:val="24"/>
          <w14:textFill>
            <w14:solidFill>
              <w14:schemeClr w14:val="tx1">
                <w14:lumMod w14:val="95000"/>
                <w14:lumOff w14:val="5000"/>
              </w14:schemeClr>
            </w14:solidFill>
          </w14:textFill>
        </w:rPr>
        <w:t>。</w:t>
      </w:r>
    </w:p>
    <w:p w14:paraId="452B0739">
      <w:pPr>
        <w:pStyle w:val="9"/>
      </w:pPr>
      <w:bookmarkStart w:id="51" w:name="_Toc204062546"/>
      <w:r>
        <w:rPr>
          <w:rFonts w:hint="eastAsia"/>
        </w:rPr>
        <w:t>地表水环境评价工作等级和评价范围</w:t>
      </w:r>
      <w:bookmarkEnd w:id="51"/>
    </w:p>
    <w:p w14:paraId="7F7E19BB">
      <w:pPr>
        <w:pStyle w:val="10"/>
      </w:pPr>
      <w:r>
        <w:rPr>
          <w:rFonts w:hint="eastAsia"/>
        </w:rPr>
        <w:t>评价等级</w:t>
      </w:r>
    </w:p>
    <w:p w14:paraId="6BAEC8ED">
      <w:pPr>
        <w:autoSpaceDE w:val="0"/>
        <w:autoSpaceDN w:val="0"/>
        <w:adjustRightInd w:val="0"/>
        <w:ind w:firstLine="48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根据《环境影响评价技术导则  地表水环境》（HJ2.3-2018），建设项目地表水环境影响评价等级按照影响类型、排放方式、排放量或影响情况、受纳水体环境质量现状、水环境保护目标等综合确定。项目属于水污染影响型建设项目，主要根据废水排放方式和排放量划分评价等级，评价等级判定方法详见表2.5-6。</w:t>
      </w:r>
    </w:p>
    <w:p w14:paraId="23AE19CA">
      <w:pPr>
        <w:pStyle w:val="11"/>
        <w:numPr>
          <w:ilvl w:val="4"/>
          <w:numId w:val="17"/>
        </w:numPr>
      </w:pPr>
      <w:r>
        <w:rPr>
          <w:rFonts w:hint="eastAsia"/>
        </w:rPr>
        <w:t xml:space="preserve"> 水污染影响型建设项目评价等级判定表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2"/>
        <w:gridCol w:w="1983"/>
        <w:gridCol w:w="5727"/>
      </w:tblGrid>
      <w:tr w14:paraId="5A8A0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vMerge w:val="restart"/>
            <w:vAlign w:val="center"/>
          </w:tcPr>
          <w:p w14:paraId="74390198">
            <w:pPr>
              <w:spacing w:line="240" w:lineRule="auto"/>
              <w:jc w:val="center"/>
              <w:rPr>
                <w:color w:val="0D0D0D" w:themeColor="text1" w:themeTint="F2"/>
                <w:sz w:val="21"/>
                <w14:textFill>
                  <w14:solidFill>
                    <w14:schemeClr w14:val="tx1">
                      <w14:lumMod w14:val="95000"/>
                      <w14:lumOff w14:val="5000"/>
                    </w14:schemeClr>
                  </w14:solidFill>
                </w14:textFill>
              </w:rPr>
            </w:pPr>
            <w:r>
              <w:rPr>
                <w:color w:val="0D0D0D" w:themeColor="text1" w:themeTint="F2"/>
                <w:sz w:val="21"/>
                <w14:textFill>
                  <w14:solidFill>
                    <w14:schemeClr w14:val="tx1">
                      <w14:lumMod w14:val="95000"/>
                      <w14:lumOff w14:val="5000"/>
                    </w14:schemeClr>
                  </w14:solidFill>
                </w14:textFill>
              </w:rPr>
              <w:t>评价等级</w:t>
            </w:r>
          </w:p>
        </w:tc>
        <w:tc>
          <w:tcPr>
            <w:tcW w:w="4171" w:type="pct"/>
            <w:gridSpan w:val="2"/>
            <w:vAlign w:val="center"/>
          </w:tcPr>
          <w:p w14:paraId="49FF19B5">
            <w:pPr>
              <w:spacing w:line="240" w:lineRule="auto"/>
              <w:jc w:val="center"/>
              <w:rPr>
                <w:color w:val="0D0D0D" w:themeColor="text1" w:themeTint="F2"/>
                <w:sz w:val="21"/>
                <w14:textFill>
                  <w14:solidFill>
                    <w14:schemeClr w14:val="tx1">
                      <w14:lumMod w14:val="95000"/>
                      <w14:lumOff w14:val="5000"/>
                    </w14:schemeClr>
                  </w14:solidFill>
                </w14:textFill>
              </w:rPr>
            </w:pPr>
            <w:r>
              <w:rPr>
                <w:color w:val="0D0D0D" w:themeColor="text1" w:themeTint="F2"/>
                <w:sz w:val="21"/>
                <w14:textFill>
                  <w14:solidFill>
                    <w14:schemeClr w14:val="tx1">
                      <w14:lumMod w14:val="95000"/>
                      <w14:lumOff w14:val="5000"/>
                    </w14:schemeClr>
                  </w14:solidFill>
                </w14:textFill>
              </w:rPr>
              <w:t>判定依据</w:t>
            </w:r>
          </w:p>
        </w:tc>
      </w:tr>
      <w:tr w14:paraId="799B7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vMerge w:val="continue"/>
            <w:tcBorders>
              <w:bottom w:val="single" w:color="auto" w:sz="4" w:space="0"/>
            </w:tcBorders>
            <w:vAlign w:val="center"/>
          </w:tcPr>
          <w:p w14:paraId="7C4ABB4D">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1073" w:type="pct"/>
            <w:tcBorders>
              <w:bottom w:val="single" w:color="auto" w:sz="4" w:space="0"/>
            </w:tcBorders>
            <w:vAlign w:val="center"/>
          </w:tcPr>
          <w:p w14:paraId="5A0084B6">
            <w:pPr>
              <w:spacing w:line="240" w:lineRule="auto"/>
              <w:jc w:val="center"/>
              <w:rPr>
                <w:color w:val="0D0D0D" w:themeColor="text1" w:themeTint="F2"/>
                <w:sz w:val="21"/>
                <w14:textFill>
                  <w14:solidFill>
                    <w14:schemeClr w14:val="tx1">
                      <w14:lumMod w14:val="95000"/>
                      <w14:lumOff w14:val="5000"/>
                    </w14:schemeClr>
                  </w14:solidFill>
                </w14:textFill>
              </w:rPr>
            </w:pPr>
            <w:r>
              <w:rPr>
                <w:color w:val="0D0D0D" w:themeColor="text1" w:themeTint="F2"/>
                <w:sz w:val="21"/>
                <w14:textFill>
                  <w14:solidFill>
                    <w14:schemeClr w14:val="tx1">
                      <w14:lumMod w14:val="95000"/>
                      <w14:lumOff w14:val="5000"/>
                    </w14:schemeClr>
                  </w14:solidFill>
                </w14:textFill>
              </w:rPr>
              <w:t>排放方式</w:t>
            </w:r>
          </w:p>
        </w:tc>
        <w:tc>
          <w:tcPr>
            <w:tcW w:w="3098" w:type="pct"/>
            <w:tcBorders>
              <w:bottom w:val="single" w:color="auto" w:sz="4" w:space="0"/>
            </w:tcBorders>
            <w:vAlign w:val="center"/>
          </w:tcPr>
          <w:p w14:paraId="60F0312D">
            <w:pPr>
              <w:spacing w:line="240" w:lineRule="auto"/>
              <w:jc w:val="center"/>
              <w:rPr>
                <w:color w:val="0D0D0D" w:themeColor="text1" w:themeTint="F2"/>
                <w:sz w:val="21"/>
                <w14:textFill>
                  <w14:solidFill>
                    <w14:schemeClr w14:val="tx1">
                      <w14:lumMod w14:val="95000"/>
                      <w14:lumOff w14:val="5000"/>
                    </w14:schemeClr>
                  </w14:solidFill>
                </w14:textFill>
              </w:rPr>
            </w:pPr>
            <w:r>
              <w:rPr>
                <w:color w:val="0D0D0D" w:themeColor="text1" w:themeTint="F2"/>
                <w:sz w:val="21"/>
                <w14:textFill>
                  <w14:solidFill>
                    <w14:schemeClr w14:val="tx1">
                      <w14:lumMod w14:val="95000"/>
                      <w14:lumOff w14:val="5000"/>
                    </w14:schemeClr>
                  </w14:solidFill>
                </w14:textFill>
              </w:rPr>
              <w:t>废水排放量Q/（m</w:t>
            </w:r>
            <w:r>
              <w:rPr>
                <w:color w:val="0D0D0D" w:themeColor="text1" w:themeTint="F2"/>
                <w:sz w:val="21"/>
                <w:vertAlign w:val="superscript"/>
                <w14:textFill>
                  <w14:solidFill>
                    <w14:schemeClr w14:val="tx1">
                      <w14:lumMod w14:val="95000"/>
                      <w14:lumOff w14:val="5000"/>
                    </w14:schemeClr>
                  </w14:solidFill>
                </w14:textFill>
              </w:rPr>
              <w:t>3</w:t>
            </w:r>
            <w:r>
              <w:rPr>
                <w:color w:val="0D0D0D" w:themeColor="text1" w:themeTint="F2"/>
                <w:sz w:val="21"/>
                <w14:textFill>
                  <w14:solidFill>
                    <w14:schemeClr w14:val="tx1">
                      <w14:lumMod w14:val="95000"/>
                      <w14:lumOff w14:val="5000"/>
                    </w14:schemeClr>
                  </w14:solidFill>
                </w14:textFill>
              </w:rPr>
              <w:t>/d）；水污染物当量数W/（无量纲）</w:t>
            </w:r>
          </w:p>
        </w:tc>
      </w:tr>
      <w:tr w14:paraId="69DCB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shd w:val="clear" w:color="auto" w:fill="FFFFFF" w:themeFill="background1"/>
            <w:vAlign w:val="center"/>
          </w:tcPr>
          <w:p w14:paraId="5D206A98">
            <w:pPr>
              <w:spacing w:line="240" w:lineRule="auto"/>
              <w:jc w:val="center"/>
              <w:rPr>
                <w:color w:val="0D0D0D" w:themeColor="text1" w:themeTint="F2"/>
                <w:sz w:val="21"/>
                <w14:textFill>
                  <w14:solidFill>
                    <w14:schemeClr w14:val="tx1">
                      <w14:lumMod w14:val="95000"/>
                      <w14:lumOff w14:val="5000"/>
                    </w14:schemeClr>
                  </w14:solidFill>
                </w14:textFill>
              </w:rPr>
            </w:pPr>
            <w:r>
              <w:rPr>
                <w:color w:val="0D0D0D" w:themeColor="text1" w:themeTint="F2"/>
                <w:sz w:val="21"/>
                <w14:textFill>
                  <w14:solidFill>
                    <w14:schemeClr w14:val="tx1">
                      <w14:lumMod w14:val="95000"/>
                      <w14:lumOff w14:val="5000"/>
                    </w14:schemeClr>
                  </w14:solidFill>
                </w14:textFill>
              </w:rPr>
              <w:t>一级</w:t>
            </w:r>
          </w:p>
        </w:tc>
        <w:tc>
          <w:tcPr>
            <w:tcW w:w="1073" w:type="pct"/>
            <w:shd w:val="clear" w:color="auto" w:fill="FFFFFF" w:themeFill="background1"/>
            <w:vAlign w:val="center"/>
          </w:tcPr>
          <w:p w14:paraId="3FA6368A">
            <w:pPr>
              <w:spacing w:line="240" w:lineRule="auto"/>
              <w:jc w:val="center"/>
              <w:rPr>
                <w:color w:val="0D0D0D" w:themeColor="text1" w:themeTint="F2"/>
                <w:sz w:val="21"/>
                <w14:textFill>
                  <w14:solidFill>
                    <w14:schemeClr w14:val="tx1">
                      <w14:lumMod w14:val="95000"/>
                      <w14:lumOff w14:val="5000"/>
                    </w14:schemeClr>
                  </w14:solidFill>
                </w14:textFill>
              </w:rPr>
            </w:pPr>
            <w:r>
              <w:rPr>
                <w:color w:val="0D0D0D" w:themeColor="text1" w:themeTint="F2"/>
                <w:sz w:val="21"/>
                <w14:textFill>
                  <w14:solidFill>
                    <w14:schemeClr w14:val="tx1">
                      <w14:lumMod w14:val="95000"/>
                      <w14:lumOff w14:val="5000"/>
                    </w14:schemeClr>
                  </w14:solidFill>
                </w14:textFill>
              </w:rPr>
              <w:t>直接排放</w:t>
            </w:r>
          </w:p>
        </w:tc>
        <w:tc>
          <w:tcPr>
            <w:tcW w:w="3098" w:type="pct"/>
            <w:shd w:val="clear" w:color="auto" w:fill="FFFFFF" w:themeFill="background1"/>
            <w:vAlign w:val="center"/>
          </w:tcPr>
          <w:p w14:paraId="6687267F">
            <w:pPr>
              <w:spacing w:line="240" w:lineRule="auto"/>
              <w:jc w:val="center"/>
              <w:rPr>
                <w:color w:val="0D0D0D" w:themeColor="text1" w:themeTint="F2"/>
                <w:sz w:val="21"/>
                <w14:textFill>
                  <w14:solidFill>
                    <w14:schemeClr w14:val="tx1">
                      <w14:lumMod w14:val="95000"/>
                      <w14:lumOff w14:val="5000"/>
                    </w14:schemeClr>
                  </w14:solidFill>
                </w14:textFill>
              </w:rPr>
            </w:pPr>
            <w:r>
              <w:rPr>
                <w:color w:val="0D0D0D" w:themeColor="text1" w:themeTint="F2"/>
                <w:sz w:val="21"/>
                <w14:textFill>
                  <w14:solidFill>
                    <w14:schemeClr w14:val="tx1">
                      <w14:lumMod w14:val="95000"/>
                      <w14:lumOff w14:val="5000"/>
                    </w14:schemeClr>
                  </w14:solidFill>
                </w14:textFill>
              </w:rPr>
              <w:t>Q≥20000或W≥600000</w:t>
            </w:r>
          </w:p>
        </w:tc>
      </w:tr>
      <w:tr w14:paraId="0B66C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vAlign w:val="center"/>
          </w:tcPr>
          <w:p w14:paraId="52AE179D">
            <w:pPr>
              <w:spacing w:line="240" w:lineRule="auto"/>
              <w:jc w:val="center"/>
              <w:rPr>
                <w:color w:val="0D0D0D" w:themeColor="text1" w:themeTint="F2"/>
                <w:sz w:val="21"/>
                <w14:textFill>
                  <w14:solidFill>
                    <w14:schemeClr w14:val="tx1">
                      <w14:lumMod w14:val="95000"/>
                      <w14:lumOff w14:val="5000"/>
                    </w14:schemeClr>
                  </w14:solidFill>
                </w14:textFill>
              </w:rPr>
            </w:pPr>
            <w:r>
              <w:rPr>
                <w:color w:val="0D0D0D" w:themeColor="text1" w:themeTint="F2"/>
                <w:sz w:val="21"/>
                <w14:textFill>
                  <w14:solidFill>
                    <w14:schemeClr w14:val="tx1">
                      <w14:lumMod w14:val="95000"/>
                      <w14:lumOff w14:val="5000"/>
                    </w14:schemeClr>
                  </w14:solidFill>
                </w14:textFill>
              </w:rPr>
              <w:t>二级</w:t>
            </w:r>
          </w:p>
        </w:tc>
        <w:tc>
          <w:tcPr>
            <w:tcW w:w="1073" w:type="pct"/>
            <w:vAlign w:val="center"/>
          </w:tcPr>
          <w:p w14:paraId="7BCCB2E1">
            <w:pPr>
              <w:spacing w:line="240" w:lineRule="auto"/>
              <w:jc w:val="center"/>
              <w:rPr>
                <w:color w:val="0D0D0D" w:themeColor="text1" w:themeTint="F2"/>
                <w:sz w:val="21"/>
                <w14:textFill>
                  <w14:solidFill>
                    <w14:schemeClr w14:val="tx1">
                      <w14:lumMod w14:val="95000"/>
                      <w14:lumOff w14:val="5000"/>
                    </w14:schemeClr>
                  </w14:solidFill>
                </w14:textFill>
              </w:rPr>
            </w:pPr>
            <w:r>
              <w:rPr>
                <w:color w:val="0D0D0D" w:themeColor="text1" w:themeTint="F2"/>
                <w:sz w:val="21"/>
                <w14:textFill>
                  <w14:solidFill>
                    <w14:schemeClr w14:val="tx1">
                      <w14:lumMod w14:val="95000"/>
                      <w14:lumOff w14:val="5000"/>
                    </w14:schemeClr>
                  </w14:solidFill>
                </w14:textFill>
              </w:rPr>
              <w:t>直接排放</w:t>
            </w:r>
          </w:p>
        </w:tc>
        <w:tc>
          <w:tcPr>
            <w:tcW w:w="3098" w:type="pct"/>
            <w:vAlign w:val="center"/>
          </w:tcPr>
          <w:p w14:paraId="76F76190">
            <w:pPr>
              <w:spacing w:line="240" w:lineRule="auto"/>
              <w:jc w:val="center"/>
              <w:rPr>
                <w:color w:val="0D0D0D" w:themeColor="text1" w:themeTint="F2"/>
                <w:sz w:val="21"/>
                <w14:textFill>
                  <w14:solidFill>
                    <w14:schemeClr w14:val="tx1">
                      <w14:lumMod w14:val="95000"/>
                      <w14:lumOff w14:val="5000"/>
                    </w14:schemeClr>
                  </w14:solidFill>
                </w14:textFill>
              </w:rPr>
            </w:pPr>
            <w:r>
              <w:rPr>
                <w:color w:val="0D0D0D" w:themeColor="text1" w:themeTint="F2"/>
                <w:sz w:val="21"/>
                <w14:textFill>
                  <w14:solidFill>
                    <w14:schemeClr w14:val="tx1">
                      <w14:lumMod w14:val="95000"/>
                      <w14:lumOff w14:val="5000"/>
                    </w14:schemeClr>
                  </w14:solidFill>
                </w14:textFill>
              </w:rPr>
              <w:t>其他</w:t>
            </w:r>
          </w:p>
        </w:tc>
      </w:tr>
      <w:tr w14:paraId="15AB6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vAlign w:val="center"/>
          </w:tcPr>
          <w:p w14:paraId="01D40E77">
            <w:pPr>
              <w:spacing w:line="240" w:lineRule="auto"/>
              <w:jc w:val="center"/>
              <w:rPr>
                <w:color w:val="0D0D0D" w:themeColor="text1" w:themeTint="F2"/>
                <w:sz w:val="21"/>
                <w14:textFill>
                  <w14:solidFill>
                    <w14:schemeClr w14:val="tx1">
                      <w14:lumMod w14:val="95000"/>
                      <w14:lumOff w14:val="5000"/>
                    </w14:schemeClr>
                  </w14:solidFill>
                </w14:textFill>
              </w:rPr>
            </w:pPr>
            <w:r>
              <w:rPr>
                <w:color w:val="0D0D0D" w:themeColor="text1" w:themeTint="F2"/>
                <w:sz w:val="21"/>
                <w14:textFill>
                  <w14:solidFill>
                    <w14:schemeClr w14:val="tx1">
                      <w14:lumMod w14:val="95000"/>
                      <w14:lumOff w14:val="5000"/>
                    </w14:schemeClr>
                  </w14:solidFill>
                </w14:textFill>
              </w:rPr>
              <w:t>三级A</w:t>
            </w:r>
          </w:p>
        </w:tc>
        <w:tc>
          <w:tcPr>
            <w:tcW w:w="1073" w:type="pct"/>
            <w:vAlign w:val="center"/>
          </w:tcPr>
          <w:p w14:paraId="3F3B8FF2">
            <w:pPr>
              <w:spacing w:line="240" w:lineRule="auto"/>
              <w:jc w:val="center"/>
              <w:rPr>
                <w:color w:val="0D0D0D" w:themeColor="text1" w:themeTint="F2"/>
                <w:sz w:val="21"/>
                <w14:textFill>
                  <w14:solidFill>
                    <w14:schemeClr w14:val="tx1">
                      <w14:lumMod w14:val="95000"/>
                      <w14:lumOff w14:val="5000"/>
                    </w14:schemeClr>
                  </w14:solidFill>
                </w14:textFill>
              </w:rPr>
            </w:pPr>
            <w:r>
              <w:rPr>
                <w:color w:val="0D0D0D" w:themeColor="text1" w:themeTint="F2"/>
                <w:sz w:val="21"/>
                <w14:textFill>
                  <w14:solidFill>
                    <w14:schemeClr w14:val="tx1">
                      <w14:lumMod w14:val="95000"/>
                      <w14:lumOff w14:val="5000"/>
                    </w14:schemeClr>
                  </w14:solidFill>
                </w14:textFill>
              </w:rPr>
              <w:t>直接排放</w:t>
            </w:r>
          </w:p>
        </w:tc>
        <w:tc>
          <w:tcPr>
            <w:tcW w:w="3098" w:type="pct"/>
            <w:vAlign w:val="center"/>
          </w:tcPr>
          <w:p w14:paraId="6B0E10E7">
            <w:pPr>
              <w:spacing w:line="240" w:lineRule="auto"/>
              <w:jc w:val="center"/>
              <w:rPr>
                <w:color w:val="0D0D0D" w:themeColor="text1" w:themeTint="F2"/>
                <w:sz w:val="21"/>
                <w14:textFill>
                  <w14:solidFill>
                    <w14:schemeClr w14:val="tx1">
                      <w14:lumMod w14:val="95000"/>
                      <w14:lumOff w14:val="5000"/>
                    </w14:schemeClr>
                  </w14:solidFill>
                </w14:textFill>
              </w:rPr>
            </w:pPr>
            <w:r>
              <w:rPr>
                <w:color w:val="0D0D0D" w:themeColor="text1" w:themeTint="F2"/>
                <w:sz w:val="21"/>
                <w14:textFill>
                  <w14:solidFill>
                    <w14:schemeClr w14:val="tx1">
                      <w14:lumMod w14:val="95000"/>
                      <w14:lumOff w14:val="5000"/>
                    </w14:schemeClr>
                  </w14:solidFill>
                </w14:textFill>
              </w:rPr>
              <w:t>Q＜200且W＜6000</w:t>
            </w:r>
          </w:p>
        </w:tc>
      </w:tr>
      <w:tr w14:paraId="38DE0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shd w:val="clear" w:color="auto" w:fill="FFFFFF" w:themeFill="background1"/>
            <w:vAlign w:val="center"/>
          </w:tcPr>
          <w:p w14:paraId="6B3C7D8F">
            <w:pPr>
              <w:spacing w:line="240" w:lineRule="auto"/>
              <w:jc w:val="center"/>
              <w:rPr>
                <w:color w:val="0D0D0D" w:themeColor="text1" w:themeTint="F2"/>
                <w:sz w:val="21"/>
                <w14:textFill>
                  <w14:solidFill>
                    <w14:schemeClr w14:val="tx1">
                      <w14:lumMod w14:val="95000"/>
                      <w14:lumOff w14:val="5000"/>
                    </w14:schemeClr>
                  </w14:solidFill>
                </w14:textFill>
              </w:rPr>
            </w:pPr>
            <w:r>
              <w:rPr>
                <w:color w:val="0D0D0D" w:themeColor="text1" w:themeTint="F2"/>
                <w:sz w:val="21"/>
                <w14:textFill>
                  <w14:solidFill>
                    <w14:schemeClr w14:val="tx1">
                      <w14:lumMod w14:val="95000"/>
                      <w14:lumOff w14:val="5000"/>
                    </w14:schemeClr>
                  </w14:solidFill>
                </w14:textFill>
              </w:rPr>
              <w:t>三级B</w:t>
            </w:r>
          </w:p>
        </w:tc>
        <w:tc>
          <w:tcPr>
            <w:tcW w:w="1073" w:type="pct"/>
            <w:shd w:val="clear" w:color="auto" w:fill="FFFFFF" w:themeFill="background1"/>
            <w:vAlign w:val="center"/>
          </w:tcPr>
          <w:p w14:paraId="0AA9D415">
            <w:pPr>
              <w:spacing w:line="240" w:lineRule="auto"/>
              <w:jc w:val="center"/>
              <w:rPr>
                <w:color w:val="0D0D0D" w:themeColor="text1" w:themeTint="F2"/>
                <w:sz w:val="21"/>
                <w14:textFill>
                  <w14:solidFill>
                    <w14:schemeClr w14:val="tx1">
                      <w14:lumMod w14:val="95000"/>
                      <w14:lumOff w14:val="5000"/>
                    </w14:schemeClr>
                  </w14:solidFill>
                </w14:textFill>
              </w:rPr>
            </w:pPr>
            <w:r>
              <w:rPr>
                <w:color w:val="0D0D0D" w:themeColor="text1" w:themeTint="F2"/>
                <w:sz w:val="21"/>
                <w14:textFill>
                  <w14:solidFill>
                    <w14:schemeClr w14:val="tx1">
                      <w14:lumMod w14:val="95000"/>
                      <w14:lumOff w14:val="5000"/>
                    </w14:schemeClr>
                  </w14:solidFill>
                </w14:textFill>
              </w:rPr>
              <w:t>间接排放</w:t>
            </w:r>
          </w:p>
        </w:tc>
        <w:tc>
          <w:tcPr>
            <w:tcW w:w="3098" w:type="pct"/>
            <w:shd w:val="clear" w:color="auto" w:fill="FFFFFF" w:themeFill="background1"/>
            <w:vAlign w:val="center"/>
          </w:tcPr>
          <w:p w14:paraId="3039EA4B">
            <w:pPr>
              <w:spacing w:line="240" w:lineRule="auto"/>
              <w:jc w:val="center"/>
              <w:rPr>
                <w:color w:val="0D0D0D" w:themeColor="text1" w:themeTint="F2"/>
                <w:sz w:val="21"/>
                <w14:textFill>
                  <w14:solidFill>
                    <w14:schemeClr w14:val="tx1">
                      <w14:lumMod w14:val="95000"/>
                      <w14:lumOff w14:val="5000"/>
                    </w14:schemeClr>
                  </w14:solidFill>
                </w14:textFill>
              </w:rPr>
            </w:pPr>
            <w:r>
              <w:rPr>
                <w:color w:val="0D0D0D" w:themeColor="text1" w:themeTint="F2"/>
                <w:sz w:val="21"/>
                <w14:textFill>
                  <w14:solidFill>
                    <w14:schemeClr w14:val="tx1">
                      <w14:lumMod w14:val="95000"/>
                      <w14:lumOff w14:val="5000"/>
                    </w14:schemeClr>
                  </w14:solidFill>
                </w14:textFill>
              </w:rPr>
              <w:t>——</w:t>
            </w:r>
          </w:p>
        </w:tc>
      </w:tr>
      <w:tr w14:paraId="65A88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vAlign w:val="center"/>
          </w:tcPr>
          <w:p w14:paraId="3A0DE2D5">
            <w:pPr>
              <w:spacing w:line="240" w:lineRule="auto"/>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注1：水污染物当量数等于该污染物的年排放量除以该污染物的污染当量值（见附录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14:paraId="41C3C8D1">
            <w:pPr>
              <w:spacing w:line="240" w:lineRule="auto"/>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注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14:paraId="0EFBBFB0">
            <w:pPr>
              <w:spacing w:line="240" w:lineRule="auto"/>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注3：厂区存在堆积物（露天堆放的原料、燃料、废渣等以及垃圾堆放场）、降尘污染的应将初期雨污水纳入废水排放量，相应的主要污染物纳入水污染当量计算。</w:t>
            </w:r>
          </w:p>
          <w:p w14:paraId="6AF57A88">
            <w:pPr>
              <w:spacing w:line="240" w:lineRule="auto"/>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注4：建设项目直接排放第一类污染物的，其评价等级为一级；建设项目直接排放的污染物为受纳水体超标因子的，评价等级不低于二级。</w:t>
            </w:r>
          </w:p>
          <w:p w14:paraId="666AAB11">
            <w:pPr>
              <w:spacing w:line="240" w:lineRule="auto"/>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注5：直接排放受纳水体影响范围涉及饮用水水源保护区、饮用水取水口、重点保护与珍稀水生生物的梄息地、重要水生生物的自然产卵场等保护目标时，评价等级不低于二级。</w:t>
            </w:r>
          </w:p>
          <w:p w14:paraId="2531882A">
            <w:pPr>
              <w:spacing w:line="240" w:lineRule="auto"/>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注6：建设项目向河流、湖库排放温排水引起受纳水体水温变化超过水环境质量标准要求，且评价范围有水温敏感目标时，评价等级为一级。</w:t>
            </w:r>
          </w:p>
          <w:p w14:paraId="784176B1">
            <w:pPr>
              <w:spacing w:line="240" w:lineRule="auto"/>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注7：建设项目利用海水作为调节温度介质，排水量≥500万m</w:t>
            </w:r>
            <w:r>
              <w:rPr>
                <w:rFonts w:hint="eastAsia"/>
                <w:color w:val="0D0D0D" w:themeColor="text1" w:themeTint="F2"/>
                <w:sz w:val="21"/>
                <w:vertAlign w:val="superscript"/>
                <w14:textFill>
                  <w14:solidFill>
                    <w14:schemeClr w14:val="tx1">
                      <w14:lumMod w14:val="95000"/>
                      <w14:lumOff w14:val="5000"/>
                    </w14:schemeClr>
                  </w14:solidFill>
                </w14:textFill>
              </w:rPr>
              <w:t>3</w:t>
            </w:r>
            <w:r>
              <w:rPr>
                <w:color w:val="0D0D0D" w:themeColor="text1" w:themeTint="F2"/>
                <w:sz w:val="21"/>
                <w14:textFill>
                  <w14:solidFill>
                    <w14:schemeClr w14:val="tx1">
                      <w14:lumMod w14:val="95000"/>
                      <w14:lumOff w14:val="5000"/>
                    </w14:schemeClr>
                  </w14:solidFill>
                </w14:textFill>
              </w:rPr>
              <w:t>/</w:t>
            </w:r>
            <w:r>
              <w:rPr>
                <w:rFonts w:hint="eastAsia"/>
                <w:color w:val="0D0D0D" w:themeColor="text1" w:themeTint="F2"/>
                <w:sz w:val="21"/>
                <w14:textFill>
                  <w14:solidFill>
                    <w14:schemeClr w14:val="tx1">
                      <w14:lumMod w14:val="95000"/>
                      <w14:lumOff w14:val="5000"/>
                    </w14:schemeClr>
                  </w14:solidFill>
                </w14:textFill>
              </w:rPr>
              <w:t>d，评价等级为一级；排水量&lt;500万m</w:t>
            </w:r>
            <w:r>
              <w:rPr>
                <w:rFonts w:hint="eastAsia"/>
                <w:color w:val="0D0D0D" w:themeColor="text1" w:themeTint="F2"/>
                <w:sz w:val="21"/>
                <w:vertAlign w:val="superscript"/>
                <w14:textFill>
                  <w14:solidFill>
                    <w14:schemeClr w14:val="tx1">
                      <w14:lumMod w14:val="95000"/>
                      <w14:lumOff w14:val="5000"/>
                    </w14:schemeClr>
                  </w14:solidFill>
                </w14:textFill>
              </w:rPr>
              <w:t>3</w:t>
            </w:r>
            <w:r>
              <w:rPr>
                <w:rFonts w:hint="eastAsia"/>
                <w:color w:val="0D0D0D" w:themeColor="text1" w:themeTint="F2"/>
                <w:sz w:val="21"/>
                <w14:textFill>
                  <w14:solidFill>
                    <w14:schemeClr w14:val="tx1">
                      <w14:lumMod w14:val="95000"/>
                      <w14:lumOff w14:val="5000"/>
                    </w14:schemeClr>
                  </w14:solidFill>
                </w14:textFill>
              </w:rPr>
              <w:t>/d，评价等级为二级。</w:t>
            </w:r>
          </w:p>
          <w:p w14:paraId="0273506D">
            <w:pPr>
              <w:spacing w:line="240" w:lineRule="auto"/>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注8：仅涉及清净下水排放的，如其排放水质满足受纳水体水环境质量标准要求的，评价等级为三级A。</w:t>
            </w:r>
          </w:p>
          <w:p w14:paraId="1CE11D46">
            <w:pPr>
              <w:spacing w:line="240" w:lineRule="auto"/>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注9：依托现有排放口，且对外环境未新増排放污染物的直接排放建设项目，评价等级参照间接排放，定为三级B。</w:t>
            </w:r>
          </w:p>
          <w:p w14:paraId="032CB857">
            <w:pPr>
              <w:spacing w:line="240" w:lineRule="auto"/>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注10：建设项目生产工艺中有废水产生，但作为回水利用，不排放到外环境的，按三级B评价。</w:t>
            </w:r>
          </w:p>
        </w:tc>
      </w:tr>
    </w:tbl>
    <w:p w14:paraId="3E3D56C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运营期初期雨水经初期雨水池收集后，泵入污水处理站与生产废水一并处理达标后排入市政污水管网，生活污水经三级化粪池处理后排入市政污水管网，外排废水输送至钦州胜科水务有限公司污水处理厂进一步处理，最后排入钦州港金鼓江排污混合区（GX056DⅣ）深海排放，项目排水方式为间接排放，因此，项目地表水环境影响评价工作等级为三级B。</w:t>
      </w:r>
    </w:p>
    <w:p w14:paraId="10BD2032">
      <w:pPr>
        <w:pStyle w:val="10"/>
      </w:pPr>
      <w:r>
        <w:rPr>
          <w:rFonts w:hint="eastAsia"/>
        </w:rPr>
        <w:t>评价范围</w:t>
      </w:r>
    </w:p>
    <w:p w14:paraId="2F0AD1BE">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根据《环境影响评价技术导则  地表水环境》（H</w:t>
      </w:r>
      <w:r>
        <w:rPr>
          <w:rFonts w:cs="Times New Roman"/>
          <w:color w:val="0D0D0D" w:themeColor="text1" w:themeTint="F2"/>
          <w:kern w:val="0"/>
          <w:szCs w:val="24"/>
          <w14:textFill>
            <w14:solidFill>
              <w14:schemeClr w14:val="tx1">
                <w14:lumMod w14:val="95000"/>
                <w14:lumOff w14:val="5000"/>
              </w14:schemeClr>
            </w14:solidFill>
          </w14:textFill>
        </w:rPr>
        <w:t>J2.3-2018</w:t>
      </w:r>
      <w:r>
        <w:rPr>
          <w:rFonts w:hint="eastAsia" w:cs="Times New Roman"/>
          <w:color w:val="0D0D0D" w:themeColor="text1" w:themeTint="F2"/>
          <w:kern w:val="0"/>
          <w:szCs w:val="24"/>
          <w14:textFill>
            <w14:solidFill>
              <w14:schemeClr w14:val="tx1">
                <w14:lumMod w14:val="95000"/>
                <w14:lumOff w14:val="5000"/>
              </w14:schemeClr>
            </w14:solidFill>
          </w14:textFill>
        </w:rPr>
        <w:t>），地表水环境评价等级为三级B，其评价范围应符合以下要求：应满足其依托污水处理设施环境可行性分析的要求；涉及地表水环境风险的，应覆盖环境风险影响评价所涉及的水环境保护目标水域。本次评价不设置评价范围，仅对依托污水处理设施环境可行性进行分析。</w:t>
      </w:r>
    </w:p>
    <w:p w14:paraId="62EEA210">
      <w:pPr>
        <w:pStyle w:val="9"/>
      </w:pPr>
      <w:bookmarkStart w:id="52" w:name="_Toc204062547"/>
      <w:r>
        <w:rPr>
          <w:rFonts w:hint="eastAsia"/>
        </w:rPr>
        <w:t>地下水环境评价工作等级和评价范围</w:t>
      </w:r>
      <w:bookmarkEnd w:id="52"/>
    </w:p>
    <w:p w14:paraId="4288E186">
      <w:pPr>
        <w:pStyle w:val="10"/>
      </w:pPr>
      <w:r>
        <w:rPr>
          <w:rFonts w:hint="eastAsia"/>
        </w:rPr>
        <w:t>评价等级</w:t>
      </w:r>
    </w:p>
    <w:p w14:paraId="27E1AF0F">
      <w:pPr>
        <w:ind w:firstLine="480" w:firstLineChars="200"/>
        <w:rPr>
          <w:rFonts w:cs="Times New Roman"/>
          <w:color w:val="0D0D0D" w:themeColor="text1" w:themeTint="F2"/>
          <w:szCs w:val="24"/>
          <w:u w:val="single"/>
          <w14:textFill>
            <w14:solidFill>
              <w14:schemeClr w14:val="tx1">
                <w14:lumMod w14:val="95000"/>
                <w14:lumOff w14:val="5000"/>
              </w14:schemeClr>
            </w14:solidFill>
          </w14:textFill>
        </w:rPr>
      </w:pPr>
      <w:r>
        <w:rPr>
          <w:rFonts w:hint="eastAsia" w:cs="Times New Roman"/>
          <w:color w:val="0D0D0D" w:themeColor="text1" w:themeTint="F2"/>
          <w:szCs w:val="24"/>
          <w:u w:val="single"/>
          <w14:textFill>
            <w14:solidFill>
              <w14:schemeClr w14:val="tx1">
                <w14:lumMod w14:val="95000"/>
                <w14:lumOff w14:val="5000"/>
              </w14:schemeClr>
            </w14:solidFill>
          </w14:textFill>
        </w:rPr>
        <w:t>根据《环境影响评价技术导则  地下水环境》（HJ610-2016）附录A，项目主体工程属于L石化、化工-84、原油加工、天然气加工、油母页岩提炼原油、煤制油、生物制油及其他石油制品，项目类别为Ⅰ类。生物柴油及工业级混合油管道建设属于U-城镇基础设施及房地产-147、管网建设，项目类别为Ⅳ类，Ⅳ类建设项目不开展地下水环境影响评价。</w:t>
      </w:r>
    </w:p>
    <w:p w14:paraId="25A132B7">
      <w:pPr>
        <w:ind w:firstLine="480" w:firstLineChars="200"/>
        <w:rPr>
          <w:rFonts w:cs="Times New Roman"/>
          <w:b/>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项目地下水环境敏感程度分级详见表2.5-7，评价等级划分详见表2.5-8</w:t>
      </w:r>
      <w:r>
        <w:rPr>
          <w:rFonts w:cs="Times New Roman"/>
          <w:color w:val="0D0D0D" w:themeColor="text1" w:themeTint="F2"/>
          <w:szCs w:val="24"/>
          <w14:textFill>
            <w14:solidFill>
              <w14:schemeClr w14:val="tx1">
                <w14:lumMod w14:val="95000"/>
                <w14:lumOff w14:val="5000"/>
              </w14:schemeClr>
            </w14:solidFill>
          </w14:textFill>
        </w:rPr>
        <w:t>。</w:t>
      </w:r>
    </w:p>
    <w:p w14:paraId="1840B6D6">
      <w:pPr>
        <w:pStyle w:val="11"/>
        <w:numPr>
          <w:ilvl w:val="4"/>
          <w:numId w:val="18"/>
        </w:numPr>
      </w:pPr>
      <w:r>
        <w:rPr>
          <w:rFonts w:hint="eastAsia"/>
        </w:rPr>
        <w:t xml:space="preserve"> 地下水环境敏感程度分级表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8031"/>
      </w:tblGrid>
      <w:tr w14:paraId="3F9A5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vAlign w:val="center"/>
          </w:tcPr>
          <w:p w14:paraId="5E9215A2">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敏感程度</w:t>
            </w:r>
          </w:p>
        </w:tc>
        <w:tc>
          <w:tcPr>
            <w:tcW w:w="4345" w:type="pct"/>
            <w:vAlign w:val="center"/>
          </w:tcPr>
          <w:p w14:paraId="2554C1C4">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地下水环境敏感特征</w:t>
            </w:r>
          </w:p>
        </w:tc>
      </w:tr>
      <w:tr w14:paraId="61B57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vAlign w:val="center"/>
          </w:tcPr>
          <w:p w14:paraId="1EB5B7BD">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敏感</w:t>
            </w:r>
          </w:p>
        </w:tc>
        <w:tc>
          <w:tcPr>
            <w:tcW w:w="4345" w:type="pct"/>
            <w:vAlign w:val="center"/>
          </w:tcPr>
          <w:p w14:paraId="3C569C43">
            <w:pPr>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14:paraId="0E395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vAlign w:val="center"/>
          </w:tcPr>
          <w:p w14:paraId="0AC584C7">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较敏感</w:t>
            </w:r>
          </w:p>
        </w:tc>
        <w:tc>
          <w:tcPr>
            <w:tcW w:w="4345" w:type="pct"/>
            <w:vAlign w:val="center"/>
          </w:tcPr>
          <w:p w14:paraId="568382AF">
            <w:pPr>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集中式饮用水水源（包括已建成的在用、备用、应急水源，在建和规划的饮用水水源）准保护区以外的补给径流区；未划定准保护区的</w:t>
            </w:r>
            <w:r>
              <w:rPr>
                <w:rFonts w:hint="eastAsia" w:cs="Times New Roman"/>
                <w:color w:val="0D0D0D" w:themeColor="text1" w:themeTint="F2"/>
                <w:sz w:val="21"/>
                <w:lang w:eastAsia="zh-CN"/>
                <w14:textFill>
                  <w14:solidFill>
                    <w14:schemeClr w14:val="tx1">
                      <w14:lumMod w14:val="95000"/>
                      <w14:lumOff w14:val="5000"/>
                    </w14:schemeClr>
                  </w14:solidFill>
                </w14:textFill>
              </w:rPr>
              <w:t>集中</w:t>
            </w:r>
            <w:r>
              <w:rPr>
                <w:rFonts w:cs="Times New Roman"/>
                <w:color w:val="0D0D0D" w:themeColor="text1" w:themeTint="F2"/>
                <w:sz w:val="21"/>
                <w14:textFill>
                  <w14:solidFill>
                    <w14:schemeClr w14:val="tx1">
                      <w14:lumMod w14:val="95000"/>
                      <w14:lumOff w14:val="5000"/>
                    </w14:schemeClr>
                  </w14:solidFill>
                </w14:textFill>
              </w:rPr>
              <w:t>式饮用水水源，其保护区以外的补给径流区；分散式饮用水水源地；特殊地下水资源（如矿泉水、温泉等）保护区以外的分布区等其他未列入上述敏感分级的环境敏感区。</w:t>
            </w:r>
          </w:p>
        </w:tc>
      </w:tr>
      <w:tr w14:paraId="4F8D1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vAlign w:val="center"/>
          </w:tcPr>
          <w:p w14:paraId="49ABD28A">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不敏感</w:t>
            </w:r>
          </w:p>
        </w:tc>
        <w:tc>
          <w:tcPr>
            <w:tcW w:w="4345" w:type="pct"/>
            <w:vAlign w:val="center"/>
          </w:tcPr>
          <w:p w14:paraId="5FB8CC93">
            <w:pPr>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上述地区之外其他地区</w:t>
            </w:r>
          </w:p>
        </w:tc>
      </w:tr>
    </w:tbl>
    <w:p w14:paraId="05B2EB77">
      <w:pPr>
        <w:pStyle w:val="11"/>
      </w:pPr>
      <w:r>
        <w:rPr>
          <w:rFonts w:hint="eastAsia"/>
        </w:rPr>
        <w:t xml:space="preserve"> 评价工作等级分级表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2566"/>
        <w:gridCol w:w="2386"/>
        <w:gridCol w:w="2235"/>
        <w:gridCol w:w="2055"/>
      </w:tblGrid>
      <w:tr w14:paraId="2B7F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jc w:val="center"/>
        </w:trPr>
        <w:tc>
          <w:tcPr>
            <w:tcW w:w="1388" w:type="pct"/>
            <w:tcBorders>
              <w:tl2br w:val="single" w:color="auto" w:sz="4" w:space="0"/>
            </w:tcBorders>
            <w:shd w:val="clear" w:color="auto" w:fill="FFFFFF" w:themeFill="background1"/>
            <w:vAlign w:val="center"/>
          </w:tcPr>
          <w:p w14:paraId="04EDB78D">
            <w:pPr>
              <w:spacing w:line="240" w:lineRule="auto"/>
              <w:jc w:val="right"/>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项目类别</w:t>
            </w:r>
          </w:p>
          <w:p w14:paraId="2EA7559E">
            <w:pPr>
              <w:spacing w:line="240" w:lineRule="auto"/>
              <w:jc w:val="left"/>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环境敏感程度</w:t>
            </w:r>
          </w:p>
        </w:tc>
        <w:tc>
          <w:tcPr>
            <w:tcW w:w="1291" w:type="pct"/>
            <w:tcBorders>
              <w:bottom w:val="single" w:color="auto" w:sz="4" w:space="0"/>
            </w:tcBorders>
            <w:shd w:val="clear" w:color="auto" w:fill="FFFFFF" w:themeFill="background1"/>
            <w:vAlign w:val="center"/>
          </w:tcPr>
          <w:p w14:paraId="648C6D7B">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Ⅰ</w:t>
            </w:r>
            <w:r>
              <w:rPr>
                <w:rFonts w:cs="Times New Roman"/>
                <w:color w:val="0D0D0D" w:themeColor="text1" w:themeTint="F2"/>
                <w:sz w:val="21"/>
                <w14:textFill>
                  <w14:solidFill>
                    <w14:schemeClr w14:val="tx1">
                      <w14:lumMod w14:val="95000"/>
                      <w14:lumOff w14:val="5000"/>
                    </w14:schemeClr>
                  </w14:solidFill>
                </w14:textFill>
              </w:rPr>
              <w:t>类项目</w:t>
            </w:r>
          </w:p>
        </w:tc>
        <w:tc>
          <w:tcPr>
            <w:tcW w:w="1209" w:type="pct"/>
            <w:shd w:val="clear" w:color="auto" w:fill="FFFFFF" w:themeFill="background1"/>
            <w:vAlign w:val="center"/>
          </w:tcPr>
          <w:p w14:paraId="7A50F4C7">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Ⅱ</w:t>
            </w:r>
            <w:r>
              <w:rPr>
                <w:rFonts w:cs="Times New Roman"/>
                <w:color w:val="0D0D0D" w:themeColor="text1" w:themeTint="F2"/>
                <w:sz w:val="21"/>
                <w14:textFill>
                  <w14:solidFill>
                    <w14:schemeClr w14:val="tx1">
                      <w14:lumMod w14:val="95000"/>
                      <w14:lumOff w14:val="5000"/>
                    </w14:schemeClr>
                  </w14:solidFill>
                </w14:textFill>
              </w:rPr>
              <w:t>类项目</w:t>
            </w:r>
          </w:p>
        </w:tc>
        <w:tc>
          <w:tcPr>
            <w:tcW w:w="1112" w:type="pct"/>
            <w:shd w:val="clear" w:color="auto" w:fill="FFFFFF" w:themeFill="background1"/>
            <w:vAlign w:val="center"/>
          </w:tcPr>
          <w:p w14:paraId="0ECB621E">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Ⅲ</w:t>
            </w:r>
            <w:r>
              <w:rPr>
                <w:rFonts w:cs="Times New Roman"/>
                <w:color w:val="0D0D0D" w:themeColor="text1" w:themeTint="F2"/>
                <w:sz w:val="21"/>
                <w14:textFill>
                  <w14:solidFill>
                    <w14:schemeClr w14:val="tx1">
                      <w14:lumMod w14:val="95000"/>
                      <w14:lumOff w14:val="5000"/>
                    </w14:schemeClr>
                  </w14:solidFill>
                </w14:textFill>
              </w:rPr>
              <w:t>类项目</w:t>
            </w:r>
          </w:p>
        </w:tc>
      </w:tr>
      <w:tr w14:paraId="344DE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jc w:val="center"/>
        </w:trPr>
        <w:tc>
          <w:tcPr>
            <w:tcW w:w="1388" w:type="pct"/>
            <w:shd w:val="clear" w:color="auto" w:fill="FFFFFF" w:themeFill="background1"/>
            <w:vAlign w:val="center"/>
          </w:tcPr>
          <w:p w14:paraId="6303B732">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敏感</w:t>
            </w:r>
          </w:p>
        </w:tc>
        <w:tc>
          <w:tcPr>
            <w:tcW w:w="1291" w:type="pct"/>
            <w:tcBorders>
              <w:bottom w:val="single" w:color="auto" w:sz="4" w:space="0"/>
            </w:tcBorders>
            <w:shd w:val="clear" w:color="auto" w:fill="FFFFFF" w:themeFill="background1"/>
            <w:vAlign w:val="center"/>
          </w:tcPr>
          <w:p w14:paraId="2097F6D2">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一</w:t>
            </w:r>
          </w:p>
        </w:tc>
        <w:tc>
          <w:tcPr>
            <w:tcW w:w="1209" w:type="pct"/>
            <w:shd w:val="clear" w:color="auto" w:fill="FFFFFF" w:themeFill="background1"/>
            <w:vAlign w:val="center"/>
          </w:tcPr>
          <w:p w14:paraId="00E4A139">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一</w:t>
            </w:r>
          </w:p>
        </w:tc>
        <w:tc>
          <w:tcPr>
            <w:tcW w:w="1112" w:type="pct"/>
            <w:shd w:val="clear" w:color="auto" w:fill="FFFFFF" w:themeFill="background1"/>
            <w:vAlign w:val="center"/>
          </w:tcPr>
          <w:p w14:paraId="5E09AD65">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二</w:t>
            </w:r>
          </w:p>
        </w:tc>
      </w:tr>
      <w:tr w14:paraId="757E1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8" w:type="pct"/>
            <w:shd w:val="clear" w:color="auto" w:fill="FFFFFF" w:themeFill="background1"/>
            <w:vAlign w:val="center"/>
          </w:tcPr>
          <w:p w14:paraId="2B1F275C">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较敏感</w:t>
            </w:r>
          </w:p>
        </w:tc>
        <w:tc>
          <w:tcPr>
            <w:tcW w:w="1291" w:type="pct"/>
            <w:tcBorders>
              <w:bottom w:val="single" w:color="auto" w:sz="4" w:space="0"/>
            </w:tcBorders>
            <w:shd w:val="clear" w:color="auto" w:fill="FFFFFF" w:themeFill="background1"/>
            <w:vAlign w:val="center"/>
          </w:tcPr>
          <w:p w14:paraId="6535C26C">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一</w:t>
            </w:r>
          </w:p>
        </w:tc>
        <w:tc>
          <w:tcPr>
            <w:tcW w:w="1209" w:type="pct"/>
            <w:shd w:val="clear" w:color="auto" w:fill="FFFFFF" w:themeFill="background1"/>
            <w:vAlign w:val="center"/>
          </w:tcPr>
          <w:p w14:paraId="5A708672">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二</w:t>
            </w:r>
          </w:p>
        </w:tc>
        <w:tc>
          <w:tcPr>
            <w:tcW w:w="1112" w:type="pct"/>
            <w:shd w:val="clear" w:color="auto" w:fill="FFFFFF" w:themeFill="background1"/>
            <w:vAlign w:val="center"/>
          </w:tcPr>
          <w:p w14:paraId="29E29BC2">
            <w:pPr>
              <w:spacing w:line="240" w:lineRule="auto"/>
              <w:jc w:val="center"/>
              <w:rPr>
                <w:rFonts w:cs="Times New Roman"/>
                <w:b/>
                <w:bCs/>
                <w:color w:val="0D0D0D" w:themeColor="text1" w:themeTint="F2"/>
                <w:sz w:val="21"/>
                <w14:textFill>
                  <w14:solidFill>
                    <w14:schemeClr w14:val="tx1">
                      <w14:lumMod w14:val="95000"/>
                      <w14:lumOff w14:val="5000"/>
                    </w14:schemeClr>
                  </w14:solidFill>
                </w14:textFill>
              </w:rPr>
            </w:pPr>
            <w:r>
              <w:rPr>
                <w:rFonts w:cs="Times New Roman"/>
                <w:b/>
                <w:bCs/>
                <w:color w:val="0D0D0D" w:themeColor="text1" w:themeTint="F2"/>
                <w:sz w:val="21"/>
                <w14:textFill>
                  <w14:solidFill>
                    <w14:schemeClr w14:val="tx1">
                      <w14:lumMod w14:val="95000"/>
                      <w14:lumOff w14:val="5000"/>
                    </w14:schemeClr>
                  </w14:solidFill>
                </w14:textFill>
              </w:rPr>
              <w:t>三</w:t>
            </w:r>
          </w:p>
        </w:tc>
      </w:tr>
      <w:tr w14:paraId="4A9D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jc w:val="center"/>
        </w:trPr>
        <w:tc>
          <w:tcPr>
            <w:tcW w:w="1388" w:type="pct"/>
            <w:shd w:val="clear" w:color="auto" w:fill="FFFFFF" w:themeFill="background1"/>
            <w:vAlign w:val="center"/>
          </w:tcPr>
          <w:p w14:paraId="01D9BC1A">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不敏感</w:t>
            </w:r>
          </w:p>
        </w:tc>
        <w:tc>
          <w:tcPr>
            <w:tcW w:w="1291" w:type="pct"/>
            <w:shd w:val="clear" w:color="auto" w:fill="D8D8D8" w:themeFill="background1" w:themeFillShade="D9"/>
            <w:vAlign w:val="center"/>
          </w:tcPr>
          <w:p w14:paraId="1911D1E4">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二</w:t>
            </w:r>
          </w:p>
        </w:tc>
        <w:tc>
          <w:tcPr>
            <w:tcW w:w="1209" w:type="pct"/>
            <w:shd w:val="clear" w:color="auto" w:fill="FFFFFF" w:themeFill="background1"/>
            <w:vAlign w:val="center"/>
          </w:tcPr>
          <w:p w14:paraId="5BADE442">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三</w:t>
            </w:r>
          </w:p>
        </w:tc>
        <w:tc>
          <w:tcPr>
            <w:tcW w:w="1112" w:type="pct"/>
            <w:shd w:val="clear" w:color="auto" w:fill="FFFFFF" w:themeFill="background1"/>
            <w:vAlign w:val="center"/>
          </w:tcPr>
          <w:p w14:paraId="391A8CF2">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三</w:t>
            </w:r>
          </w:p>
        </w:tc>
      </w:tr>
    </w:tbl>
    <w:p w14:paraId="3392B2C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经调查，项目地下水评价范围内无分散式、集中式地下水水源地，不涉及饮用水源地补给径流区及其特殊地下水资源等敏感区，地下水环境敏感程度为不敏感，因此，项目地下水环境影响评价工作等级为二级</w:t>
      </w:r>
      <w:r>
        <w:rPr>
          <w:rFonts w:hint="eastAsia"/>
          <w:color w:val="0D0D0D" w:themeColor="text1" w:themeTint="F2"/>
          <w14:textFill>
            <w14:solidFill>
              <w14:schemeClr w14:val="tx1">
                <w14:lumMod w14:val="95000"/>
                <w14:lumOff w14:val="5000"/>
              </w14:schemeClr>
            </w14:solidFill>
          </w14:textFill>
        </w:rPr>
        <w:t>。</w:t>
      </w:r>
    </w:p>
    <w:p w14:paraId="3BFFDECA">
      <w:pPr>
        <w:pStyle w:val="10"/>
      </w:pPr>
      <w:r>
        <w:rPr>
          <w:rFonts w:hint="eastAsia"/>
        </w:rPr>
        <w:t>评价范围</w:t>
      </w:r>
    </w:p>
    <w:p w14:paraId="19154EA5">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以项目红线范围为中心，北侧向外延伸至水文地质单元地表（下）水汇水区的低洼地带，西侧以水井坑水文单元分水岭为界，南侧向以水井坑水文单元边界为界，东侧以钦州湾海域为界，评价范围约1.35km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w:t>
      </w:r>
    </w:p>
    <w:p w14:paraId="744E100A">
      <w:pPr>
        <w:pStyle w:val="9"/>
      </w:pPr>
      <w:bookmarkStart w:id="53" w:name="_Toc204062548"/>
      <w:r>
        <w:rPr>
          <w:rFonts w:hint="eastAsia"/>
        </w:rPr>
        <w:t>声环境评价工作等级和评价范围</w:t>
      </w:r>
      <w:bookmarkEnd w:id="53"/>
    </w:p>
    <w:p w14:paraId="6212CBD0">
      <w:pPr>
        <w:pStyle w:val="10"/>
      </w:pPr>
      <w:r>
        <w:rPr>
          <w:rFonts w:hint="eastAsia"/>
        </w:rPr>
        <w:t>评价等级</w:t>
      </w:r>
    </w:p>
    <w:p w14:paraId="084B9DE9">
      <w:pPr>
        <w:autoSpaceDE w:val="0"/>
        <w:autoSpaceDN w:val="0"/>
        <w:adjustRightInd w:val="0"/>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根据《环境影响评价技术导则  声环境》（HJ2.4-2021），建设项目所处的声环境功能区为GB3096规定的3类、4类地区，或建设项目建设前后评价范围内声环境保护目标噪声级增量在3dB(A)以下（不含3dB(A)），</w:t>
      </w:r>
      <w:bookmarkStart w:id="54" w:name="_Hlk188299805"/>
      <w:r>
        <w:rPr>
          <w:rFonts w:hint="eastAsia" w:cs="Times New Roman"/>
          <w:color w:val="0D0D0D" w:themeColor="text1" w:themeTint="F2"/>
          <w:szCs w:val="24"/>
          <w14:textFill>
            <w14:solidFill>
              <w14:schemeClr w14:val="tx1">
                <w14:lumMod w14:val="95000"/>
                <w14:lumOff w14:val="5000"/>
              </w14:schemeClr>
            </w14:solidFill>
          </w14:textFill>
        </w:rPr>
        <w:t>且受噪声影响人口数量变化不大</w:t>
      </w:r>
      <w:bookmarkEnd w:id="54"/>
      <w:r>
        <w:rPr>
          <w:rFonts w:hint="eastAsia" w:cs="Times New Roman"/>
          <w:color w:val="0D0D0D" w:themeColor="text1" w:themeTint="F2"/>
          <w:szCs w:val="24"/>
          <w14:textFill>
            <w14:solidFill>
              <w14:schemeClr w14:val="tx1">
                <w14:lumMod w14:val="95000"/>
                <w14:lumOff w14:val="5000"/>
              </w14:schemeClr>
            </w14:solidFill>
          </w14:textFill>
        </w:rPr>
        <w:t>时，按三级评价。</w:t>
      </w:r>
    </w:p>
    <w:p w14:paraId="0621E201">
      <w:pPr>
        <w:ind w:firstLine="480" w:firstLineChars="200"/>
        <w:rPr>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项目位于3类声环境功能区，评价范围无敏感目标，且受噪声影响人口数量变化不大，因此，声环境影响评价工作等级为三级。</w:t>
      </w:r>
    </w:p>
    <w:p w14:paraId="46D62F8F">
      <w:pPr>
        <w:pStyle w:val="10"/>
      </w:pPr>
      <w:r>
        <w:rPr>
          <w:rFonts w:hint="eastAsia"/>
        </w:rPr>
        <w:t>评价范围</w:t>
      </w:r>
    </w:p>
    <w:p w14:paraId="2B3C503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厂界外200m区域。</w:t>
      </w:r>
    </w:p>
    <w:p w14:paraId="7237179A">
      <w:pPr>
        <w:pStyle w:val="9"/>
      </w:pPr>
      <w:bookmarkStart w:id="55" w:name="_Toc204062549"/>
      <w:r>
        <w:rPr>
          <w:rFonts w:hint="eastAsia"/>
        </w:rPr>
        <w:t>土壤环境评价工作等级和评价范围</w:t>
      </w:r>
      <w:bookmarkEnd w:id="55"/>
    </w:p>
    <w:p w14:paraId="21EB49B5">
      <w:pPr>
        <w:pStyle w:val="10"/>
      </w:pPr>
      <w:r>
        <w:rPr>
          <w:rFonts w:hint="eastAsia"/>
        </w:rPr>
        <w:t>评价等级</w:t>
      </w:r>
    </w:p>
    <w:p w14:paraId="5A77668A">
      <w:pPr>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根据《环境影响评价技术导则  土壤环境（试行）》（HJ964-2018），土壤评价（污染影响型）工作等级的划分应依据土壤环境影响评价项目类别、占地规模与敏感程度进行判定，土壤环境敏感程度分级和评价工作等级分级详见表2.5-9和表2.5-10。</w:t>
      </w:r>
    </w:p>
    <w:p w14:paraId="2398AA2E">
      <w:pPr>
        <w:pStyle w:val="2"/>
        <w:ind w:firstLine="240"/>
      </w:pPr>
      <w:r>
        <w:br w:type="page"/>
      </w:r>
    </w:p>
    <w:p w14:paraId="31A5A868">
      <w:pPr>
        <w:pStyle w:val="11"/>
        <w:numPr>
          <w:ilvl w:val="4"/>
          <w:numId w:val="19"/>
        </w:numPr>
      </w:pPr>
      <w:r>
        <w:rPr>
          <w:rFonts w:hint="eastAsia"/>
        </w:rPr>
        <w:t xml:space="preserve"> 污染影响型敏感程度分级表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8146"/>
      </w:tblGrid>
      <w:tr w14:paraId="0D0E1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3" w:type="pct"/>
            <w:vAlign w:val="center"/>
          </w:tcPr>
          <w:p w14:paraId="694A8818">
            <w:pPr>
              <w:adjustRightInd w:val="0"/>
              <w:snapToGri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敏感程度</w:t>
            </w:r>
          </w:p>
        </w:tc>
        <w:tc>
          <w:tcPr>
            <w:tcW w:w="4407" w:type="pct"/>
            <w:vAlign w:val="center"/>
          </w:tcPr>
          <w:p w14:paraId="6B53E892">
            <w:pPr>
              <w:adjustRightInd w:val="0"/>
              <w:snapToGri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判断依据</w:t>
            </w:r>
          </w:p>
        </w:tc>
      </w:tr>
      <w:tr w14:paraId="4A1AC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3" w:type="pct"/>
            <w:vAlign w:val="center"/>
          </w:tcPr>
          <w:p w14:paraId="6F998C00">
            <w:pPr>
              <w:adjustRightInd w:val="0"/>
              <w:snapToGri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敏感</w:t>
            </w:r>
          </w:p>
        </w:tc>
        <w:tc>
          <w:tcPr>
            <w:tcW w:w="4407" w:type="pct"/>
            <w:vAlign w:val="center"/>
          </w:tcPr>
          <w:p w14:paraId="709CCABE">
            <w:pPr>
              <w:adjustRightInd w:val="0"/>
              <w:snapToGrid w:val="0"/>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建设项目周边存在耕地、园地、牧草地、饮用水水源地或居民区、学校、医院、疗养院、养老院等土壤环境敏感目标的</w:t>
            </w:r>
          </w:p>
        </w:tc>
      </w:tr>
      <w:tr w14:paraId="19F80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3" w:type="pct"/>
            <w:vAlign w:val="center"/>
          </w:tcPr>
          <w:p w14:paraId="004B34FF">
            <w:pPr>
              <w:adjustRightInd w:val="0"/>
              <w:snapToGri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较敏感</w:t>
            </w:r>
          </w:p>
        </w:tc>
        <w:tc>
          <w:tcPr>
            <w:tcW w:w="4407" w:type="pct"/>
            <w:vAlign w:val="center"/>
          </w:tcPr>
          <w:p w14:paraId="603CDD06">
            <w:pPr>
              <w:adjustRightInd w:val="0"/>
              <w:snapToGri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建设项目周边存在的其他土壤环境敏感目标的</w:t>
            </w:r>
          </w:p>
        </w:tc>
      </w:tr>
      <w:tr w14:paraId="0EDD1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3" w:type="pct"/>
            <w:vAlign w:val="center"/>
          </w:tcPr>
          <w:p w14:paraId="5B1D2945">
            <w:pPr>
              <w:adjustRightInd w:val="0"/>
              <w:snapToGri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不敏感</w:t>
            </w:r>
          </w:p>
        </w:tc>
        <w:tc>
          <w:tcPr>
            <w:tcW w:w="4407" w:type="pct"/>
            <w:vAlign w:val="center"/>
          </w:tcPr>
          <w:p w14:paraId="08C529B1">
            <w:pPr>
              <w:adjustRightInd w:val="0"/>
              <w:snapToGri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其他情况</w:t>
            </w:r>
          </w:p>
        </w:tc>
      </w:tr>
    </w:tbl>
    <w:p w14:paraId="7F68ACFA">
      <w:pPr>
        <w:pStyle w:val="11"/>
      </w:pPr>
      <w:r>
        <w:rPr>
          <w:rFonts w:hint="eastAsia"/>
        </w:rPr>
        <w:t xml:space="preserve"> 评价工作等级分级表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2067"/>
        <w:gridCol w:w="749"/>
        <w:gridCol w:w="830"/>
        <w:gridCol w:w="723"/>
        <w:gridCol w:w="874"/>
        <w:gridCol w:w="872"/>
        <w:gridCol w:w="874"/>
        <w:gridCol w:w="750"/>
        <w:gridCol w:w="750"/>
        <w:gridCol w:w="753"/>
      </w:tblGrid>
      <w:tr w14:paraId="2DDC3807">
        <w:tblPrEx>
          <w:shd w:val="clear" w:color="auto" w:fill="FFFFFF" w:themeFill="background1"/>
          <w:tblCellMar>
            <w:top w:w="0" w:type="dxa"/>
            <w:left w:w="108" w:type="dxa"/>
            <w:bottom w:w="0" w:type="dxa"/>
            <w:right w:w="108" w:type="dxa"/>
          </w:tblCellMar>
        </w:tblPrEx>
        <w:trPr>
          <w:trHeight w:val="397" w:hRule="atLeast"/>
          <w:jc w:val="center"/>
        </w:trPr>
        <w:tc>
          <w:tcPr>
            <w:tcW w:w="1118" w:type="pct"/>
            <w:vMerge w:val="restart"/>
            <w:tcBorders>
              <w:tl2br w:val="single" w:color="auto" w:sz="4" w:space="0"/>
            </w:tcBorders>
            <w:shd w:val="clear" w:color="auto" w:fill="FFFFFF" w:themeFill="background1"/>
            <w:vAlign w:val="center"/>
          </w:tcPr>
          <w:p w14:paraId="7559EB9A">
            <w:pPr>
              <w:spacing w:line="240" w:lineRule="auto"/>
              <w:jc w:val="right"/>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环境敏感程度</w:t>
            </w:r>
          </w:p>
          <w:p w14:paraId="15B06FB4">
            <w:pPr>
              <w:spacing w:line="240" w:lineRule="auto"/>
              <w:jc w:val="left"/>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项目类别</w:t>
            </w:r>
          </w:p>
        </w:tc>
        <w:tc>
          <w:tcPr>
            <w:tcW w:w="1245" w:type="pct"/>
            <w:gridSpan w:val="3"/>
            <w:shd w:val="clear" w:color="auto" w:fill="FFFFFF" w:themeFill="background1"/>
            <w:vAlign w:val="center"/>
          </w:tcPr>
          <w:p w14:paraId="2CBA1080">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Ⅰ</w:t>
            </w:r>
            <w:r>
              <w:rPr>
                <w:rFonts w:cs="Times New Roman"/>
                <w:color w:val="0D0D0D" w:themeColor="text1" w:themeTint="F2"/>
                <w:sz w:val="21"/>
                <w14:textFill>
                  <w14:solidFill>
                    <w14:schemeClr w14:val="tx1">
                      <w14:lumMod w14:val="95000"/>
                      <w14:lumOff w14:val="5000"/>
                    </w14:schemeClr>
                  </w14:solidFill>
                </w14:textFill>
              </w:rPr>
              <w:t>类项目</w:t>
            </w:r>
          </w:p>
        </w:tc>
        <w:tc>
          <w:tcPr>
            <w:tcW w:w="1418" w:type="pct"/>
            <w:gridSpan w:val="3"/>
            <w:shd w:val="clear" w:color="auto" w:fill="FFFFFF" w:themeFill="background1"/>
            <w:vAlign w:val="center"/>
          </w:tcPr>
          <w:p w14:paraId="7917DC9B">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Ⅱ</w:t>
            </w:r>
            <w:r>
              <w:rPr>
                <w:rFonts w:cs="Times New Roman"/>
                <w:color w:val="0D0D0D" w:themeColor="text1" w:themeTint="F2"/>
                <w:sz w:val="21"/>
                <w14:textFill>
                  <w14:solidFill>
                    <w14:schemeClr w14:val="tx1">
                      <w14:lumMod w14:val="95000"/>
                      <w14:lumOff w14:val="5000"/>
                    </w14:schemeClr>
                  </w14:solidFill>
                </w14:textFill>
              </w:rPr>
              <w:t>类项目</w:t>
            </w:r>
          </w:p>
        </w:tc>
        <w:tc>
          <w:tcPr>
            <w:tcW w:w="1219" w:type="pct"/>
            <w:gridSpan w:val="3"/>
            <w:shd w:val="clear" w:color="auto" w:fill="FFFFFF" w:themeFill="background1"/>
            <w:vAlign w:val="center"/>
          </w:tcPr>
          <w:p w14:paraId="23772BE8">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Ⅲ</w:t>
            </w:r>
            <w:r>
              <w:rPr>
                <w:rFonts w:cs="Times New Roman"/>
                <w:color w:val="0D0D0D" w:themeColor="text1" w:themeTint="F2"/>
                <w:sz w:val="21"/>
                <w14:textFill>
                  <w14:solidFill>
                    <w14:schemeClr w14:val="tx1">
                      <w14:lumMod w14:val="95000"/>
                      <w14:lumOff w14:val="5000"/>
                    </w14:schemeClr>
                  </w14:solidFill>
                </w14:textFill>
              </w:rPr>
              <w:t>类项目</w:t>
            </w:r>
          </w:p>
        </w:tc>
      </w:tr>
      <w:tr w14:paraId="7C175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jc w:val="center"/>
        </w:trPr>
        <w:tc>
          <w:tcPr>
            <w:tcW w:w="1118" w:type="pct"/>
            <w:vMerge w:val="continue"/>
            <w:tcBorders>
              <w:tl2br w:val="single" w:color="auto" w:sz="4" w:space="0"/>
            </w:tcBorders>
            <w:shd w:val="clear" w:color="auto" w:fill="FFFFFF" w:themeFill="background1"/>
            <w:vAlign w:val="center"/>
          </w:tcPr>
          <w:p w14:paraId="745E28BA">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405" w:type="pct"/>
            <w:shd w:val="clear" w:color="auto" w:fill="FFFFFF" w:themeFill="background1"/>
            <w:vAlign w:val="center"/>
          </w:tcPr>
          <w:p w14:paraId="5B4D4CA6">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大型</w:t>
            </w:r>
          </w:p>
        </w:tc>
        <w:tc>
          <w:tcPr>
            <w:tcW w:w="449" w:type="pct"/>
            <w:shd w:val="clear" w:color="auto" w:fill="FFFFFF" w:themeFill="background1"/>
            <w:vAlign w:val="center"/>
          </w:tcPr>
          <w:p w14:paraId="3F82577E">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中型</w:t>
            </w:r>
          </w:p>
        </w:tc>
        <w:tc>
          <w:tcPr>
            <w:tcW w:w="391" w:type="pct"/>
            <w:tcBorders>
              <w:bottom w:val="single" w:color="auto" w:sz="4" w:space="0"/>
            </w:tcBorders>
            <w:shd w:val="clear" w:color="auto" w:fill="FFFFFF" w:themeFill="background1"/>
            <w:vAlign w:val="center"/>
          </w:tcPr>
          <w:p w14:paraId="066358CA">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小型</w:t>
            </w:r>
          </w:p>
        </w:tc>
        <w:tc>
          <w:tcPr>
            <w:tcW w:w="473" w:type="pct"/>
            <w:shd w:val="clear" w:color="auto" w:fill="FFFFFF" w:themeFill="background1"/>
            <w:vAlign w:val="center"/>
          </w:tcPr>
          <w:p w14:paraId="2C51F2F5">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大型</w:t>
            </w:r>
          </w:p>
        </w:tc>
        <w:tc>
          <w:tcPr>
            <w:tcW w:w="472" w:type="pct"/>
            <w:shd w:val="clear" w:color="auto" w:fill="FFFFFF" w:themeFill="background1"/>
            <w:vAlign w:val="center"/>
          </w:tcPr>
          <w:p w14:paraId="5EE275F9">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中型</w:t>
            </w:r>
          </w:p>
        </w:tc>
        <w:tc>
          <w:tcPr>
            <w:tcW w:w="473" w:type="pct"/>
            <w:tcBorders>
              <w:bottom w:val="single" w:color="auto" w:sz="4" w:space="0"/>
            </w:tcBorders>
            <w:shd w:val="clear" w:color="auto" w:fill="FFFFFF" w:themeFill="background1"/>
            <w:vAlign w:val="center"/>
          </w:tcPr>
          <w:p w14:paraId="30D4AA8C">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小型</w:t>
            </w:r>
          </w:p>
        </w:tc>
        <w:tc>
          <w:tcPr>
            <w:tcW w:w="406" w:type="pct"/>
            <w:shd w:val="clear" w:color="auto" w:fill="FFFFFF" w:themeFill="background1"/>
            <w:vAlign w:val="center"/>
          </w:tcPr>
          <w:p w14:paraId="699F9592">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大型</w:t>
            </w:r>
          </w:p>
        </w:tc>
        <w:tc>
          <w:tcPr>
            <w:tcW w:w="406" w:type="pct"/>
            <w:shd w:val="clear" w:color="auto" w:fill="FFFFFF" w:themeFill="background1"/>
            <w:vAlign w:val="center"/>
          </w:tcPr>
          <w:p w14:paraId="2A3A04A4">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中型</w:t>
            </w:r>
          </w:p>
        </w:tc>
        <w:tc>
          <w:tcPr>
            <w:tcW w:w="407" w:type="pct"/>
            <w:shd w:val="clear" w:color="auto" w:fill="FFFFFF" w:themeFill="background1"/>
            <w:vAlign w:val="center"/>
          </w:tcPr>
          <w:p w14:paraId="0ED0D20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小型</w:t>
            </w:r>
          </w:p>
        </w:tc>
      </w:tr>
      <w:tr w14:paraId="6188D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8" w:type="pct"/>
            <w:shd w:val="clear" w:color="auto" w:fill="FFFFFF" w:themeFill="background1"/>
            <w:vAlign w:val="center"/>
          </w:tcPr>
          <w:p w14:paraId="25B3BD4D">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敏感</w:t>
            </w:r>
          </w:p>
        </w:tc>
        <w:tc>
          <w:tcPr>
            <w:tcW w:w="405" w:type="pct"/>
            <w:shd w:val="clear" w:color="auto" w:fill="FFFFFF" w:themeFill="background1"/>
            <w:vAlign w:val="center"/>
          </w:tcPr>
          <w:p w14:paraId="7B72011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一</w:t>
            </w:r>
          </w:p>
        </w:tc>
        <w:tc>
          <w:tcPr>
            <w:tcW w:w="449" w:type="pct"/>
            <w:shd w:val="clear" w:color="auto" w:fill="FFFFFF" w:themeFill="background1"/>
            <w:vAlign w:val="center"/>
          </w:tcPr>
          <w:p w14:paraId="5FA1ED68">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一</w:t>
            </w:r>
          </w:p>
        </w:tc>
        <w:tc>
          <w:tcPr>
            <w:tcW w:w="391" w:type="pct"/>
            <w:shd w:val="clear" w:color="auto" w:fill="FFFFFF" w:themeFill="background1"/>
            <w:vAlign w:val="center"/>
          </w:tcPr>
          <w:p w14:paraId="621DA564">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一</w:t>
            </w:r>
          </w:p>
        </w:tc>
        <w:tc>
          <w:tcPr>
            <w:tcW w:w="473" w:type="pct"/>
            <w:shd w:val="clear" w:color="auto" w:fill="FFFFFF" w:themeFill="background1"/>
            <w:vAlign w:val="center"/>
          </w:tcPr>
          <w:p w14:paraId="265EDBC6">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二</w:t>
            </w:r>
          </w:p>
        </w:tc>
        <w:tc>
          <w:tcPr>
            <w:tcW w:w="472" w:type="pct"/>
            <w:shd w:val="clear" w:color="auto" w:fill="FFFFFF" w:themeFill="background1"/>
            <w:vAlign w:val="center"/>
          </w:tcPr>
          <w:p w14:paraId="20220ABB">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二</w:t>
            </w:r>
          </w:p>
        </w:tc>
        <w:tc>
          <w:tcPr>
            <w:tcW w:w="473" w:type="pct"/>
            <w:shd w:val="clear" w:color="auto" w:fill="FFFFFF" w:themeFill="background1"/>
            <w:vAlign w:val="center"/>
          </w:tcPr>
          <w:p w14:paraId="55026C91">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二</w:t>
            </w:r>
          </w:p>
        </w:tc>
        <w:tc>
          <w:tcPr>
            <w:tcW w:w="406" w:type="pct"/>
            <w:shd w:val="clear" w:color="auto" w:fill="FFFFFF" w:themeFill="background1"/>
            <w:vAlign w:val="center"/>
          </w:tcPr>
          <w:p w14:paraId="590BDF33">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三</w:t>
            </w:r>
          </w:p>
        </w:tc>
        <w:tc>
          <w:tcPr>
            <w:tcW w:w="406" w:type="pct"/>
            <w:shd w:val="clear" w:color="auto" w:fill="FFFFFF" w:themeFill="background1"/>
            <w:vAlign w:val="center"/>
          </w:tcPr>
          <w:p w14:paraId="377E9047">
            <w:pPr>
              <w:spacing w:line="240" w:lineRule="auto"/>
              <w:jc w:val="center"/>
              <w:rPr>
                <w:rFonts w:cs="Times New Roman"/>
                <w:b/>
                <w:bCs/>
                <w:color w:val="0D0D0D" w:themeColor="text1" w:themeTint="F2"/>
                <w:sz w:val="21"/>
                <w14:textFill>
                  <w14:solidFill>
                    <w14:schemeClr w14:val="tx1">
                      <w14:lumMod w14:val="95000"/>
                      <w14:lumOff w14:val="5000"/>
                    </w14:schemeClr>
                  </w14:solidFill>
                </w14:textFill>
              </w:rPr>
            </w:pPr>
            <w:r>
              <w:rPr>
                <w:rFonts w:cs="Times New Roman"/>
                <w:b/>
                <w:bCs/>
                <w:color w:val="0D0D0D" w:themeColor="text1" w:themeTint="F2"/>
                <w:sz w:val="21"/>
                <w14:textFill>
                  <w14:solidFill>
                    <w14:schemeClr w14:val="tx1">
                      <w14:lumMod w14:val="95000"/>
                      <w14:lumOff w14:val="5000"/>
                    </w14:schemeClr>
                  </w14:solidFill>
                </w14:textFill>
              </w:rPr>
              <w:t>三</w:t>
            </w:r>
          </w:p>
        </w:tc>
        <w:tc>
          <w:tcPr>
            <w:tcW w:w="407" w:type="pct"/>
            <w:shd w:val="clear" w:color="auto" w:fill="FFFFFF" w:themeFill="background1"/>
            <w:vAlign w:val="center"/>
          </w:tcPr>
          <w:p w14:paraId="0D71CB16">
            <w:pPr>
              <w:spacing w:line="240" w:lineRule="auto"/>
              <w:jc w:val="center"/>
              <w:rPr>
                <w:rFonts w:cs="Times New Roman"/>
                <w:b/>
                <w:bCs/>
                <w:color w:val="0D0D0D" w:themeColor="text1" w:themeTint="F2"/>
                <w:sz w:val="21"/>
                <w14:textFill>
                  <w14:solidFill>
                    <w14:schemeClr w14:val="tx1">
                      <w14:lumMod w14:val="95000"/>
                      <w14:lumOff w14:val="5000"/>
                    </w14:schemeClr>
                  </w14:solidFill>
                </w14:textFill>
              </w:rPr>
            </w:pPr>
            <w:r>
              <w:rPr>
                <w:rFonts w:cs="Times New Roman"/>
                <w:b/>
                <w:bCs/>
                <w:color w:val="0D0D0D" w:themeColor="text1" w:themeTint="F2"/>
                <w:sz w:val="21"/>
                <w14:textFill>
                  <w14:solidFill>
                    <w14:schemeClr w14:val="tx1">
                      <w14:lumMod w14:val="95000"/>
                      <w14:lumOff w14:val="5000"/>
                    </w14:schemeClr>
                  </w14:solidFill>
                </w14:textFill>
              </w:rPr>
              <w:t>三</w:t>
            </w:r>
          </w:p>
        </w:tc>
      </w:tr>
      <w:tr w14:paraId="7CD06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8" w:type="pct"/>
            <w:shd w:val="clear" w:color="auto" w:fill="FFFFFF" w:themeFill="background1"/>
            <w:vAlign w:val="center"/>
          </w:tcPr>
          <w:p w14:paraId="59838AC9">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较敏感</w:t>
            </w:r>
          </w:p>
        </w:tc>
        <w:tc>
          <w:tcPr>
            <w:tcW w:w="405" w:type="pct"/>
            <w:shd w:val="clear" w:color="auto" w:fill="FFFFFF" w:themeFill="background1"/>
            <w:vAlign w:val="center"/>
          </w:tcPr>
          <w:p w14:paraId="267028D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一</w:t>
            </w:r>
          </w:p>
        </w:tc>
        <w:tc>
          <w:tcPr>
            <w:tcW w:w="449" w:type="pct"/>
            <w:shd w:val="clear" w:color="auto" w:fill="FFFFFF" w:themeFill="background1"/>
            <w:vAlign w:val="center"/>
          </w:tcPr>
          <w:p w14:paraId="37DCC369">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一</w:t>
            </w:r>
          </w:p>
        </w:tc>
        <w:tc>
          <w:tcPr>
            <w:tcW w:w="391" w:type="pct"/>
            <w:tcBorders>
              <w:bottom w:val="single" w:color="auto" w:sz="4" w:space="0"/>
            </w:tcBorders>
            <w:shd w:val="clear" w:color="auto" w:fill="FFFFFF" w:themeFill="background1"/>
            <w:vAlign w:val="center"/>
          </w:tcPr>
          <w:p w14:paraId="2B41692A">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二</w:t>
            </w:r>
          </w:p>
        </w:tc>
        <w:tc>
          <w:tcPr>
            <w:tcW w:w="473" w:type="pct"/>
            <w:shd w:val="clear" w:color="auto" w:fill="FFFFFF" w:themeFill="background1"/>
            <w:vAlign w:val="center"/>
          </w:tcPr>
          <w:p w14:paraId="076C37D1">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二</w:t>
            </w:r>
          </w:p>
        </w:tc>
        <w:tc>
          <w:tcPr>
            <w:tcW w:w="472" w:type="pct"/>
            <w:shd w:val="clear" w:color="auto" w:fill="FFFFFF" w:themeFill="background1"/>
            <w:vAlign w:val="center"/>
          </w:tcPr>
          <w:p w14:paraId="5DA6124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二</w:t>
            </w:r>
          </w:p>
        </w:tc>
        <w:tc>
          <w:tcPr>
            <w:tcW w:w="473" w:type="pct"/>
            <w:shd w:val="clear" w:color="auto" w:fill="FFFFFF" w:themeFill="background1"/>
            <w:vAlign w:val="center"/>
          </w:tcPr>
          <w:p w14:paraId="4719422E">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三</w:t>
            </w:r>
          </w:p>
        </w:tc>
        <w:tc>
          <w:tcPr>
            <w:tcW w:w="406" w:type="pct"/>
            <w:shd w:val="clear" w:color="auto" w:fill="FFFFFF" w:themeFill="background1"/>
            <w:vAlign w:val="center"/>
          </w:tcPr>
          <w:p w14:paraId="2F0CC49D">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三</w:t>
            </w:r>
          </w:p>
        </w:tc>
        <w:tc>
          <w:tcPr>
            <w:tcW w:w="406" w:type="pct"/>
            <w:shd w:val="clear" w:color="auto" w:fill="FFFFFF" w:themeFill="background1"/>
            <w:vAlign w:val="center"/>
          </w:tcPr>
          <w:p w14:paraId="17DF9613">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三</w:t>
            </w:r>
          </w:p>
        </w:tc>
        <w:tc>
          <w:tcPr>
            <w:tcW w:w="407" w:type="pct"/>
            <w:shd w:val="clear" w:color="auto" w:fill="FFFFFF" w:themeFill="background1"/>
            <w:vAlign w:val="center"/>
          </w:tcPr>
          <w:p w14:paraId="778D24F9">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w:t>
            </w:r>
          </w:p>
        </w:tc>
      </w:tr>
      <w:tr w14:paraId="28C8D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8" w:type="pct"/>
            <w:shd w:val="clear" w:color="auto" w:fill="FFFFFF" w:themeFill="background1"/>
            <w:vAlign w:val="center"/>
          </w:tcPr>
          <w:p w14:paraId="633F274B">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不敏感</w:t>
            </w:r>
          </w:p>
        </w:tc>
        <w:tc>
          <w:tcPr>
            <w:tcW w:w="405" w:type="pct"/>
            <w:shd w:val="clear" w:color="auto" w:fill="FFFFFF" w:themeFill="background1"/>
            <w:vAlign w:val="center"/>
          </w:tcPr>
          <w:p w14:paraId="08D34F6D">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一</w:t>
            </w:r>
          </w:p>
        </w:tc>
        <w:tc>
          <w:tcPr>
            <w:tcW w:w="449" w:type="pct"/>
            <w:shd w:val="clear" w:color="auto" w:fill="FFFFFF" w:themeFill="background1"/>
            <w:vAlign w:val="center"/>
          </w:tcPr>
          <w:p w14:paraId="2D9AC0A5">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二</w:t>
            </w:r>
          </w:p>
        </w:tc>
        <w:tc>
          <w:tcPr>
            <w:tcW w:w="391" w:type="pct"/>
            <w:shd w:val="clear" w:color="auto" w:fill="D8D8D8" w:themeFill="background1" w:themeFillShade="D9"/>
            <w:vAlign w:val="center"/>
          </w:tcPr>
          <w:p w14:paraId="24DD4EB0">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二</w:t>
            </w:r>
          </w:p>
        </w:tc>
        <w:tc>
          <w:tcPr>
            <w:tcW w:w="473" w:type="pct"/>
            <w:shd w:val="clear" w:color="auto" w:fill="FFFFFF" w:themeFill="background1"/>
            <w:vAlign w:val="center"/>
          </w:tcPr>
          <w:p w14:paraId="59207A1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二</w:t>
            </w:r>
          </w:p>
        </w:tc>
        <w:tc>
          <w:tcPr>
            <w:tcW w:w="472" w:type="pct"/>
            <w:shd w:val="clear" w:color="auto" w:fill="FFFFFF" w:themeFill="background1"/>
            <w:vAlign w:val="center"/>
          </w:tcPr>
          <w:p w14:paraId="4DF9DC57">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三</w:t>
            </w:r>
          </w:p>
        </w:tc>
        <w:tc>
          <w:tcPr>
            <w:tcW w:w="473" w:type="pct"/>
            <w:shd w:val="clear" w:color="auto" w:fill="FFFFFF" w:themeFill="background1"/>
            <w:vAlign w:val="center"/>
          </w:tcPr>
          <w:p w14:paraId="0586D0B9">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三</w:t>
            </w:r>
          </w:p>
        </w:tc>
        <w:tc>
          <w:tcPr>
            <w:tcW w:w="406" w:type="pct"/>
            <w:shd w:val="clear" w:color="auto" w:fill="FFFFFF" w:themeFill="background1"/>
            <w:vAlign w:val="center"/>
          </w:tcPr>
          <w:p w14:paraId="2001F7E4">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三</w:t>
            </w:r>
          </w:p>
        </w:tc>
        <w:tc>
          <w:tcPr>
            <w:tcW w:w="406" w:type="pct"/>
            <w:shd w:val="clear" w:color="auto" w:fill="FFFFFF" w:themeFill="background1"/>
            <w:vAlign w:val="center"/>
          </w:tcPr>
          <w:p w14:paraId="068F9F87">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w:t>
            </w:r>
          </w:p>
        </w:tc>
        <w:tc>
          <w:tcPr>
            <w:tcW w:w="407" w:type="pct"/>
            <w:shd w:val="clear" w:color="auto" w:fill="FFFFFF" w:themeFill="background1"/>
            <w:vAlign w:val="center"/>
          </w:tcPr>
          <w:p w14:paraId="4EE7AC46">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w:t>
            </w:r>
          </w:p>
        </w:tc>
      </w:tr>
      <w:tr w14:paraId="6A73C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jc w:val="center"/>
        </w:trPr>
        <w:tc>
          <w:tcPr>
            <w:tcW w:w="5000" w:type="pct"/>
            <w:gridSpan w:val="10"/>
            <w:shd w:val="clear" w:color="auto" w:fill="FFFFFF" w:themeFill="background1"/>
            <w:vAlign w:val="center"/>
          </w:tcPr>
          <w:p w14:paraId="013BB3F7">
            <w:pPr>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注：“/”表示可不开展土壤环境影响评价工作。</w:t>
            </w:r>
          </w:p>
        </w:tc>
      </w:tr>
    </w:tbl>
    <w:p w14:paraId="6791EBDA">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根据《环境影响评价技术导则  土壤环境（试行）》（HJ964-2018）附录A，项目主产品为生物柴油和工业级混合油，副产品为精甘油和重质脂肪酸，因此主体工程项目类别参照制造业-石油化工-化学原料和化学制品制造进行判定，属于Ⅰ类项目；</w:t>
      </w:r>
      <w:bookmarkStart w:id="56" w:name="_Hlk199046514"/>
      <w:r>
        <w:rPr>
          <w:rFonts w:hint="eastAsia"/>
          <w:color w:val="0D0D0D" w:themeColor="text1" w:themeTint="F2"/>
          <w:u w:val="single"/>
          <w14:textFill>
            <w14:solidFill>
              <w14:schemeClr w14:val="tx1">
                <w14:lumMod w14:val="95000"/>
                <w14:lumOff w14:val="5000"/>
              </w14:schemeClr>
            </w14:solidFill>
          </w14:textFill>
        </w:rPr>
        <w:t>生物柴油及工业级混合油管道</w:t>
      </w:r>
      <w:bookmarkEnd w:id="56"/>
      <w:r>
        <w:rPr>
          <w:rFonts w:hint="eastAsia"/>
          <w:color w:val="0D0D0D" w:themeColor="text1" w:themeTint="F2"/>
          <w:u w:val="single"/>
          <w14:textFill>
            <w14:solidFill>
              <w14:schemeClr w14:val="tx1">
                <w14:lumMod w14:val="95000"/>
                <w14:lumOff w14:val="5000"/>
              </w14:schemeClr>
            </w14:solidFill>
          </w14:textFill>
        </w:rPr>
        <w:t>属于交通运输仓储邮政业-其他，属于Ⅳ类项目，不开展土壤环境影响评价工作。</w:t>
      </w:r>
    </w:p>
    <w:p w14:paraId="22569DF9">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w:t>
      </w:r>
      <w:bookmarkStart w:id="57" w:name="_Hlk192344955"/>
      <w:r>
        <w:rPr>
          <w:rFonts w:hint="eastAsia"/>
          <w:color w:val="0D0D0D" w:themeColor="text1" w:themeTint="F2"/>
          <w:u w:val="single"/>
          <w14:textFill>
            <w14:solidFill>
              <w14:schemeClr w14:val="tx1">
                <w14:lumMod w14:val="95000"/>
                <w14:lumOff w14:val="5000"/>
              </w14:schemeClr>
            </w14:solidFill>
          </w14:textFill>
        </w:rPr>
        <w:t>位于中国（广西）自由贸易试验区钦州港片区临海大道西面、勒沟东大街北面</w:t>
      </w:r>
      <w:bookmarkEnd w:id="57"/>
      <w:r>
        <w:rPr>
          <w:rFonts w:hint="eastAsia"/>
          <w:color w:val="0D0D0D" w:themeColor="text1" w:themeTint="F2"/>
          <w:u w:val="single"/>
          <w14:textFill>
            <w14:solidFill>
              <w14:schemeClr w14:val="tx1">
                <w14:lumMod w14:val="95000"/>
                <w14:lumOff w14:val="5000"/>
              </w14:schemeClr>
            </w14:solidFill>
          </w14:textFill>
        </w:rPr>
        <w:t>，周边规划为工业用地，西北面390m处为独山红树林斑块，东北面2.3km处为金鼓江红树林区，项目废气特征污染物为SO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、NO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、PM</w:t>
      </w:r>
      <w:r>
        <w:rPr>
          <w:rFonts w:hint="eastAsia"/>
          <w:color w:val="0D0D0D" w:themeColor="text1" w:themeTint="F2"/>
          <w:u w:val="single"/>
          <w:vertAlign w:val="subscript"/>
          <w14:textFill>
            <w14:solidFill>
              <w14:schemeClr w14:val="tx1">
                <w14:lumMod w14:val="95000"/>
                <w14:lumOff w14:val="5000"/>
              </w14:schemeClr>
            </w14:solidFill>
          </w14:textFill>
        </w:rPr>
        <w:t>10</w:t>
      </w:r>
      <w:r>
        <w:rPr>
          <w:rFonts w:hint="eastAsia"/>
          <w:color w:val="0D0D0D" w:themeColor="text1" w:themeTint="F2"/>
          <w:u w:val="single"/>
          <w14:textFill>
            <w14:solidFill>
              <w14:schemeClr w14:val="tx1">
                <w14:lumMod w14:val="95000"/>
                <w14:lumOff w14:val="5000"/>
              </w14:schemeClr>
            </w14:solidFill>
          </w14:textFill>
        </w:rPr>
        <w:t>、TSP、NH</w:t>
      </w:r>
      <w:r>
        <w:rPr>
          <w:rFonts w:hint="eastAsia"/>
          <w:color w:val="0D0D0D" w:themeColor="text1" w:themeTint="F2"/>
          <w:u w:val="single"/>
          <w:vertAlign w:val="sub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、H</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S、臭气浓度、非甲烷总烃和甲醇，对土壤环境的影响主要体现在大气沉降，结合Aerscreen估算模式计算结果，本项目对土壤环境的影响范围按Aerscreen估算模式计算结果的D10%计，上述红树林均不在项目土壤影响范围内，因此，区域敏感程度为不敏感。</w:t>
      </w:r>
    </w:p>
    <w:p w14:paraId="5128DA34">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项目用地面积为</w:t>
      </w:r>
      <w:r>
        <w:rPr>
          <w:color w:val="0D0D0D" w:themeColor="text1" w:themeTint="F2"/>
          <w:u w:val="single"/>
          <w14:textFill>
            <w14:solidFill>
              <w14:schemeClr w14:val="tx1">
                <w14:lumMod w14:val="95000"/>
                <w14:lumOff w14:val="5000"/>
              </w14:schemeClr>
            </w14:solidFill>
          </w14:textFill>
        </w:rPr>
        <w:t>33333.34</w:t>
      </w:r>
      <w:r>
        <w:rPr>
          <w:rFonts w:hint="eastAsia"/>
          <w:color w:val="0D0D0D" w:themeColor="text1" w:themeTint="F2"/>
          <w:u w:val="single"/>
          <w14:textFill>
            <w14:solidFill>
              <w14:schemeClr w14:val="tx1">
                <w14:lumMod w14:val="95000"/>
                <w14:lumOff w14:val="5000"/>
              </w14:schemeClr>
            </w14:solidFill>
          </w14:textFill>
        </w:rPr>
        <w:t>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，折合3.33hm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，占地规模属于小型。</w:t>
      </w:r>
    </w:p>
    <w:p w14:paraId="1E4EFDE5">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综上，项目土壤环境评价工作等级为二级。</w:t>
      </w:r>
    </w:p>
    <w:p w14:paraId="3B3A6351">
      <w:pPr>
        <w:pStyle w:val="10"/>
      </w:pPr>
      <w:r>
        <w:rPr>
          <w:rFonts w:hint="eastAsia"/>
        </w:rPr>
        <w:t>评价范围</w:t>
      </w:r>
    </w:p>
    <w:p w14:paraId="5074E65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项目用地及厂界外0.2km范围。</w:t>
      </w:r>
    </w:p>
    <w:p w14:paraId="26F5DEE2">
      <w:pPr>
        <w:pStyle w:val="9"/>
      </w:pPr>
      <w:bookmarkStart w:id="58" w:name="_Toc204062550"/>
      <w:r>
        <w:rPr>
          <w:rFonts w:hint="eastAsia"/>
        </w:rPr>
        <w:t>生态环境评价工作等级和评价范围</w:t>
      </w:r>
      <w:bookmarkEnd w:id="58"/>
    </w:p>
    <w:p w14:paraId="4A00E37B">
      <w:pPr>
        <w:pStyle w:val="10"/>
      </w:pPr>
      <w:r>
        <w:rPr>
          <w:rFonts w:hint="eastAsia"/>
        </w:rPr>
        <w:t>评价等级</w:t>
      </w:r>
    </w:p>
    <w:p w14:paraId="1F23C35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根据《环境影响评价技术导则  生态影响》（HJ19-2022），符合生态环境分区管控要求且位于原厂街界或永久用地范围内的污染影响类改扩建项目，位于已批准规划环评的产业园区且符合规划环评要求、不涉及生态敏感区的污染影响类建设项目，可不确定评价等级，直接进行生态影响简单分析。</w:t>
      </w:r>
    </w:p>
    <w:p w14:paraId="3A09E2C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为新建污染影响类建设项目，位于中国（广西）自由贸易试验区钦州港片区临海大道西面、勒沟东大街北面，符合园区规划要求，所在园区规划环评已取得批复（桂环函〔2021〕388号），生物柴油及工业级混合油管道沿园区公共管廊架空敷设，不涉及土建，因此，项目生态影响评价工作等级确定为简单分析。</w:t>
      </w:r>
    </w:p>
    <w:p w14:paraId="284CF383">
      <w:pPr>
        <w:pStyle w:val="10"/>
      </w:pPr>
      <w:r>
        <w:rPr>
          <w:rFonts w:hint="eastAsia"/>
        </w:rPr>
        <w:t>评价范围</w:t>
      </w:r>
    </w:p>
    <w:p w14:paraId="7781D79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项目用地及厂界外200m范围，生物柴油及工业级混合油管道200m范围。</w:t>
      </w:r>
    </w:p>
    <w:p w14:paraId="6C6BC467">
      <w:pPr>
        <w:pStyle w:val="9"/>
      </w:pPr>
      <w:bookmarkStart w:id="59" w:name="_Toc204062551"/>
      <w:r>
        <w:rPr>
          <w:rFonts w:hint="eastAsia"/>
        </w:rPr>
        <w:t>环境风险评价工作等级和评价范围</w:t>
      </w:r>
      <w:bookmarkEnd w:id="59"/>
    </w:p>
    <w:p w14:paraId="393172A3">
      <w:pPr>
        <w:pStyle w:val="10"/>
      </w:pPr>
      <w:r>
        <w:rPr>
          <w:rFonts w:hint="eastAsia"/>
        </w:rPr>
        <w:t>评价等级</w:t>
      </w:r>
    </w:p>
    <w:p w14:paraId="260BA7D1">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cs="Times New Roman"/>
          <w:color w:val="0D0D0D" w:themeColor="text1" w:themeTint="F2"/>
          <w:szCs w:val="24"/>
          <w14:textFill>
            <w14:solidFill>
              <w14:schemeClr w14:val="tx1">
                <w14:lumMod w14:val="95000"/>
                <w14:lumOff w14:val="5000"/>
              </w14:schemeClr>
            </w14:solidFill>
          </w14:textFill>
        </w:rPr>
        <w:t>根据《建设项目环境风险评价技术导则》（HJ169-2018），环境风险评价工作等级主要由建设项目涉及的物质及工艺系统危险性和所在地环境敏感性确定环境风险潜势，按照评价工作等级表划分，</w:t>
      </w:r>
      <w:r>
        <w:rPr>
          <w:rFonts w:hint="eastAsia" w:cs="Times New Roman"/>
          <w:color w:val="0D0D0D" w:themeColor="text1" w:themeTint="F2"/>
          <w:szCs w:val="24"/>
          <w14:textFill>
            <w14:solidFill>
              <w14:schemeClr w14:val="tx1">
                <w14:lumMod w14:val="95000"/>
                <w14:lumOff w14:val="5000"/>
              </w14:schemeClr>
            </w14:solidFill>
          </w14:textFill>
        </w:rPr>
        <w:t>详</w:t>
      </w:r>
      <w:r>
        <w:rPr>
          <w:rFonts w:cs="Times New Roman"/>
          <w:color w:val="0D0D0D" w:themeColor="text1" w:themeTint="F2"/>
          <w:szCs w:val="24"/>
          <w14:textFill>
            <w14:solidFill>
              <w14:schemeClr w14:val="tx1">
                <w14:lumMod w14:val="95000"/>
                <w14:lumOff w14:val="5000"/>
              </w14:schemeClr>
            </w14:solidFill>
          </w14:textFill>
        </w:rPr>
        <w:t>见表</w:t>
      </w:r>
      <w:r>
        <w:rPr>
          <w:rFonts w:hint="eastAsia" w:cs="Times New Roman"/>
          <w:color w:val="0D0D0D" w:themeColor="text1" w:themeTint="F2"/>
          <w:szCs w:val="24"/>
          <w14:textFill>
            <w14:solidFill>
              <w14:schemeClr w14:val="tx1">
                <w14:lumMod w14:val="95000"/>
                <w14:lumOff w14:val="5000"/>
              </w14:schemeClr>
            </w14:solidFill>
          </w14:textFill>
        </w:rPr>
        <w:t>2.5-11。</w:t>
      </w:r>
    </w:p>
    <w:p w14:paraId="5C9D7877">
      <w:pPr>
        <w:pStyle w:val="11"/>
        <w:numPr>
          <w:ilvl w:val="4"/>
          <w:numId w:val="20"/>
        </w:numPr>
      </w:pPr>
      <w:r>
        <w:rPr>
          <w:rFonts w:hint="eastAsia"/>
        </w:rPr>
        <w:t xml:space="preserve"> 评价工作等级划分</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8"/>
        <w:gridCol w:w="1847"/>
        <w:gridCol w:w="1848"/>
        <w:gridCol w:w="1848"/>
        <w:gridCol w:w="1851"/>
      </w:tblGrid>
      <w:tr w14:paraId="4512F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0" w:type="pct"/>
            <w:vAlign w:val="center"/>
          </w:tcPr>
          <w:p w14:paraId="488F0200">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环境风险潜势</w:t>
            </w:r>
          </w:p>
        </w:tc>
        <w:tc>
          <w:tcPr>
            <w:tcW w:w="999" w:type="pct"/>
            <w:vAlign w:val="center"/>
          </w:tcPr>
          <w:p w14:paraId="314C8574">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Ⅳ</w:t>
            </w:r>
            <w:r>
              <w:rPr>
                <w:rFonts w:cs="Times New Roman"/>
                <w:color w:val="0D0D0D" w:themeColor="text1" w:themeTint="F2"/>
                <w:sz w:val="21"/>
                <w14:textFill>
                  <w14:solidFill>
                    <w14:schemeClr w14:val="tx1">
                      <w14:lumMod w14:val="95000"/>
                      <w14:lumOff w14:val="5000"/>
                    </w14:schemeClr>
                  </w14:solidFill>
                </w14:textFill>
              </w:rPr>
              <w:t>、</w:t>
            </w:r>
            <w:r>
              <w:rPr>
                <w:rFonts w:hint="eastAsia" w:cs="Times New Roman"/>
                <w:color w:val="0D0D0D" w:themeColor="text1" w:themeTint="F2"/>
                <w:sz w:val="21"/>
                <w14:textFill>
                  <w14:solidFill>
                    <w14:schemeClr w14:val="tx1">
                      <w14:lumMod w14:val="95000"/>
                      <w14:lumOff w14:val="5000"/>
                    </w14:schemeClr>
                  </w14:solidFill>
                </w14:textFill>
              </w:rPr>
              <w:t>Ⅳ</w:t>
            </w:r>
            <w:r>
              <w:rPr>
                <w:rFonts w:cs="Times New Roman"/>
                <w:color w:val="0D0D0D" w:themeColor="text1" w:themeTint="F2"/>
                <w:sz w:val="21"/>
                <w14:textFill>
                  <w14:solidFill>
                    <w14:schemeClr w14:val="tx1">
                      <w14:lumMod w14:val="95000"/>
                      <w14:lumOff w14:val="5000"/>
                    </w14:schemeClr>
                  </w14:solidFill>
                </w14:textFill>
              </w:rPr>
              <w:t>+</w:t>
            </w:r>
          </w:p>
        </w:tc>
        <w:tc>
          <w:tcPr>
            <w:tcW w:w="1000" w:type="pct"/>
            <w:vAlign w:val="center"/>
          </w:tcPr>
          <w:p w14:paraId="5FA8899B">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Ⅲ</w:t>
            </w:r>
          </w:p>
        </w:tc>
        <w:tc>
          <w:tcPr>
            <w:tcW w:w="1000" w:type="pct"/>
            <w:vAlign w:val="center"/>
          </w:tcPr>
          <w:p w14:paraId="5FB3F0AC">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Ⅱ</w:t>
            </w:r>
          </w:p>
        </w:tc>
        <w:tc>
          <w:tcPr>
            <w:tcW w:w="1001" w:type="pct"/>
            <w:vAlign w:val="center"/>
          </w:tcPr>
          <w:p w14:paraId="1524EFD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Ⅰ</w:t>
            </w:r>
          </w:p>
        </w:tc>
      </w:tr>
      <w:tr w14:paraId="57864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0" w:type="pct"/>
            <w:vAlign w:val="center"/>
          </w:tcPr>
          <w:p w14:paraId="04428904">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重大危险源</w:t>
            </w:r>
          </w:p>
        </w:tc>
        <w:tc>
          <w:tcPr>
            <w:tcW w:w="999" w:type="pct"/>
            <w:vAlign w:val="center"/>
          </w:tcPr>
          <w:p w14:paraId="078F0A97">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一</w:t>
            </w:r>
          </w:p>
        </w:tc>
        <w:tc>
          <w:tcPr>
            <w:tcW w:w="1000" w:type="pct"/>
            <w:vAlign w:val="center"/>
          </w:tcPr>
          <w:p w14:paraId="1595F5C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二</w:t>
            </w:r>
          </w:p>
        </w:tc>
        <w:tc>
          <w:tcPr>
            <w:tcW w:w="1000" w:type="pct"/>
            <w:vAlign w:val="center"/>
          </w:tcPr>
          <w:p w14:paraId="3503CD75">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三</w:t>
            </w:r>
          </w:p>
        </w:tc>
        <w:tc>
          <w:tcPr>
            <w:tcW w:w="1001" w:type="pct"/>
            <w:vAlign w:val="center"/>
          </w:tcPr>
          <w:p w14:paraId="6DEDD160">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简单分析a</w:t>
            </w:r>
          </w:p>
        </w:tc>
      </w:tr>
      <w:tr w14:paraId="02147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vAlign w:val="center"/>
          </w:tcPr>
          <w:p w14:paraId="5498B995">
            <w:pPr>
              <w:spacing w:line="240" w:lineRule="auto"/>
              <w:jc w:val="left"/>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a是相对于详细评价工作内容而言，在描述危险物质、环境影响途径、环境危害后果、环境防范措施等方面给出定性的说明。</w:t>
            </w:r>
          </w:p>
        </w:tc>
      </w:tr>
    </w:tbl>
    <w:p w14:paraId="1836903F">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建设项目环境风险评价技术导则》（HJ/T169-2018）附录B，项目涉及的危险物质有甲醇、沼气（甲烷）和油类物质（生物柴油、柴油、废机油和导热油），项目危险物质数量与临界量比值Q=50.8584，属于10≤Q＜100，行业及生产工艺M2，危险物质及工艺系统危险性P等级为P2，环境风险潜势等级为Ⅳ级，确定风险评价工作级别为一级。其中，大气环境风险潜势为Ⅲ，大气环境风险评价等级为二级；地表水环境风险潜势为Ⅲ，地表水风险评价等级为二级；地下水环境风险潜势为Ⅳ，地下水风险评价等级为一级。</w:t>
      </w:r>
    </w:p>
    <w:p w14:paraId="228FAE6C">
      <w:pPr>
        <w:pStyle w:val="10"/>
      </w:pPr>
      <w:r>
        <w:rPr>
          <w:rFonts w:hint="eastAsia"/>
        </w:rPr>
        <w:t>评价范围</w:t>
      </w:r>
    </w:p>
    <w:p w14:paraId="617DD22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大气环境风险评价范围：项目厂界外扩5km的区域。</w:t>
      </w:r>
    </w:p>
    <w:p w14:paraId="1C797035">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地下水环境风险评价范围：同地下水评价范围。</w:t>
      </w:r>
    </w:p>
    <w:p w14:paraId="688EAA70">
      <w:pPr>
        <w:pStyle w:val="9"/>
      </w:pPr>
      <w:bookmarkStart w:id="60" w:name="_Toc204062552"/>
      <w:r>
        <w:rPr>
          <w:rFonts w:hint="eastAsia"/>
        </w:rPr>
        <w:t>环境评价工作等级和评价范围汇总</w:t>
      </w:r>
      <w:bookmarkEnd w:id="60"/>
    </w:p>
    <w:p w14:paraId="3AD6E102">
      <w:pPr>
        <w:adjustRightInd w:val="0"/>
        <w:snapToGrid w:val="0"/>
        <w:ind w:firstLine="480"/>
        <w:rPr>
          <w:rFonts w:cs="Times New Roman"/>
          <w:color w:val="0D0D0D" w:themeColor="text1" w:themeTint="F2"/>
          <w14:textFill>
            <w14:solidFill>
              <w14:schemeClr w14:val="tx1">
                <w14:lumMod w14:val="95000"/>
                <w14:lumOff w14:val="5000"/>
              </w14:schemeClr>
            </w14:solidFill>
          </w14:textFill>
        </w:rPr>
      </w:pPr>
      <w:r>
        <w:rPr>
          <w:rFonts w:cs="Times New Roman"/>
          <w:color w:val="0D0D0D" w:themeColor="text1" w:themeTint="F2"/>
          <w14:textFill>
            <w14:solidFill>
              <w14:schemeClr w14:val="tx1">
                <w14:lumMod w14:val="95000"/>
                <w14:lumOff w14:val="5000"/>
              </w14:schemeClr>
            </w14:solidFill>
          </w14:textFill>
        </w:rPr>
        <w:t>项目环境影响评价工作等级</w:t>
      </w:r>
      <w:r>
        <w:rPr>
          <w:rFonts w:hint="eastAsia" w:cs="Times New Roman"/>
          <w:color w:val="0D0D0D" w:themeColor="text1" w:themeTint="F2"/>
          <w14:textFill>
            <w14:solidFill>
              <w14:schemeClr w14:val="tx1">
                <w14:lumMod w14:val="95000"/>
                <w14:lumOff w14:val="5000"/>
              </w14:schemeClr>
            </w14:solidFill>
          </w14:textFill>
        </w:rPr>
        <w:t>和评价范围汇总详</w:t>
      </w:r>
      <w:r>
        <w:rPr>
          <w:rFonts w:cs="Times New Roman"/>
          <w:color w:val="0D0D0D" w:themeColor="text1" w:themeTint="F2"/>
          <w14:textFill>
            <w14:solidFill>
              <w14:schemeClr w14:val="tx1">
                <w14:lumMod w14:val="95000"/>
                <w14:lumOff w14:val="5000"/>
              </w14:schemeClr>
            </w14:solidFill>
          </w14:textFill>
        </w:rPr>
        <w:t>见表</w:t>
      </w:r>
      <w:r>
        <w:rPr>
          <w:rFonts w:hint="eastAsia" w:cs="Times New Roman"/>
          <w:color w:val="0D0D0D" w:themeColor="text1" w:themeTint="F2"/>
          <w14:textFill>
            <w14:solidFill>
              <w14:schemeClr w14:val="tx1">
                <w14:lumMod w14:val="95000"/>
                <w14:lumOff w14:val="5000"/>
              </w14:schemeClr>
            </w14:solidFill>
          </w14:textFill>
        </w:rPr>
        <w:t>2</w:t>
      </w:r>
      <w:r>
        <w:rPr>
          <w:rFonts w:cs="Times New Roman"/>
          <w:color w:val="0D0D0D" w:themeColor="text1" w:themeTint="F2"/>
          <w14:textFill>
            <w14:solidFill>
              <w14:schemeClr w14:val="tx1">
                <w14:lumMod w14:val="95000"/>
                <w14:lumOff w14:val="5000"/>
              </w14:schemeClr>
            </w14:solidFill>
          </w14:textFill>
        </w:rPr>
        <w:t>.5-1</w:t>
      </w:r>
      <w:r>
        <w:rPr>
          <w:rFonts w:hint="eastAsia" w:cs="Times New Roman"/>
          <w:color w:val="0D0D0D" w:themeColor="text1" w:themeTint="F2"/>
          <w14:textFill>
            <w14:solidFill>
              <w14:schemeClr w14:val="tx1">
                <w14:lumMod w14:val="95000"/>
                <w14:lumOff w14:val="5000"/>
              </w14:schemeClr>
            </w14:solidFill>
          </w14:textFill>
        </w:rPr>
        <w:t>2</w:t>
      </w:r>
      <w:r>
        <w:rPr>
          <w:rFonts w:cs="Times New Roman"/>
          <w:color w:val="0D0D0D" w:themeColor="text1" w:themeTint="F2"/>
          <w14:textFill>
            <w14:solidFill>
              <w14:schemeClr w14:val="tx1">
                <w14:lumMod w14:val="95000"/>
                <w14:lumOff w14:val="5000"/>
              </w14:schemeClr>
            </w14:solidFill>
          </w14:textFill>
        </w:rPr>
        <w:t>。</w:t>
      </w:r>
    </w:p>
    <w:p w14:paraId="76EC7698">
      <w:pPr>
        <w:pStyle w:val="11"/>
        <w:numPr>
          <w:ilvl w:val="4"/>
          <w:numId w:val="21"/>
        </w:numPr>
      </w:pPr>
      <w:r>
        <w:rPr>
          <w:rFonts w:hint="eastAsia"/>
        </w:rPr>
        <w:t xml:space="preserve"> 评价工作等级及评价范围汇总表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1956"/>
        <w:gridCol w:w="6050"/>
      </w:tblGrid>
      <w:tr w14:paraId="0C2E9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69" w:type="pct"/>
            <w:vAlign w:val="center"/>
          </w:tcPr>
          <w:p w14:paraId="7DEBC1A7">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bookmarkStart w:id="61" w:name="_Hlk166950580"/>
            <w:r>
              <w:rPr>
                <w:rFonts w:cs="Times New Roman"/>
                <w:color w:val="0D0D0D" w:themeColor="text1" w:themeTint="F2"/>
                <w:sz w:val="21"/>
                <w:u w:val="single"/>
                <w14:textFill>
                  <w14:solidFill>
                    <w14:schemeClr w14:val="tx1">
                      <w14:lumMod w14:val="95000"/>
                      <w14:lumOff w14:val="5000"/>
                    </w14:schemeClr>
                  </w14:solidFill>
                </w14:textFill>
              </w:rPr>
              <w:t>评价内容</w:t>
            </w:r>
          </w:p>
        </w:tc>
        <w:tc>
          <w:tcPr>
            <w:tcW w:w="1058" w:type="pct"/>
            <w:vAlign w:val="center"/>
          </w:tcPr>
          <w:p w14:paraId="58711E53">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评价等级</w:t>
            </w:r>
          </w:p>
        </w:tc>
        <w:tc>
          <w:tcPr>
            <w:tcW w:w="3273" w:type="pct"/>
            <w:vAlign w:val="center"/>
          </w:tcPr>
          <w:p w14:paraId="06A53D55">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评价范围</w:t>
            </w:r>
          </w:p>
        </w:tc>
      </w:tr>
      <w:tr w14:paraId="474C3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Align w:val="center"/>
          </w:tcPr>
          <w:p w14:paraId="736D61D7">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大气环境</w:t>
            </w:r>
          </w:p>
        </w:tc>
        <w:tc>
          <w:tcPr>
            <w:tcW w:w="1058" w:type="pct"/>
            <w:vAlign w:val="center"/>
          </w:tcPr>
          <w:p w14:paraId="464F5FA7">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二</w:t>
            </w:r>
            <w:r>
              <w:rPr>
                <w:rFonts w:cs="Times New Roman"/>
                <w:color w:val="0D0D0D" w:themeColor="text1" w:themeTint="F2"/>
                <w:sz w:val="21"/>
                <w:u w:val="single"/>
                <w14:textFill>
                  <w14:solidFill>
                    <w14:schemeClr w14:val="tx1">
                      <w14:lumMod w14:val="95000"/>
                      <w14:lumOff w14:val="5000"/>
                    </w14:schemeClr>
                  </w14:solidFill>
                </w14:textFill>
              </w:rPr>
              <w:t>级</w:t>
            </w:r>
          </w:p>
        </w:tc>
        <w:tc>
          <w:tcPr>
            <w:tcW w:w="3273" w:type="pct"/>
            <w:vAlign w:val="center"/>
          </w:tcPr>
          <w:p w14:paraId="6E156EE5">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以项目厂址为中心，边长5km</w:t>
            </w:r>
            <w:r>
              <w:rPr>
                <w:rFonts w:hint="eastAsia" w:cs="Times New Roman"/>
                <w:color w:val="0D0D0D" w:themeColor="text1" w:themeTint="F2"/>
                <w:sz w:val="21"/>
                <w:u w:val="single"/>
                <w14:textFill>
                  <w14:solidFill>
                    <w14:schemeClr w14:val="tx1">
                      <w14:lumMod w14:val="95000"/>
                      <w14:lumOff w14:val="5000"/>
                    </w14:schemeClr>
                  </w14:solidFill>
                </w14:textFill>
              </w:rPr>
              <w:t>的</w:t>
            </w:r>
            <w:r>
              <w:rPr>
                <w:rFonts w:cs="Times New Roman"/>
                <w:color w:val="0D0D0D" w:themeColor="text1" w:themeTint="F2"/>
                <w:sz w:val="21"/>
                <w:u w:val="single"/>
                <w14:textFill>
                  <w14:solidFill>
                    <w14:schemeClr w14:val="tx1">
                      <w14:lumMod w14:val="95000"/>
                      <w14:lumOff w14:val="5000"/>
                    </w14:schemeClr>
                  </w14:solidFill>
                </w14:textFill>
              </w:rPr>
              <w:t>矩形区域</w:t>
            </w:r>
          </w:p>
        </w:tc>
      </w:tr>
      <w:tr w14:paraId="23E8E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Align w:val="center"/>
          </w:tcPr>
          <w:p w14:paraId="50E38779">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地表水</w:t>
            </w:r>
          </w:p>
        </w:tc>
        <w:tc>
          <w:tcPr>
            <w:tcW w:w="1058" w:type="pct"/>
            <w:vAlign w:val="center"/>
          </w:tcPr>
          <w:p w14:paraId="43D11BB3">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三级B</w:t>
            </w:r>
          </w:p>
        </w:tc>
        <w:tc>
          <w:tcPr>
            <w:tcW w:w="3273" w:type="pct"/>
            <w:vAlign w:val="center"/>
          </w:tcPr>
          <w:p w14:paraId="48208DB3">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依托钦州胜科水务有限公司污水处理厂环境可行性分析</w:t>
            </w:r>
          </w:p>
        </w:tc>
      </w:tr>
      <w:tr w14:paraId="5C5B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Align w:val="center"/>
          </w:tcPr>
          <w:p w14:paraId="38E12628">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地下水</w:t>
            </w:r>
          </w:p>
        </w:tc>
        <w:tc>
          <w:tcPr>
            <w:tcW w:w="1058" w:type="pct"/>
            <w:vAlign w:val="center"/>
          </w:tcPr>
          <w:p w14:paraId="3081A732">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二</w:t>
            </w:r>
            <w:r>
              <w:rPr>
                <w:rFonts w:cs="Times New Roman"/>
                <w:color w:val="0D0D0D" w:themeColor="text1" w:themeTint="F2"/>
                <w:sz w:val="21"/>
                <w:u w:val="single"/>
                <w14:textFill>
                  <w14:solidFill>
                    <w14:schemeClr w14:val="tx1">
                      <w14:lumMod w14:val="95000"/>
                      <w14:lumOff w14:val="5000"/>
                    </w14:schemeClr>
                  </w14:solidFill>
                </w14:textFill>
              </w:rPr>
              <w:t>级</w:t>
            </w:r>
          </w:p>
        </w:tc>
        <w:tc>
          <w:tcPr>
            <w:tcW w:w="3273" w:type="pct"/>
            <w:vAlign w:val="center"/>
          </w:tcPr>
          <w:p w14:paraId="78F7FAC2">
            <w:pPr>
              <w:spacing w:line="240" w:lineRule="auto"/>
              <w:rPr>
                <w:color w:val="0D0D0D" w:themeColor="text1" w:themeTint="F2"/>
                <w:sz w:val="21"/>
                <w:u w:val="single"/>
                <w14:textFill>
                  <w14:solidFill>
                    <w14:schemeClr w14:val="tx1">
                      <w14:lumMod w14:val="95000"/>
                      <w14:lumOff w14:val="5000"/>
                    </w14:schemeClr>
                  </w14:solidFill>
                </w14:textFill>
              </w:rPr>
            </w:pPr>
            <w:r>
              <w:rPr>
                <w:rFonts w:hint="eastAsia"/>
                <w:color w:val="0D0D0D" w:themeColor="text1" w:themeTint="F2"/>
                <w:sz w:val="21"/>
                <w:u w:val="single"/>
                <w14:textFill>
                  <w14:solidFill>
                    <w14:schemeClr w14:val="tx1">
                      <w14:lumMod w14:val="95000"/>
                      <w14:lumOff w14:val="5000"/>
                    </w14:schemeClr>
                  </w14:solidFill>
                </w14:textFill>
              </w:rPr>
              <w:t>北侧向外延伸至水文地质单元地表（下）水汇水区的低洼地带，西侧以水井坑水文单元分水岭为界，南侧向以水井坑水文单元边界为界，东侧以钦州湾海域为界，评价范围约1.35km</w:t>
            </w:r>
            <w:r>
              <w:rPr>
                <w:rFonts w:hint="eastAsia"/>
                <w:color w:val="0D0D0D" w:themeColor="text1" w:themeTint="F2"/>
                <w:sz w:val="21"/>
                <w:u w:val="single"/>
                <w:vertAlign w:val="superscript"/>
                <w14:textFill>
                  <w14:solidFill>
                    <w14:schemeClr w14:val="tx1">
                      <w14:lumMod w14:val="95000"/>
                      <w14:lumOff w14:val="5000"/>
                    </w14:schemeClr>
                  </w14:solidFill>
                </w14:textFill>
              </w:rPr>
              <w:t>2</w:t>
            </w:r>
          </w:p>
        </w:tc>
      </w:tr>
      <w:tr w14:paraId="2CE8B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Align w:val="center"/>
          </w:tcPr>
          <w:p w14:paraId="4B4425B0">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声环境</w:t>
            </w:r>
          </w:p>
        </w:tc>
        <w:tc>
          <w:tcPr>
            <w:tcW w:w="1058" w:type="pct"/>
            <w:vAlign w:val="center"/>
          </w:tcPr>
          <w:p w14:paraId="10669C52">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三</w:t>
            </w:r>
            <w:r>
              <w:rPr>
                <w:rFonts w:cs="Times New Roman"/>
                <w:color w:val="0D0D0D" w:themeColor="text1" w:themeTint="F2"/>
                <w:sz w:val="21"/>
                <w:u w:val="single"/>
                <w14:textFill>
                  <w14:solidFill>
                    <w14:schemeClr w14:val="tx1">
                      <w14:lumMod w14:val="95000"/>
                      <w14:lumOff w14:val="5000"/>
                    </w14:schemeClr>
                  </w14:solidFill>
                </w14:textFill>
              </w:rPr>
              <w:t>级</w:t>
            </w:r>
          </w:p>
        </w:tc>
        <w:tc>
          <w:tcPr>
            <w:tcW w:w="3273" w:type="pct"/>
            <w:vAlign w:val="center"/>
          </w:tcPr>
          <w:p w14:paraId="4B879EED">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厂界外200m</w:t>
            </w:r>
            <w:r>
              <w:rPr>
                <w:rFonts w:hint="eastAsia" w:cs="Times New Roman"/>
                <w:color w:val="0D0D0D" w:themeColor="text1" w:themeTint="F2"/>
                <w:sz w:val="21"/>
                <w:u w:val="single"/>
                <w14:textFill>
                  <w14:solidFill>
                    <w14:schemeClr w14:val="tx1">
                      <w14:lumMod w14:val="95000"/>
                      <w14:lumOff w14:val="5000"/>
                    </w14:schemeClr>
                  </w14:solidFill>
                </w14:textFill>
              </w:rPr>
              <w:t>范围</w:t>
            </w:r>
          </w:p>
        </w:tc>
      </w:tr>
      <w:tr w14:paraId="335F4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Align w:val="center"/>
          </w:tcPr>
          <w:p w14:paraId="7716925A">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土壤环境</w:t>
            </w:r>
          </w:p>
        </w:tc>
        <w:tc>
          <w:tcPr>
            <w:tcW w:w="1058" w:type="pct"/>
            <w:vAlign w:val="center"/>
          </w:tcPr>
          <w:p w14:paraId="37F96DF3">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二级</w:t>
            </w:r>
          </w:p>
        </w:tc>
        <w:tc>
          <w:tcPr>
            <w:tcW w:w="3273" w:type="pct"/>
            <w:vAlign w:val="center"/>
          </w:tcPr>
          <w:p w14:paraId="76FBC270">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项目用地及厂界外0.2km范围</w:t>
            </w:r>
          </w:p>
        </w:tc>
      </w:tr>
      <w:tr w14:paraId="3BB1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Align w:val="center"/>
          </w:tcPr>
          <w:p w14:paraId="694B0E80">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生态环境</w:t>
            </w:r>
          </w:p>
        </w:tc>
        <w:tc>
          <w:tcPr>
            <w:tcW w:w="1058" w:type="pct"/>
            <w:vAlign w:val="center"/>
          </w:tcPr>
          <w:p w14:paraId="7F7834BD">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简单分析</w:t>
            </w:r>
          </w:p>
        </w:tc>
        <w:tc>
          <w:tcPr>
            <w:tcW w:w="3273" w:type="pct"/>
            <w:vAlign w:val="center"/>
          </w:tcPr>
          <w:p w14:paraId="418C3A9C">
            <w:pPr>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项目用地及厂界外200m范围，生物柴油及工业级混合油管道200m范围</w:t>
            </w:r>
          </w:p>
        </w:tc>
      </w:tr>
      <w:tr w14:paraId="1644F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Align w:val="center"/>
          </w:tcPr>
          <w:p w14:paraId="1B1357CD">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环境风险</w:t>
            </w:r>
          </w:p>
        </w:tc>
        <w:tc>
          <w:tcPr>
            <w:tcW w:w="1058" w:type="pct"/>
            <w:vAlign w:val="center"/>
          </w:tcPr>
          <w:p w14:paraId="501C09F2">
            <w:pPr>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大气风险等级为二级；地表水风险等级为二级；地下水风险等级为一级</w:t>
            </w:r>
          </w:p>
        </w:tc>
        <w:tc>
          <w:tcPr>
            <w:tcW w:w="3273" w:type="pct"/>
            <w:vAlign w:val="center"/>
          </w:tcPr>
          <w:p w14:paraId="47F8D97A">
            <w:pPr>
              <w:spacing w:line="240" w:lineRule="auto"/>
              <w:ind w:firstLine="420" w:firstLineChars="20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大气环境风险评价范围：项目厂界外扩5km的区域</w:t>
            </w:r>
          </w:p>
          <w:p w14:paraId="45BCB271">
            <w:pPr>
              <w:spacing w:line="240" w:lineRule="auto"/>
              <w:ind w:firstLine="420" w:firstLineChars="20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地表水风险评价范围：不设置</w:t>
            </w:r>
          </w:p>
          <w:p w14:paraId="5EB664C6">
            <w:pPr>
              <w:spacing w:line="240" w:lineRule="auto"/>
              <w:ind w:firstLine="42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地下水环境风险评价范围：同地下水评价范围</w:t>
            </w:r>
          </w:p>
        </w:tc>
      </w:tr>
      <w:bookmarkEnd w:id="61"/>
    </w:tbl>
    <w:p w14:paraId="3CF5EDDF">
      <w:pPr>
        <w:pStyle w:val="8"/>
      </w:pPr>
      <w:bookmarkStart w:id="62" w:name="_Toc204062553"/>
      <w:r>
        <w:rPr>
          <w:rFonts w:hint="eastAsia"/>
        </w:rPr>
        <w:t>环境保护目标</w:t>
      </w:r>
      <w:bookmarkEnd w:id="62"/>
    </w:p>
    <w:p w14:paraId="5F7FB47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经调查，项目位于工业园区内，评价范围内无文物、风景名胜、古迹分布、饮用水源保护区。环境保护目标分布情况详见表2.6-1~表2.6-3。</w:t>
      </w:r>
    </w:p>
    <w:p w14:paraId="3DBDBAAC">
      <w:pPr>
        <w:pStyle w:val="11"/>
        <w:sectPr>
          <w:pgSz w:w="11906" w:h="16838"/>
          <w:pgMar w:top="1440" w:right="1440" w:bottom="1440" w:left="1440" w:header="851" w:footer="992" w:gutter="0"/>
          <w:cols w:space="425" w:num="1"/>
          <w:docGrid w:type="lines" w:linePitch="312" w:charSpace="0"/>
        </w:sectPr>
      </w:pPr>
    </w:p>
    <w:p w14:paraId="308F0DF0">
      <w:pPr>
        <w:pStyle w:val="11"/>
        <w:numPr>
          <w:ilvl w:val="4"/>
          <w:numId w:val="22"/>
        </w:numPr>
      </w:pPr>
      <w:r>
        <w:rPr>
          <w:rFonts w:hint="eastAsia"/>
        </w:rPr>
        <w:t xml:space="preserve"> 大气环境保护目标一览表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4187"/>
        <w:gridCol w:w="1344"/>
        <w:gridCol w:w="1227"/>
        <w:gridCol w:w="1168"/>
        <w:gridCol w:w="1400"/>
        <w:gridCol w:w="1633"/>
        <w:gridCol w:w="1349"/>
        <w:gridCol w:w="1163"/>
      </w:tblGrid>
      <w:tr w14:paraId="6F0F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48" w:type="pct"/>
            <w:vMerge w:val="restart"/>
            <w:vAlign w:val="center"/>
          </w:tcPr>
          <w:p w14:paraId="6D6B557D">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序号</w:t>
            </w:r>
          </w:p>
        </w:tc>
        <w:tc>
          <w:tcPr>
            <w:tcW w:w="1477" w:type="pct"/>
            <w:vMerge w:val="restart"/>
            <w:vAlign w:val="center"/>
          </w:tcPr>
          <w:p w14:paraId="49BB93EC">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名称</w:t>
            </w:r>
          </w:p>
        </w:tc>
        <w:tc>
          <w:tcPr>
            <w:tcW w:w="906" w:type="pct"/>
            <w:gridSpan w:val="2"/>
            <w:vAlign w:val="center"/>
          </w:tcPr>
          <w:p w14:paraId="3C2693C9">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坐标</w:t>
            </w:r>
            <w:r>
              <w:rPr>
                <w:rFonts w:hint="eastAsia" w:cs="Times New Roman"/>
                <w:color w:val="0D0D0D" w:themeColor="text1" w:themeTint="F2"/>
                <w:sz w:val="21"/>
                <w:szCs w:val="21"/>
                <w14:textFill>
                  <w14:solidFill>
                    <w14:schemeClr w14:val="tx1">
                      <w14:lumMod w14:val="95000"/>
                      <w14:lumOff w14:val="5000"/>
                    </w14:schemeClr>
                  </w14:solidFill>
                </w14:textFill>
              </w:rPr>
              <w:t>（°）</w:t>
            </w:r>
          </w:p>
        </w:tc>
        <w:tc>
          <w:tcPr>
            <w:tcW w:w="412" w:type="pct"/>
            <w:vMerge w:val="restart"/>
            <w:vAlign w:val="center"/>
          </w:tcPr>
          <w:p w14:paraId="2F0051B3">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保护对象</w:t>
            </w:r>
          </w:p>
        </w:tc>
        <w:tc>
          <w:tcPr>
            <w:tcW w:w="494" w:type="pct"/>
            <w:vMerge w:val="restart"/>
            <w:vAlign w:val="center"/>
          </w:tcPr>
          <w:p w14:paraId="3A4B0509">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规模（人）</w:t>
            </w:r>
          </w:p>
        </w:tc>
        <w:tc>
          <w:tcPr>
            <w:tcW w:w="576" w:type="pct"/>
            <w:vMerge w:val="restart"/>
            <w:vAlign w:val="center"/>
          </w:tcPr>
          <w:p w14:paraId="6B0D0F45">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相对厂址方位</w:t>
            </w:r>
          </w:p>
        </w:tc>
        <w:tc>
          <w:tcPr>
            <w:tcW w:w="476" w:type="pct"/>
            <w:vMerge w:val="restart"/>
            <w:vAlign w:val="center"/>
          </w:tcPr>
          <w:p w14:paraId="6A251335">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距离（m）</w:t>
            </w:r>
          </w:p>
        </w:tc>
        <w:tc>
          <w:tcPr>
            <w:tcW w:w="412" w:type="pct"/>
            <w:vMerge w:val="restart"/>
            <w:vAlign w:val="center"/>
          </w:tcPr>
          <w:p w14:paraId="07E08F2E">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饮用水源</w:t>
            </w:r>
          </w:p>
        </w:tc>
      </w:tr>
      <w:tr w14:paraId="51306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48" w:type="pct"/>
            <w:vMerge w:val="continue"/>
            <w:vAlign w:val="center"/>
          </w:tcPr>
          <w:p w14:paraId="4AF514A4">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1477" w:type="pct"/>
            <w:vMerge w:val="continue"/>
            <w:vAlign w:val="center"/>
          </w:tcPr>
          <w:p w14:paraId="3725BE4E">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474" w:type="pct"/>
            <w:vAlign w:val="center"/>
          </w:tcPr>
          <w:p w14:paraId="3E02914D">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经度</w:t>
            </w:r>
          </w:p>
        </w:tc>
        <w:tc>
          <w:tcPr>
            <w:tcW w:w="433" w:type="pct"/>
            <w:vAlign w:val="center"/>
          </w:tcPr>
          <w:p w14:paraId="038CFE15">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纬度</w:t>
            </w:r>
          </w:p>
        </w:tc>
        <w:tc>
          <w:tcPr>
            <w:tcW w:w="412" w:type="pct"/>
            <w:vMerge w:val="continue"/>
            <w:vAlign w:val="center"/>
          </w:tcPr>
          <w:p w14:paraId="52FC2D91">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494" w:type="pct"/>
            <w:vMerge w:val="continue"/>
            <w:vAlign w:val="center"/>
          </w:tcPr>
          <w:p w14:paraId="2F6CE786">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576" w:type="pct"/>
            <w:vMerge w:val="continue"/>
            <w:vAlign w:val="center"/>
          </w:tcPr>
          <w:p w14:paraId="7FFABCF8">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476" w:type="pct"/>
            <w:vMerge w:val="continue"/>
            <w:vAlign w:val="center"/>
          </w:tcPr>
          <w:p w14:paraId="70A891EA">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412" w:type="pct"/>
            <w:vMerge w:val="continue"/>
            <w:vAlign w:val="center"/>
          </w:tcPr>
          <w:p w14:paraId="03E79F24">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r>
      <w:tr w14:paraId="4407A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9"/>
            <w:vAlign w:val="center"/>
          </w:tcPr>
          <w:p w14:paraId="20C1C0A1">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大气环境</w:t>
            </w:r>
          </w:p>
        </w:tc>
      </w:tr>
      <w:tr w14:paraId="1686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7E51FD9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w:t>
            </w:r>
          </w:p>
        </w:tc>
        <w:tc>
          <w:tcPr>
            <w:tcW w:w="1477" w:type="pct"/>
            <w:vAlign w:val="center"/>
          </w:tcPr>
          <w:p w14:paraId="2A7A2B20">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厚福沙村</w:t>
            </w:r>
          </w:p>
        </w:tc>
        <w:tc>
          <w:tcPr>
            <w:tcW w:w="474" w:type="pct"/>
            <w:vAlign w:val="center"/>
          </w:tcPr>
          <w:p w14:paraId="2BD536FA">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108.601295</w:t>
            </w:r>
          </w:p>
        </w:tc>
        <w:tc>
          <w:tcPr>
            <w:tcW w:w="433" w:type="pct"/>
            <w:vAlign w:val="center"/>
          </w:tcPr>
          <w:p w14:paraId="2DAAF22F">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21.718252</w:t>
            </w:r>
          </w:p>
        </w:tc>
        <w:tc>
          <w:tcPr>
            <w:tcW w:w="412" w:type="pct"/>
            <w:vAlign w:val="center"/>
          </w:tcPr>
          <w:p w14:paraId="1219B4FE">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居住区</w:t>
            </w:r>
          </w:p>
        </w:tc>
        <w:tc>
          <w:tcPr>
            <w:tcW w:w="494" w:type="pct"/>
            <w:vAlign w:val="center"/>
          </w:tcPr>
          <w:p w14:paraId="7F41256C">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350</w:t>
            </w:r>
          </w:p>
        </w:tc>
        <w:tc>
          <w:tcPr>
            <w:tcW w:w="576" w:type="pct"/>
            <w:vAlign w:val="center"/>
          </w:tcPr>
          <w:p w14:paraId="0145A66F">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西南</w:t>
            </w:r>
          </w:p>
        </w:tc>
        <w:tc>
          <w:tcPr>
            <w:tcW w:w="476" w:type="pct"/>
            <w:vAlign w:val="center"/>
          </w:tcPr>
          <w:p w14:paraId="680EB016">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2570</w:t>
            </w:r>
          </w:p>
        </w:tc>
        <w:tc>
          <w:tcPr>
            <w:tcW w:w="412" w:type="pct"/>
            <w:vAlign w:val="center"/>
          </w:tcPr>
          <w:p w14:paraId="4FBDA833">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自来水</w:t>
            </w:r>
          </w:p>
        </w:tc>
      </w:tr>
      <w:tr w14:paraId="06568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48CFEF0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w:t>
            </w:r>
          </w:p>
        </w:tc>
        <w:tc>
          <w:tcPr>
            <w:tcW w:w="1477" w:type="pct"/>
            <w:vAlign w:val="center"/>
          </w:tcPr>
          <w:p w14:paraId="6C11E5D0">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竹笼村</w:t>
            </w:r>
          </w:p>
        </w:tc>
        <w:tc>
          <w:tcPr>
            <w:tcW w:w="474" w:type="pct"/>
            <w:vAlign w:val="center"/>
          </w:tcPr>
          <w:p w14:paraId="05AA4996">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108.601214</w:t>
            </w:r>
          </w:p>
        </w:tc>
        <w:tc>
          <w:tcPr>
            <w:tcW w:w="433" w:type="pct"/>
            <w:vAlign w:val="center"/>
          </w:tcPr>
          <w:p w14:paraId="70D5BE0E">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21.728895</w:t>
            </w:r>
          </w:p>
        </w:tc>
        <w:tc>
          <w:tcPr>
            <w:tcW w:w="412" w:type="pct"/>
            <w:vAlign w:val="center"/>
          </w:tcPr>
          <w:p w14:paraId="52E912A0">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居住区</w:t>
            </w:r>
          </w:p>
        </w:tc>
        <w:tc>
          <w:tcPr>
            <w:tcW w:w="494" w:type="pct"/>
            <w:vAlign w:val="center"/>
          </w:tcPr>
          <w:p w14:paraId="527C618F">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300</w:t>
            </w:r>
          </w:p>
        </w:tc>
        <w:tc>
          <w:tcPr>
            <w:tcW w:w="576" w:type="pct"/>
            <w:vAlign w:val="center"/>
          </w:tcPr>
          <w:p w14:paraId="08B79833">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西南</w:t>
            </w:r>
          </w:p>
        </w:tc>
        <w:tc>
          <w:tcPr>
            <w:tcW w:w="476" w:type="pct"/>
            <w:vAlign w:val="center"/>
          </w:tcPr>
          <w:p w14:paraId="332A7E5E">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2280</w:t>
            </w:r>
          </w:p>
        </w:tc>
        <w:tc>
          <w:tcPr>
            <w:tcW w:w="412" w:type="pct"/>
            <w:vAlign w:val="center"/>
          </w:tcPr>
          <w:p w14:paraId="7831134A">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自来水</w:t>
            </w:r>
          </w:p>
        </w:tc>
      </w:tr>
      <w:tr w14:paraId="741F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40E8132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w:t>
            </w:r>
          </w:p>
        </w:tc>
        <w:tc>
          <w:tcPr>
            <w:tcW w:w="1477" w:type="pct"/>
            <w:vAlign w:val="center"/>
          </w:tcPr>
          <w:p w14:paraId="2233C810">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滨海社区</w:t>
            </w:r>
          </w:p>
        </w:tc>
        <w:tc>
          <w:tcPr>
            <w:tcW w:w="474" w:type="pct"/>
            <w:vAlign w:val="center"/>
          </w:tcPr>
          <w:p w14:paraId="378EE22F">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108.599712</w:t>
            </w:r>
          </w:p>
        </w:tc>
        <w:tc>
          <w:tcPr>
            <w:tcW w:w="433" w:type="pct"/>
            <w:vAlign w:val="center"/>
          </w:tcPr>
          <w:p w14:paraId="7F87ECC7">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21.732027</w:t>
            </w:r>
          </w:p>
        </w:tc>
        <w:tc>
          <w:tcPr>
            <w:tcW w:w="412" w:type="pct"/>
            <w:vAlign w:val="center"/>
          </w:tcPr>
          <w:p w14:paraId="1C9387FB">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居住区</w:t>
            </w:r>
          </w:p>
        </w:tc>
        <w:tc>
          <w:tcPr>
            <w:tcW w:w="494" w:type="pct"/>
            <w:vAlign w:val="center"/>
          </w:tcPr>
          <w:p w14:paraId="62D45B0F">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800</w:t>
            </w:r>
          </w:p>
        </w:tc>
        <w:tc>
          <w:tcPr>
            <w:tcW w:w="576" w:type="pct"/>
            <w:vAlign w:val="center"/>
          </w:tcPr>
          <w:p w14:paraId="07B6351B">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西</w:t>
            </w:r>
          </w:p>
        </w:tc>
        <w:tc>
          <w:tcPr>
            <w:tcW w:w="476" w:type="pct"/>
            <w:vAlign w:val="center"/>
          </w:tcPr>
          <w:p w14:paraId="7EB93505">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1440</w:t>
            </w:r>
          </w:p>
        </w:tc>
        <w:tc>
          <w:tcPr>
            <w:tcW w:w="412" w:type="pct"/>
            <w:vAlign w:val="center"/>
          </w:tcPr>
          <w:p w14:paraId="48CCF193">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自来水</w:t>
            </w:r>
          </w:p>
        </w:tc>
      </w:tr>
      <w:tr w14:paraId="7A7B8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09D78C4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4</w:t>
            </w:r>
          </w:p>
        </w:tc>
        <w:tc>
          <w:tcPr>
            <w:tcW w:w="1477" w:type="pct"/>
            <w:vAlign w:val="center"/>
          </w:tcPr>
          <w:p w14:paraId="2D2D67B8">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三块田村</w:t>
            </w:r>
          </w:p>
        </w:tc>
        <w:tc>
          <w:tcPr>
            <w:tcW w:w="474" w:type="pct"/>
            <w:vAlign w:val="center"/>
          </w:tcPr>
          <w:p w14:paraId="41F0D536">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108.603674</w:t>
            </w:r>
          </w:p>
        </w:tc>
        <w:tc>
          <w:tcPr>
            <w:tcW w:w="433" w:type="pct"/>
            <w:vAlign w:val="center"/>
          </w:tcPr>
          <w:p w14:paraId="4F304A83">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21.736257</w:t>
            </w:r>
          </w:p>
        </w:tc>
        <w:tc>
          <w:tcPr>
            <w:tcW w:w="412" w:type="pct"/>
            <w:vAlign w:val="center"/>
          </w:tcPr>
          <w:p w14:paraId="0AA771E3">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居住区</w:t>
            </w:r>
          </w:p>
        </w:tc>
        <w:tc>
          <w:tcPr>
            <w:tcW w:w="494" w:type="pct"/>
            <w:vAlign w:val="center"/>
          </w:tcPr>
          <w:p w14:paraId="54C8D353">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100</w:t>
            </w:r>
          </w:p>
        </w:tc>
        <w:tc>
          <w:tcPr>
            <w:tcW w:w="576" w:type="pct"/>
            <w:vAlign w:val="center"/>
          </w:tcPr>
          <w:p w14:paraId="37600A65">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西北</w:t>
            </w:r>
          </w:p>
        </w:tc>
        <w:tc>
          <w:tcPr>
            <w:tcW w:w="476" w:type="pct"/>
            <w:vAlign w:val="center"/>
          </w:tcPr>
          <w:p w14:paraId="41C4499B">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2000</w:t>
            </w:r>
          </w:p>
        </w:tc>
        <w:tc>
          <w:tcPr>
            <w:tcW w:w="412" w:type="pct"/>
            <w:vAlign w:val="center"/>
          </w:tcPr>
          <w:p w14:paraId="6AB32A0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自来水</w:t>
            </w:r>
          </w:p>
        </w:tc>
      </w:tr>
      <w:tr w14:paraId="5E039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31A1DA4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w:t>
            </w:r>
          </w:p>
        </w:tc>
        <w:tc>
          <w:tcPr>
            <w:tcW w:w="1477" w:type="pct"/>
            <w:vAlign w:val="center"/>
          </w:tcPr>
          <w:p w14:paraId="293EBD8A">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佛子坳村</w:t>
            </w:r>
          </w:p>
        </w:tc>
        <w:tc>
          <w:tcPr>
            <w:tcW w:w="474" w:type="pct"/>
            <w:vAlign w:val="center"/>
          </w:tcPr>
          <w:p w14:paraId="66FA2D60">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108.604655</w:t>
            </w:r>
          </w:p>
        </w:tc>
        <w:tc>
          <w:tcPr>
            <w:tcW w:w="433" w:type="pct"/>
            <w:vAlign w:val="center"/>
          </w:tcPr>
          <w:p w14:paraId="26AB9857">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21.742829</w:t>
            </w:r>
          </w:p>
        </w:tc>
        <w:tc>
          <w:tcPr>
            <w:tcW w:w="412" w:type="pct"/>
            <w:vAlign w:val="center"/>
          </w:tcPr>
          <w:p w14:paraId="1FFFFAA1">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居住区</w:t>
            </w:r>
          </w:p>
        </w:tc>
        <w:tc>
          <w:tcPr>
            <w:tcW w:w="494" w:type="pct"/>
            <w:vAlign w:val="center"/>
          </w:tcPr>
          <w:p w14:paraId="3A3EAEBB">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200</w:t>
            </w:r>
          </w:p>
        </w:tc>
        <w:tc>
          <w:tcPr>
            <w:tcW w:w="576" w:type="pct"/>
            <w:vAlign w:val="center"/>
          </w:tcPr>
          <w:p w14:paraId="11C21746">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西北</w:t>
            </w:r>
          </w:p>
        </w:tc>
        <w:tc>
          <w:tcPr>
            <w:tcW w:w="476" w:type="pct"/>
            <w:vAlign w:val="center"/>
          </w:tcPr>
          <w:p w14:paraId="4ACD0A8A">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2260</w:t>
            </w:r>
          </w:p>
        </w:tc>
        <w:tc>
          <w:tcPr>
            <w:tcW w:w="412" w:type="pct"/>
            <w:vAlign w:val="center"/>
          </w:tcPr>
          <w:p w14:paraId="00006F76">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自来水</w:t>
            </w:r>
          </w:p>
        </w:tc>
      </w:tr>
      <w:tr w14:paraId="54DDA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65A0B37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6</w:t>
            </w:r>
          </w:p>
        </w:tc>
        <w:tc>
          <w:tcPr>
            <w:tcW w:w="1477" w:type="pct"/>
            <w:vAlign w:val="center"/>
          </w:tcPr>
          <w:p w14:paraId="61113DBC">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钦州市第一人民医院钦州港分院</w:t>
            </w:r>
          </w:p>
        </w:tc>
        <w:tc>
          <w:tcPr>
            <w:tcW w:w="474" w:type="pct"/>
            <w:vAlign w:val="center"/>
          </w:tcPr>
          <w:p w14:paraId="6D7A31E8">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108.601820</w:t>
            </w:r>
          </w:p>
        </w:tc>
        <w:tc>
          <w:tcPr>
            <w:tcW w:w="433" w:type="pct"/>
            <w:vAlign w:val="center"/>
          </w:tcPr>
          <w:p w14:paraId="03D97E9B">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21.748569</w:t>
            </w:r>
          </w:p>
        </w:tc>
        <w:tc>
          <w:tcPr>
            <w:tcW w:w="412" w:type="pct"/>
            <w:vAlign w:val="center"/>
          </w:tcPr>
          <w:p w14:paraId="49DAB462">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医院</w:t>
            </w:r>
          </w:p>
        </w:tc>
        <w:tc>
          <w:tcPr>
            <w:tcW w:w="494" w:type="pct"/>
            <w:vAlign w:val="center"/>
          </w:tcPr>
          <w:p w14:paraId="6646F6A8">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500</w:t>
            </w:r>
          </w:p>
        </w:tc>
        <w:tc>
          <w:tcPr>
            <w:tcW w:w="576" w:type="pct"/>
            <w:vAlign w:val="center"/>
          </w:tcPr>
          <w:p w14:paraId="4B7169D1">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西北</w:t>
            </w:r>
          </w:p>
        </w:tc>
        <w:tc>
          <w:tcPr>
            <w:tcW w:w="476" w:type="pct"/>
            <w:vAlign w:val="center"/>
          </w:tcPr>
          <w:p w14:paraId="58F54826">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2810</w:t>
            </w:r>
          </w:p>
        </w:tc>
        <w:tc>
          <w:tcPr>
            <w:tcW w:w="412" w:type="pct"/>
            <w:vAlign w:val="center"/>
          </w:tcPr>
          <w:p w14:paraId="197E53B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自来水</w:t>
            </w:r>
          </w:p>
        </w:tc>
      </w:tr>
      <w:tr w14:paraId="091B0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76B3DDC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7</w:t>
            </w:r>
          </w:p>
        </w:tc>
        <w:tc>
          <w:tcPr>
            <w:tcW w:w="1477" w:type="pct"/>
            <w:vAlign w:val="center"/>
          </w:tcPr>
          <w:p w14:paraId="6D4FA4F5">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亚路江社区</w:t>
            </w:r>
          </w:p>
        </w:tc>
        <w:tc>
          <w:tcPr>
            <w:tcW w:w="474" w:type="pct"/>
            <w:vAlign w:val="center"/>
          </w:tcPr>
          <w:p w14:paraId="2378357B">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108.61002</w:t>
            </w:r>
          </w:p>
        </w:tc>
        <w:tc>
          <w:tcPr>
            <w:tcW w:w="433" w:type="pct"/>
            <w:vAlign w:val="center"/>
          </w:tcPr>
          <w:p w14:paraId="55A86781">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21.74594</w:t>
            </w:r>
          </w:p>
        </w:tc>
        <w:tc>
          <w:tcPr>
            <w:tcW w:w="412" w:type="pct"/>
            <w:vAlign w:val="center"/>
          </w:tcPr>
          <w:p w14:paraId="3897A611">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居住区</w:t>
            </w:r>
          </w:p>
        </w:tc>
        <w:tc>
          <w:tcPr>
            <w:tcW w:w="494" w:type="pct"/>
            <w:vAlign w:val="center"/>
          </w:tcPr>
          <w:p w14:paraId="2CCAAABA">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2000</w:t>
            </w:r>
          </w:p>
        </w:tc>
        <w:tc>
          <w:tcPr>
            <w:tcW w:w="576" w:type="pct"/>
            <w:vAlign w:val="center"/>
          </w:tcPr>
          <w:p w14:paraId="76045F29">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西北</w:t>
            </w:r>
          </w:p>
        </w:tc>
        <w:tc>
          <w:tcPr>
            <w:tcW w:w="476" w:type="pct"/>
            <w:vAlign w:val="center"/>
          </w:tcPr>
          <w:p w14:paraId="20C38D93">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2430</w:t>
            </w:r>
          </w:p>
        </w:tc>
        <w:tc>
          <w:tcPr>
            <w:tcW w:w="412" w:type="pct"/>
            <w:vAlign w:val="center"/>
          </w:tcPr>
          <w:p w14:paraId="24DD13C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自来水</w:t>
            </w:r>
          </w:p>
        </w:tc>
      </w:tr>
      <w:tr w14:paraId="58FB2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3D64FF0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8</w:t>
            </w:r>
          </w:p>
        </w:tc>
        <w:tc>
          <w:tcPr>
            <w:tcW w:w="1477" w:type="pct"/>
            <w:vAlign w:val="center"/>
          </w:tcPr>
          <w:p w14:paraId="6699BF22">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旧村</w:t>
            </w:r>
          </w:p>
        </w:tc>
        <w:tc>
          <w:tcPr>
            <w:tcW w:w="474" w:type="pct"/>
            <w:vAlign w:val="center"/>
          </w:tcPr>
          <w:p w14:paraId="33466FA4">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108.621127</w:t>
            </w:r>
          </w:p>
        </w:tc>
        <w:tc>
          <w:tcPr>
            <w:tcW w:w="433" w:type="pct"/>
            <w:vAlign w:val="center"/>
          </w:tcPr>
          <w:p w14:paraId="3035BCD2">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21.745650</w:t>
            </w:r>
          </w:p>
        </w:tc>
        <w:tc>
          <w:tcPr>
            <w:tcW w:w="412" w:type="pct"/>
            <w:vAlign w:val="center"/>
          </w:tcPr>
          <w:p w14:paraId="1899A0C1">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居住区</w:t>
            </w:r>
          </w:p>
        </w:tc>
        <w:tc>
          <w:tcPr>
            <w:tcW w:w="494" w:type="pct"/>
            <w:vAlign w:val="center"/>
          </w:tcPr>
          <w:p w14:paraId="58B8C522">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300</w:t>
            </w:r>
          </w:p>
        </w:tc>
        <w:tc>
          <w:tcPr>
            <w:tcW w:w="576" w:type="pct"/>
            <w:vAlign w:val="center"/>
          </w:tcPr>
          <w:p w14:paraId="436F8BF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西北</w:t>
            </w:r>
          </w:p>
        </w:tc>
        <w:tc>
          <w:tcPr>
            <w:tcW w:w="476" w:type="pct"/>
            <w:vAlign w:val="center"/>
          </w:tcPr>
          <w:p w14:paraId="2959115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1500</w:t>
            </w:r>
          </w:p>
        </w:tc>
        <w:tc>
          <w:tcPr>
            <w:tcW w:w="412" w:type="pct"/>
            <w:vAlign w:val="center"/>
          </w:tcPr>
          <w:p w14:paraId="07DF9D23">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自来水</w:t>
            </w:r>
          </w:p>
        </w:tc>
      </w:tr>
      <w:tr w14:paraId="0DBAE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25656EA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9</w:t>
            </w:r>
          </w:p>
        </w:tc>
        <w:tc>
          <w:tcPr>
            <w:tcW w:w="1477" w:type="pct"/>
            <w:vAlign w:val="center"/>
          </w:tcPr>
          <w:p w14:paraId="3F53C754">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沙岗头</w:t>
            </w:r>
          </w:p>
        </w:tc>
        <w:tc>
          <w:tcPr>
            <w:tcW w:w="474" w:type="pct"/>
            <w:vAlign w:val="center"/>
          </w:tcPr>
          <w:p w14:paraId="0C12AB40">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108.627972</w:t>
            </w:r>
          </w:p>
        </w:tc>
        <w:tc>
          <w:tcPr>
            <w:tcW w:w="433" w:type="pct"/>
            <w:vAlign w:val="center"/>
          </w:tcPr>
          <w:p w14:paraId="43405F89">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21.742475</w:t>
            </w:r>
          </w:p>
        </w:tc>
        <w:tc>
          <w:tcPr>
            <w:tcW w:w="412" w:type="pct"/>
            <w:vAlign w:val="center"/>
          </w:tcPr>
          <w:p w14:paraId="179DE7D5">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居住区</w:t>
            </w:r>
          </w:p>
        </w:tc>
        <w:tc>
          <w:tcPr>
            <w:tcW w:w="494" w:type="pct"/>
            <w:vAlign w:val="center"/>
          </w:tcPr>
          <w:p w14:paraId="1FD3A0C9">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460</w:t>
            </w:r>
          </w:p>
        </w:tc>
        <w:tc>
          <w:tcPr>
            <w:tcW w:w="576" w:type="pct"/>
            <w:vAlign w:val="center"/>
          </w:tcPr>
          <w:p w14:paraId="14CC00A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东北</w:t>
            </w:r>
          </w:p>
        </w:tc>
        <w:tc>
          <w:tcPr>
            <w:tcW w:w="476" w:type="pct"/>
            <w:vAlign w:val="center"/>
          </w:tcPr>
          <w:p w14:paraId="71420B5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1050</w:t>
            </w:r>
          </w:p>
        </w:tc>
        <w:tc>
          <w:tcPr>
            <w:tcW w:w="412" w:type="pct"/>
            <w:vAlign w:val="center"/>
          </w:tcPr>
          <w:p w14:paraId="5199FBBE">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自来水</w:t>
            </w:r>
          </w:p>
        </w:tc>
      </w:tr>
      <w:tr w14:paraId="3DFE7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4B85192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10</w:t>
            </w:r>
          </w:p>
        </w:tc>
        <w:tc>
          <w:tcPr>
            <w:tcW w:w="1477" w:type="pct"/>
            <w:vAlign w:val="center"/>
          </w:tcPr>
          <w:p w14:paraId="4C229C86">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天塘村</w:t>
            </w:r>
          </w:p>
        </w:tc>
        <w:tc>
          <w:tcPr>
            <w:tcW w:w="474" w:type="pct"/>
            <w:vAlign w:val="center"/>
          </w:tcPr>
          <w:p w14:paraId="66DB92B9">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108.632777</w:t>
            </w:r>
          </w:p>
        </w:tc>
        <w:tc>
          <w:tcPr>
            <w:tcW w:w="433" w:type="pct"/>
            <w:vAlign w:val="center"/>
          </w:tcPr>
          <w:p w14:paraId="1098BF71">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21.752942</w:t>
            </w:r>
          </w:p>
        </w:tc>
        <w:tc>
          <w:tcPr>
            <w:tcW w:w="412" w:type="pct"/>
            <w:vAlign w:val="center"/>
          </w:tcPr>
          <w:p w14:paraId="4EF50BAC">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居住区</w:t>
            </w:r>
          </w:p>
        </w:tc>
        <w:tc>
          <w:tcPr>
            <w:tcW w:w="494" w:type="pct"/>
            <w:vAlign w:val="center"/>
          </w:tcPr>
          <w:p w14:paraId="29CD931D">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400</w:t>
            </w:r>
          </w:p>
        </w:tc>
        <w:tc>
          <w:tcPr>
            <w:tcW w:w="576" w:type="pct"/>
            <w:vAlign w:val="center"/>
          </w:tcPr>
          <w:p w14:paraId="4E9179E7">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东北</w:t>
            </w:r>
          </w:p>
        </w:tc>
        <w:tc>
          <w:tcPr>
            <w:tcW w:w="476" w:type="pct"/>
            <w:vAlign w:val="center"/>
          </w:tcPr>
          <w:p w14:paraId="03B49105">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2140</w:t>
            </w:r>
          </w:p>
        </w:tc>
        <w:tc>
          <w:tcPr>
            <w:tcW w:w="412" w:type="pct"/>
            <w:vAlign w:val="center"/>
          </w:tcPr>
          <w:p w14:paraId="22D392F7">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自来水</w:t>
            </w:r>
          </w:p>
        </w:tc>
      </w:tr>
      <w:tr w14:paraId="28CBC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677C1F2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11</w:t>
            </w:r>
          </w:p>
        </w:tc>
        <w:tc>
          <w:tcPr>
            <w:tcW w:w="1477" w:type="pct"/>
            <w:vAlign w:val="center"/>
          </w:tcPr>
          <w:p w14:paraId="1FC4A551">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金鼓社区</w:t>
            </w:r>
          </w:p>
        </w:tc>
        <w:tc>
          <w:tcPr>
            <w:tcW w:w="474" w:type="pct"/>
            <w:vAlign w:val="center"/>
          </w:tcPr>
          <w:p w14:paraId="5606CF18">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108.643924</w:t>
            </w:r>
          </w:p>
        </w:tc>
        <w:tc>
          <w:tcPr>
            <w:tcW w:w="433" w:type="pct"/>
            <w:vAlign w:val="center"/>
          </w:tcPr>
          <w:p w14:paraId="5E43AE2C">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21.739415</w:t>
            </w:r>
          </w:p>
        </w:tc>
        <w:tc>
          <w:tcPr>
            <w:tcW w:w="412" w:type="pct"/>
            <w:vAlign w:val="center"/>
          </w:tcPr>
          <w:p w14:paraId="657DC1BF">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居住区</w:t>
            </w:r>
          </w:p>
        </w:tc>
        <w:tc>
          <w:tcPr>
            <w:tcW w:w="494" w:type="pct"/>
            <w:vAlign w:val="center"/>
          </w:tcPr>
          <w:p w14:paraId="247EAE94">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2000</w:t>
            </w:r>
          </w:p>
        </w:tc>
        <w:tc>
          <w:tcPr>
            <w:tcW w:w="576" w:type="pct"/>
            <w:vAlign w:val="center"/>
          </w:tcPr>
          <w:p w14:paraId="2AFC36B6">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东北</w:t>
            </w:r>
          </w:p>
        </w:tc>
        <w:tc>
          <w:tcPr>
            <w:tcW w:w="476" w:type="pct"/>
            <w:vAlign w:val="center"/>
          </w:tcPr>
          <w:p w14:paraId="52AF2823">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2147</w:t>
            </w:r>
          </w:p>
        </w:tc>
        <w:tc>
          <w:tcPr>
            <w:tcW w:w="412" w:type="pct"/>
            <w:vAlign w:val="center"/>
          </w:tcPr>
          <w:p w14:paraId="587D65AC">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自来水</w:t>
            </w:r>
          </w:p>
        </w:tc>
      </w:tr>
      <w:tr w14:paraId="551C3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0CDD302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12</w:t>
            </w:r>
          </w:p>
        </w:tc>
        <w:tc>
          <w:tcPr>
            <w:tcW w:w="1477" w:type="pct"/>
            <w:vAlign w:val="center"/>
          </w:tcPr>
          <w:p w14:paraId="1C8C63C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金鼓江红树林区</w:t>
            </w:r>
          </w:p>
        </w:tc>
        <w:tc>
          <w:tcPr>
            <w:tcW w:w="474" w:type="pct"/>
            <w:vAlign w:val="center"/>
          </w:tcPr>
          <w:p w14:paraId="50DC20C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c>
          <w:tcPr>
            <w:tcW w:w="433" w:type="pct"/>
            <w:vAlign w:val="center"/>
          </w:tcPr>
          <w:p w14:paraId="27E1820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c>
          <w:tcPr>
            <w:tcW w:w="412" w:type="pct"/>
            <w:vAlign w:val="center"/>
          </w:tcPr>
          <w:p w14:paraId="114702D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c>
          <w:tcPr>
            <w:tcW w:w="494" w:type="pct"/>
            <w:vAlign w:val="center"/>
          </w:tcPr>
          <w:p w14:paraId="6C43DA73">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c>
          <w:tcPr>
            <w:tcW w:w="576" w:type="pct"/>
            <w:vAlign w:val="center"/>
          </w:tcPr>
          <w:p w14:paraId="0220556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东北</w:t>
            </w:r>
          </w:p>
        </w:tc>
        <w:tc>
          <w:tcPr>
            <w:tcW w:w="476" w:type="pct"/>
            <w:vAlign w:val="center"/>
          </w:tcPr>
          <w:p w14:paraId="2D79325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2300</w:t>
            </w:r>
          </w:p>
        </w:tc>
        <w:tc>
          <w:tcPr>
            <w:tcW w:w="412" w:type="pct"/>
            <w:vAlign w:val="center"/>
          </w:tcPr>
          <w:p w14:paraId="1D8D69B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r>
      <w:tr w14:paraId="727E1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47EC74A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13</w:t>
            </w:r>
          </w:p>
        </w:tc>
        <w:tc>
          <w:tcPr>
            <w:tcW w:w="1477" w:type="pct"/>
            <w:vAlign w:val="center"/>
          </w:tcPr>
          <w:p w14:paraId="5543825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独山红树林斑块</w:t>
            </w:r>
          </w:p>
        </w:tc>
        <w:tc>
          <w:tcPr>
            <w:tcW w:w="474" w:type="pct"/>
            <w:vAlign w:val="center"/>
          </w:tcPr>
          <w:p w14:paraId="19ECC18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c>
          <w:tcPr>
            <w:tcW w:w="433" w:type="pct"/>
            <w:vAlign w:val="center"/>
          </w:tcPr>
          <w:p w14:paraId="2AC994D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c>
          <w:tcPr>
            <w:tcW w:w="412" w:type="pct"/>
            <w:vAlign w:val="center"/>
          </w:tcPr>
          <w:p w14:paraId="1260B1F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c>
          <w:tcPr>
            <w:tcW w:w="494" w:type="pct"/>
            <w:vAlign w:val="center"/>
          </w:tcPr>
          <w:p w14:paraId="2296FAE3">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c>
          <w:tcPr>
            <w:tcW w:w="576" w:type="pct"/>
            <w:vAlign w:val="center"/>
          </w:tcPr>
          <w:p w14:paraId="1523A0D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西北</w:t>
            </w:r>
          </w:p>
        </w:tc>
        <w:tc>
          <w:tcPr>
            <w:tcW w:w="476" w:type="pct"/>
            <w:vAlign w:val="center"/>
          </w:tcPr>
          <w:p w14:paraId="12DF4CA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390</w:t>
            </w:r>
          </w:p>
        </w:tc>
        <w:tc>
          <w:tcPr>
            <w:tcW w:w="412" w:type="pct"/>
            <w:vAlign w:val="center"/>
          </w:tcPr>
          <w:p w14:paraId="1B8C5AA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r>
      <w:tr w14:paraId="3E1CF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9"/>
            <w:vAlign w:val="center"/>
          </w:tcPr>
          <w:p w14:paraId="1625AAF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环境风险</w:t>
            </w:r>
          </w:p>
        </w:tc>
      </w:tr>
      <w:tr w14:paraId="10249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7D4D7B5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w:t>
            </w:r>
          </w:p>
        </w:tc>
        <w:tc>
          <w:tcPr>
            <w:tcW w:w="1477" w:type="pct"/>
            <w:vAlign w:val="center"/>
          </w:tcPr>
          <w:p w14:paraId="2081C97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厚福沙村</w:t>
            </w:r>
          </w:p>
        </w:tc>
        <w:tc>
          <w:tcPr>
            <w:tcW w:w="474" w:type="pct"/>
            <w:vAlign w:val="center"/>
          </w:tcPr>
          <w:p w14:paraId="2E19D23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108.601295</w:t>
            </w:r>
          </w:p>
        </w:tc>
        <w:tc>
          <w:tcPr>
            <w:tcW w:w="433" w:type="pct"/>
            <w:vAlign w:val="center"/>
          </w:tcPr>
          <w:p w14:paraId="2FA32E0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21.718252</w:t>
            </w:r>
          </w:p>
        </w:tc>
        <w:tc>
          <w:tcPr>
            <w:tcW w:w="412" w:type="pct"/>
            <w:vAlign w:val="center"/>
          </w:tcPr>
          <w:p w14:paraId="2228868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居住区</w:t>
            </w:r>
          </w:p>
        </w:tc>
        <w:tc>
          <w:tcPr>
            <w:tcW w:w="494" w:type="pct"/>
            <w:vAlign w:val="center"/>
          </w:tcPr>
          <w:p w14:paraId="07BE8CD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350</w:t>
            </w:r>
          </w:p>
        </w:tc>
        <w:tc>
          <w:tcPr>
            <w:tcW w:w="576" w:type="pct"/>
            <w:vAlign w:val="center"/>
          </w:tcPr>
          <w:p w14:paraId="342CED3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西南</w:t>
            </w:r>
          </w:p>
        </w:tc>
        <w:tc>
          <w:tcPr>
            <w:tcW w:w="476" w:type="pct"/>
            <w:vAlign w:val="center"/>
          </w:tcPr>
          <w:p w14:paraId="3A9629A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2570</w:t>
            </w:r>
          </w:p>
        </w:tc>
        <w:tc>
          <w:tcPr>
            <w:tcW w:w="412" w:type="pct"/>
            <w:vAlign w:val="center"/>
          </w:tcPr>
          <w:p w14:paraId="2DC8EC7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自来水</w:t>
            </w:r>
          </w:p>
        </w:tc>
      </w:tr>
      <w:tr w14:paraId="54F0B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4C6FA30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w:t>
            </w:r>
          </w:p>
        </w:tc>
        <w:tc>
          <w:tcPr>
            <w:tcW w:w="1477" w:type="pct"/>
            <w:vAlign w:val="center"/>
          </w:tcPr>
          <w:p w14:paraId="71CDA365">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竹笼村</w:t>
            </w:r>
          </w:p>
        </w:tc>
        <w:tc>
          <w:tcPr>
            <w:tcW w:w="474" w:type="pct"/>
            <w:vAlign w:val="center"/>
          </w:tcPr>
          <w:p w14:paraId="79025CD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108.601214</w:t>
            </w:r>
          </w:p>
        </w:tc>
        <w:tc>
          <w:tcPr>
            <w:tcW w:w="433" w:type="pct"/>
            <w:vAlign w:val="center"/>
          </w:tcPr>
          <w:p w14:paraId="6AAF92F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21.728895</w:t>
            </w:r>
          </w:p>
        </w:tc>
        <w:tc>
          <w:tcPr>
            <w:tcW w:w="412" w:type="pct"/>
            <w:vAlign w:val="center"/>
          </w:tcPr>
          <w:p w14:paraId="6CA6143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居住区</w:t>
            </w:r>
          </w:p>
        </w:tc>
        <w:tc>
          <w:tcPr>
            <w:tcW w:w="494" w:type="pct"/>
            <w:vAlign w:val="center"/>
          </w:tcPr>
          <w:p w14:paraId="3A62D0A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300</w:t>
            </w:r>
          </w:p>
        </w:tc>
        <w:tc>
          <w:tcPr>
            <w:tcW w:w="576" w:type="pct"/>
            <w:vAlign w:val="center"/>
          </w:tcPr>
          <w:p w14:paraId="7BEAAF7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西南</w:t>
            </w:r>
          </w:p>
        </w:tc>
        <w:tc>
          <w:tcPr>
            <w:tcW w:w="476" w:type="pct"/>
            <w:vAlign w:val="center"/>
          </w:tcPr>
          <w:p w14:paraId="755B4A0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2280</w:t>
            </w:r>
          </w:p>
        </w:tc>
        <w:tc>
          <w:tcPr>
            <w:tcW w:w="412" w:type="pct"/>
            <w:vAlign w:val="center"/>
          </w:tcPr>
          <w:p w14:paraId="4A3456B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自来水</w:t>
            </w:r>
          </w:p>
        </w:tc>
      </w:tr>
      <w:tr w14:paraId="40E19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4CF44C9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w:t>
            </w:r>
          </w:p>
        </w:tc>
        <w:tc>
          <w:tcPr>
            <w:tcW w:w="1477" w:type="pct"/>
            <w:vAlign w:val="center"/>
          </w:tcPr>
          <w:p w14:paraId="532AC75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滨海社区</w:t>
            </w:r>
          </w:p>
        </w:tc>
        <w:tc>
          <w:tcPr>
            <w:tcW w:w="474" w:type="pct"/>
            <w:vAlign w:val="center"/>
          </w:tcPr>
          <w:p w14:paraId="2B2E654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108.599712</w:t>
            </w:r>
          </w:p>
        </w:tc>
        <w:tc>
          <w:tcPr>
            <w:tcW w:w="433" w:type="pct"/>
            <w:vAlign w:val="center"/>
          </w:tcPr>
          <w:p w14:paraId="2DF0BE6C">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21.732027</w:t>
            </w:r>
          </w:p>
        </w:tc>
        <w:tc>
          <w:tcPr>
            <w:tcW w:w="412" w:type="pct"/>
            <w:vAlign w:val="center"/>
          </w:tcPr>
          <w:p w14:paraId="07C5F65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居住区</w:t>
            </w:r>
          </w:p>
        </w:tc>
        <w:tc>
          <w:tcPr>
            <w:tcW w:w="494" w:type="pct"/>
            <w:vAlign w:val="center"/>
          </w:tcPr>
          <w:p w14:paraId="5088884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800</w:t>
            </w:r>
          </w:p>
        </w:tc>
        <w:tc>
          <w:tcPr>
            <w:tcW w:w="576" w:type="pct"/>
            <w:vAlign w:val="center"/>
          </w:tcPr>
          <w:p w14:paraId="20DFE9E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西</w:t>
            </w:r>
          </w:p>
        </w:tc>
        <w:tc>
          <w:tcPr>
            <w:tcW w:w="476" w:type="pct"/>
            <w:vAlign w:val="center"/>
          </w:tcPr>
          <w:p w14:paraId="491BFC0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1440</w:t>
            </w:r>
          </w:p>
        </w:tc>
        <w:tc>
          <w:tcPr>
            <w:tcW w:w="412" w:type="pct"/>
            <w:vAlign w:val="center"/>
          </w:tcPr>
          <w:p w14:paraId="51A1A27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自来水</w:t>
            </w:r>
          </w:p>
        </w:tc>
      </w:tr>
      <w:tr w14:paraId="6D36F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4348A7C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4</w:t>
            </w:r>
          </w:p>
        </w:tc>
        <w:tc>
          <w:tcPr>
            <w:tcW w:w="1477" w:type="pct"/>
            <w:vAlign w:val="center"/>
          </w:tcPr>
          <w:p w14:paraId="5558F443">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三块田村</w:t>
            </w:r>
          </w:p>
        </w:tc>
        <w:tc>
          <w:tcPr>
            <w:tcW w:w="474" w:type="pct"/>
            <w:vAlign w:val="center"/>
          </w:tcPr>
          <w:p w14:paraId="509F9FA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108.603674</w:t>
            </w:r>
          </w:p>
        </w:tc>
        <w:tc>
          <w:tcPr>
            <w:tcW w:w="433" w:type="pct"/>
            <w:vAlign w:val="center"/>
          </w:tcPr>
          <w:p w14:paraId="16BBD5E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21.736257</w:t>
            </w:r>
          </w:p>
        </w:tc>
        <w:tc>
          <w:tcPr>
            <w:tcW w:w="412" w:type="pct"/>
            <w:vAlign w:val="center"/>
          </w:tcPr>
          <w:p w14:paraId="3F09E6C5">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居住区</w:t>
            </w:r>
          </w:p>
        </w:tc>
        <w:tc>
          <w:tcPr>
            <w:tcW w:w="494" w:type="pct"/>
            <w:vAlign w:val="center"/>
          </w:tcPr>
          <w:p w14:paraId="79E6E3F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100</w:t>
            </w:r>
          </w:p>
        </w:tc>
        <w:tc>
          <w:tcPr>
            <w:tcW w:w="576" w:type="pct"/>
            <w:vAlign w:val="center"/>
          </w:tcPr>
          <w:p w14:paraId="29C450C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西北</w:t>
            </w:r>
          </w:p>
        </w:tc>
        <w:tc>
          <w:tcPr>
            <w:tcW w:w="476" w:type="pct"/>
            <w:vAlign w:val="center"/>
          </w:tcPr>
          <w:p w14:paraId="6B5A9D4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2000</w:t>
            </w:r>
          </w:p>
        </w:tc>
        <w:tc>
          <w:tcPr>
            <w:tcW w:w="412" w:type="pct"/>
            <w:vAlign w:val="center"/>
          </w:tcPr>
          <w:p w14:paraId="0E51A51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自来水</w:t>
            </w:r>
          </w:p>
        </w:tc>
      </w:tr>
      <w:tr w14:paraId="00BE6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3BF4DAB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w:t>
            </w:r>
          </w:p>
        </w:tc>
        <w:tc>
          <w:tcPr>
            <w:tcW w:w="1477" w:type="pct"/>
            <w:vAlign w:val="center"/>
          </w:tcPr>
          <w:p w14:paraId="3B766A5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佛子坳村</w:t>
            </w:r>
          </w:p>
        </w:tc>
        <w:tc>
          <w:tcPr>
            <w:tcW w:w="474" w:type="pct"/>
            <w:vAlign w:val="center"/>
          </w:tcPr>
          <w:p w14:paraId="48DAE56C">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108.604655</w:t>
            </w:r>
          </w:p>
        </w:tc>
        <w:tc>
          <w:tcPr>
            <w:tcW w:w="433" w:type="pct"/>
            <w:vAlign w:val="center"/>
          </w:tcPr>
          <w:p w14:paraId="10A03B33">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21.742829</w:t>
            </w:r>
          </w:p>
        </w:tc>
        <w:tc>
          <w:tcPr>
            <w:tcW w:w="412" w:type="pct"/>
            <w:vAlign w:val="center"/>
          </w:tcPr>
          <w:p w14:paraId="6E0BDAA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居住区</w:t>
            </w:r>
          </w:p>
        </w:tc>
        <w:tc>
          <w:tcPr>
            <w:tcW w:w="494" w:type="pct"/>
            <w:vAlign w:val="center"/>
          </w:tcPr>
          <w:p w14:paraId="57CF612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200</w:t>
            </w:r>
          </w:p>
        </w:tc>
        <w:tc>
          <w:tcPr>
            <w:tcW w:w="576" w:type="pct"/>
            <w:vAlign w:val="center"/>
          </w:tcPr>
          <w:p w14:paraId="49CEE903">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西北</w:t>
            </w:r>
          </w:p>
        </w:tc>
        <w:tc>
          <w:tcPr>
            <w:tcW w:w="476" w:type="pct"/>
            <w:vAlign w:val="center"/>
          </w:tcPr>
          <w:p w14:paraId="21CDFBB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2260</w:t>
            </w:r>
          </w:p>
        </w:tc>
        <w:tc>
          <w:tcPr>
            <w:tcW w:w="412" w:type="pct"/>
            <w:vAlign w:val="center"/>
          </w:tcPr>
          <w:p w14:paraId="763F983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自来水</w:t>
            </w:r>
          </w:p>
        </w:tc>
      </w:tr>
      <w:tr w14:paraId="7671D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5F011F0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6</w:t>
            </w:r>
          </w:p>
        </w:tc>
        <w:tc>
          <w:tcPr>
            <w:tcW w:w="1477" w:type="pct"/>
            <w:vAlign w:val="center"/>
          </w:tcPr>
          <w:p w14:paraId="490F8CA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钦州市第一人民医院钦州港分院</w:t>
            </w:r>
          </w:p>
        </w:tc>
        <w:tc>
          <w:tcPr>
            <w:tcW w:w="474" w:type="pct"/>
            <w:vAlign w:val="center"/>
          </w:tcPr>
          <w:p w14:paraId="7492F4D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108.601820</w:t>
            </w:r>
          </w:p>
        </w:tc>
        <w:tc>
          <w:tcPr>
            <w:tcW w:w="433" w:type="pct"/>
            <w:vAlign w:val="center"/>
          </w:tcPr>
          <w:p w14:paraId="44C7118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21.748569</w:t>
            </w:r>
          </w:p>
        </w:tc>
        <w:tc>
          <w:tcPr>
            <w:tcW w:w="412" w:type="pct"/>
            <w:vAlign w:val="center"/>
          </w:tcPr>
          <w:p w14:paraId="23F9326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医院</w:t>
            </w:r>
          </w:p>
        </w:tc>
        <w:tc>
          <w:tcPr>
            <w:tcW w:w="494" w:type="pct"/>
            <w:vAlign w:val="center"/>
          </w:tcPr>
          <w:p w14:paraId="2A0F6DA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500</w:t>
            </w:r>
          </w:p>
        </w:tc>
        <w:tc>
          <w:tcPr>
            <w:tcW w:w="576" w:type="pct"/>
            <w:vAlign w:val="center"/>
          </w:tcPr>
          <w:p w14:paraId="2CEDE65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西北</w:t>
            </w:r>
          </w:p>
        </w:tc>
        <w:tc>
          <w:tcPr>
            <w:tcW w:w="476" w:type="pct"/>
            <w:vAlign w:val="center"/>
          </w:tcPr>
          <w:p w14:paraId="3DAABFE5">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2810</w:t>
            </w:r>
          </w:p>
        </w:tc>
        <w:tc>
          <w:tcPr>
            <w:tcW w:w="412" w:type="pct"/>
            <w:vAlign w:val="center"/>
          </w:tcPr>
          <w:p w14:paraId="5A908CA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自来水</w:t>
            </w:r>
          </w:p>
        </w:tc>
      </w:tr>
      <w:tr w14:paraId="73E0D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6A19782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7</w:t>
            </w:r>
          </w:p>
        </w:tc>
        <w:tc>
          <w:tcPr>
            <w:tcW w:w="1477" w:type="pct"/>
            <w:vAlign w:val="center"/>
          </w:tcPr>
          <w:p w14:paraId="6E24136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亚路江社区</w:t>
            </w:r>
          </w:p>
        </w:tc>
        <w:tc>
          <w:tcPr>
            <w:tcW w:w="474" w:type="pct"/>
            <w:vAlign w:val="center"/>
          </w:tcPr>
          <w:p w14:paraId="7909A4C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108.61002</w:t>
            </w:r>
          </w:p>
        </w:tc>
        <w:tc>
          <w:tcPr>
            <w:tcW w:w="433" w:type="pct"/>
            <w:vAlign w:val="center"/>
          </w:tcPr>
          <w:p w14:paraId="0202FCB3">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21.74594</w:t>
            </w:r>
          </w:p>
        </w:tc>
        <w:tc>
          <w:tcPr>
            <w:tcW w:w="412" w:type="pct"/>
            <w:vAlign w:val="center"/>
          </w:tcPr>
          <w:p w14:paraId="47A51E7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居住区</w:t>
            </w:r>
          </w:p>
        </w:tc>
        <w:tc>
          <w:tcPr>
            <w:tcW w:w="494" w:type="pct"/>
            <w:vAlign w:val="center"/>
          </w:tcPr>
          <w:p w14:paraId="248F9BD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2000</w:t>
            </w:r>
          </w:p>
        </w:tc>
        <w:tc>
          <w:tcPr>
            <w:tcW w:w="576" w:type="pct"/>
            <w:vAlign w:val="center"/>
          </w:tcPr>
          <w:p w14:paraId="345A96A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西北</w:t>
            </w:r>
          </w:p>
        </w:tc>
        <w:tc>
          <w:tcPr>
            <w:tcW w:w="476" w:type="pct"/>
            <w:vAlign w:val="center"/>
          </w:tcPr>
          <w:p w14:paraId="1252F8D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2430</w:t>
            </w:r>
          </w:p>
        </w:tc>
        <w:tc>
          <w:tcPr>
            <w:tcW w:w="412" w:type="pct"/>
            <w:vAlign w:val="center"/>
          </w:tcPr>
          <w:p w14:paraId="1421E87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自来水</w:t>
            </w:r>
          </w:p>
        </w:tc>
      </w:tr>
      <w:tr w14:paraId="1B172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24570DE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8</w:t>
            </w:r>
          </w:p>
        </w:tc>
        <w:tc>
          <w:tcPr>
            <w:tcW w:w="1477" w:type="pct"/>
            <w:vAlign w:val="center"/>
          </w:tcPr>
          <w:p w14:paraId="3ABCC1B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旧村</w:t>
            </w:r>
          </w:p>
        </w:tc>
        <w:tc>
          <w:tcPr>
            <w:tcW w:w="474" w:type="pct"/>
            <w:vAlign w:val="center"/>
          </w:tcPr>
          <w:p w14:paraId="765F9BD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108.621127</w:t>
            </w:r>
          </w:p>
        </w:tc>
        <w:tc>
          <w:tcPr>
            <w:tcW w:w="433" w:type="pct"/>
            <w:vAlign w:val="center"/>
          </w:tcPr>
          <w:p w14:paraId="4CEB2AB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21.745650</w:t>
            </w:r>
          </w:p>
        </w:tc>
        <w:tc>
          <w:tcPr>
            <w:tcW w:w="412" w:type="pct"/>
            <w:vAlign w:val="center"/>
          </w:tcPr>
          <w:p w14:paraId="74D2F94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居住区</w:t>
            </w:r>
          </w:p>
        </w:tc>
        <w:tc>
          <w:tcPr>
            <w:tcW w:w="494" w:type="pct"/>
            <w:vAlign w:val="center"/>
          </w:tcPr>
          <w:p w14:paraId="5CB3407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300</w:t>
            </w:r>
          </w:p>
        </w:tc>
        <w:tc>
          <w:tcPr>
            <w:tcW w:w="576" w:type="pct"/>
            <w:vAlign w:val="center"/>
          </w:tcPr>
          <w:p w14:paraId="63BBE28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西北</w:t>
            </w:r>
          </w:p>
        </w:tc>
        <w:tc>
          <w:tcPr>
            <w:tcW w:w="476" w:type="pct"/>
            <w:vAlign w:val="center"/>
          </w:tcPr>
          <w:p w14:paraId="39EE26B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1500</w:t>
            </w:r>
          </w:p>
        </w:tc>
        <w:tc>
          <w:tcPr>
            <w:tcW w:w="412" w:type="pct"/>
            <w:vAlign w:val="center"/>
          </w:tcPr>
          <w:p w14:paraId="005013E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自来水</w:t>
            </w:r>
          </w:p>
        </w:tc>
      </w:tr>
      <w:tr w14:paraId="7D670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0B04FC7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9</w:t>
            </w:r>
          </w:p>
        </w:tc>
        <w:tc>
          <w:tcPr>
            <w:tcW w:w="1477" w:type="pct"/>
            <w:vAlign w:val="center"/>
          </w:tcPr>
          <w:p w14:paraId="59550E3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沙岗头</w:t>
            </w:r>
          </w:p>
        </w:tc>
        <w:tc>
          <w:tcPr>
            <w:tcW w:w="474" w:type="pct"/>
            <w:vAlign w:val="center"/>
          </w:tcPr>
          <w:p w14:paraId="2F0FDA75">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108.627972</w:t>
            </w:r>
          </w:p>
        </w:tc>
        <w:tc>
          <w:tcPr>
            <w:tcW w:w="433" w:type="pct"/>
            <w:vAlign w:val="center"/>
          </w:tcPr>
          <w:p w14:paraId="0E3C78F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21.742475</w:t>
            </w:r>
          </w:p>
        </w:tc>
        <w:tc>
          <w:tcPr>
            <w:tcW w:w="412" w:type="pct"/>
            <w:vAlign w:val="center"/>
          </w:tcPr>
          <w:p w14:paraId="40FA94D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居住区</w:t>
            </w:r>
          </w:p>
        </w:tc>
        <w:tc>
          <w:tcPr>
            <w:tcW w:w="494" w:type="pct"/>
            <w:vAlign w:val="center"/>
          </w:tcPr>
          <w:p w14:paraId="682D03E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460</w:t>
            </w:r>
          </w:p>
        </w:tc>
        <w:tc>
          <w:tcPr>
            <w:tcW w:w="576" w:type="pct"/>
            <w:vAlign w:val="center"/>
          </w:tcPr>
          <w:p w14:paraId="21FA875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东北</w:t>
            </w:r>
          </w:p>
        </w:tc>
        <w:tc>
          <w:tcPr>
            <w:tcW w:w="476" w:type="pct"/>
            <w:vAlign w:val="center"/>
          </w:tcPr>
          <w:p w14:paraId="2325C0DC">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1050</w:t>
            </w:r>
          </w:p>
        </w:tc>
        <w:tc>
          <w:tcPr>
            <w:tcW w:w="412" w:type="pct"/>
            <w:vAlign w:val="center"/>
          </w:tcPr>
          <w:p w14:paraId="7A64859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自来水</w:t>
            </w:r>
          </w:p>
        </w:tc>
      </w:tr>
      <w:tr w14:paraId="15D79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5BE14A8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10</w:t>
            </w:r>
          </w:p>
        </w:tc>
        <w:tc>
          <w:tcPr>
            <w:tcW w:w="1477" w:type="pct"/>
            <w:vAlign w:val="center"/>
          </w:tcPr>
          <w:p w14:paraId="6CF42DC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天塘村</w:t>
            </w:r>
          </w:p>
        </w:tc>
        <w:tc>
          <w:tcPr>
            <w:tcW w:w="474" w:type="pct"/>
            <w:vAlign w:val="center"/>
          </w:tcPr>
          <w:p w14:paraId="6E8CE8E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108.632777</w:t>
            </w:r>
          </w:p>
        </w:tc>
        <w:tc>
          <w:tcPr>
            <w:tcW w:w="433" w:type="pct"/>
            <w:vAlign w:val="center"/>
          </w:tcPr>
          <w:p w14:paraId="2ECF0BE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21.752942</w:t>
            </w:r>
          </w:p>
        </w:tc>
        <w:tc>
          <w:tcPr>
            <w:tcW w:w="412" w:type="pct"/>
            <w:vAlign w:val="center"/>
          </w:tcPr>
          <w:p w14:paraId="58097D9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居住区</w:t>
            </w:r>
          </w:p>
        </w:tc>
        <w:tc>
          <w:tcPr>
            <w:tcW w:w="494" w:type="pct"/>
            <w:vAlign w:val="center"/>
          </w:tcPr>
          <w:p w14:paraId="7F247C7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400</w:t>
            </w:r>
          </w:p>
        </w:tc>
        <w:tc>
          <w:tcPr>
            <w:tcW w:w="576" w:type="pct"/>
            <w:vAlign w:val="center"/>
          </w:tcPr>
          <w:p w14:paraId="35C80DA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东北</w:t>
            </w:r>
          </w:p>
        </w:tc>
        <w:tc>
          <w:tcPr>
            <w:tcW w:w="476" w:type="pct"/>
            <w:vAlign w:val="center"/>
          </w:tcPr>
          <w:p w14:paraId="56C024C5">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2140</w:t>
            </w:r>
          </w:p>
        </w:tc>
        <w:tc>
          <w:tcPr>
            <w:tcW w:w="412" w:type="pct"/>
            <w:vAlign w:val="center"/>
          </w:tcPr>
          <w:p w14:paraId="244F6B6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自来水</w:t>
            </w:r>
          </w:p>
        </w:tc>
      </w:tr>
      <w:tr w14:paraId="43AE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37334A0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11</w:t>
            </w:r>
          </w:p>
        </w:tc>
        <w:tc>
          <w:tcPr>
            <w:tcW w:w="1477" w:type="pct"/>
            <w:vAlign w:val="center"/>
          </w:tcPr>
          <w:p w14:paraId="45ACFAB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金鼓社区</w:t>
            </w:r>
          </w:p>
        </w:tc>
        <w:tc>
          <w:tcPr>
            <w:tcW w:w="474" w:type="pct"/>
            <w:vAlign w:val="center"/>
          </w:tcPr>
          <w:p w14:paraId="181A189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108.643924</w:t>
            </w:r>
          </w:p>
        </w:tc>
        <w:tc>
          <w:tcPr>
            <w:tcW w:w="433" w:type="pct"/>
            <w:vAlign w:val="center"/>
          </w:tcPr>
          <w:p w14:paraId="3C2E2CD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21.739415</w:t>
            </w:r>
          </w:p>
        </w:tc>
        <w:tc>
          <w:tcPr>
            <w:tcW w:w="412" w:type="pct"/>
            <w:vAlign w:val="center"/>
          </w:tcPr>
          <w:p w14:paraId="527B726C">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居住区</w:t>
            </w:r>
          </w:p>
        </w:tc>
        <w:tc>
          <w:tcPr>
            <w:tcW w:w="494" w:type="pct"/>
            <w:vAlign w:val="center"/>
          </w:tcPr>
          <w:p w14:paraId="64E1812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2000</w:t>
            </w:r>
          </w:p>
        </w:tc>
        <w:tc>
          <w:tcPr>
            <w:tcW w:w="576" w:type="pct"/>
            <w:vAlign w:val="center"/>
          </w:tcPr>
          <w:p w14:paraId="3A24D943">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东北</w:t>
            </w:r>
          </w:p>
        </w:tc>
        <w:tc>
          <w:tcPr>
            <w:tcW w:w="476" w:type="pct"/>
            <w:vAlign w:val="center"/>
          </w:tcPr>
          <w:p w14:paraId="32AFB13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2147</w:t>
            </w:r>
          </w:p>
        </w:tc>
        <w:tc>
          <w:tcPr>
            <w:tcW w:w="412" w:type="pct"/>
            <w:vAlign w:val="center"/>
          </w:tcPr>
          <w:p w14:paraId="192F391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自来水</w:t>
            </w:r>
          </w:p>
        </w:tc>
      </w:tr>
      <w:tr w14:paraId="1BFFA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26EF348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12</w:t>
            </w:r>
          </w:p>
        </w:tc>
        <w:tc>
          <w:tcPr>
            <w:tcW w:w="1477" w:type="pct"/>
            <w:vAlign w:val="center"/>
          </w:tcPr>
          <w:p w14:paraId="41BECA4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金鼓江红树林区</w:t>
            </w:r>
          </w:p>
        </w:tc>
        <w:tc>
          <w:tcPr>
            <w:tcW w:w="474" w:type="pct"/>
            <w:vAlign w:val="center"/>
          </w:tcPr>
          <w:p w14:paraId="4F62D83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c>
          <w:tcPr>
            <w:tcW w:w="433" w:type="pct"/>
            <w:vAlign w:val="center"/>
          </w:tcPr>
          <w:p w14:paraId="1E0D885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c>
          <w:tcPr>
            <w:tcW w:w="412" w:type="pct"/>
            <w:vAlign w:val="center"/>
          </w:tcPr>
          <w:p w14:paraId="0833C9E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c>
          <w:tcPr>
            <w:tcW w:w="494" w:type="pct"/>
            <w:vAlign w:val="center"/>
          </w:tcPr>
          <w:p w14:paraId="45D525B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c>
          <w:tcPr>
            <w:tcW w:w="576" w:type="pct"/>
            <w:vAlign w:val="center"/>
          </w:tcPr>
          <w:p w14:paraId="1D13C66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东北</w:t>
            </w:r>
          </w:p>
        </w:tc>
        <w:tc>
          <w:tcPr>
            <w:tcW w:w="476" w:type="pct"/>
            <w:vAlign w:val="center"/>
          </w:tcPr>
          <w:p w14:paraId="1AB0163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2300</w:t>
            </w:r>
          </w:p>
        </w:tc>
        <w:tc>
          <w:tcPr>
            <w:tcW w:w="412" w:type="pct"/>
            <w:vAlign w:val="center"/>
          </w:tcPr>
          <w:p w14:paraId="70522FC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r>
      <w:tr w14:paraId="3D1ED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741029F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13</w:t>
            </w:r>
          </w:p>
        </w:tc>
        <w:tc>
          <w:tcPr>
            <w:tcW w:w="1477" w:type="pct"/>
            <w:vAlign w:val="center"/>
          </w:tcPr>
          <w:p w14:paraId="2B279F6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独山红树林斑块</w:t>
            </w:r>
          </w:p>
        </w:tc>
        <w:tc>
          <w:tcPr>
            <w:tcW w:w="474" w:type="pct"/>
            <w:vAlign w:val="center"/>
          </w:tcPr>
          <w:p w14:paraId="2A1A4FB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c>
          <w:tcPr>
            <w:tcW w:w="433" w:type="pct"/>
            <w:vAlign w:val="center"/>
          </w:tcPr>
          <w:p w14:paraId="4E71D70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c>
          <w:tcPr>
            <w:tcW w:w="412" w:type="pct"/>
            <w:vAlign w:val="center"/>
          </w:tcPr>
          <w:p w14:paraId="005331C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c>
          <w:tcPr>
            <w:tcW w:w="494" w:type="pct"/>
            <w:vAlign w:val="center"/>
          </w:tcPr>
          <w:p w14:paraId="12A9CAB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c>
          <w:tcPr>
            <w:tcW w:w="576" w:type="pct"/>
            <w:vAlign w:val="center"/>
          </w:tcPr>
          <w:p w14:paraId="16D3323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西北</w:t>
            </w:r>
          </w:p>
        </w:tc>
        <w:tc>
          <w:tcPr>
            <w:tcW w:w="476" w:type="pct"/>
            <w:vAlign w:val="center"/>
          </w:tcPr>
          <w:p w14:paraId="3F3943D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390</w:t>
            </w:r>
          </w:p>
        </w:tc>
        <w:tc>
          <w:tcPr>
            <w:tcW w:w="412" w:type="pct"/>
            <w:vAlign w:val="center"/>
          </w:tcPr>
          <w:p w14:paraId="12ED854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r>
      <w:tr w14:paraId="3315D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2E74466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14</w:t>
            </w:r>
          </w:p>
        </w:tc>
        <w:tc>
          <w:tcPr>
            <w:tcW w:w="1477" w:type="pct"/>
            <w:vAlign w:val="center"/>
          </w:tcPr>
          <w:p w14:paraId="3DBDB95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细垌环村</w:t>
            </w:r>
          </w:p>
        </w:tc>
        <w:tc>
          <w:tcPr>
            <w:tcW w:w="474" w:type="pct"/>
            <w:vAlign w:val="center"/>
          </w:tcPr>
          <w:p w14:paraId="327CAD0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108.662002</w:t>
            </w:r>
          </w:p>
        </w:tc>
        <w:tc>
          <w:tcPr>
            <w:tcW w:w="433" w:type="pct"/>
            <w:vAlign w:val="center"/>
          </w:tcPr>
          <w:p w14:paraId="7406BEA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21.744199</w:t>
            </w:r>
          </w:p>
        </w:tc>
        <w:tc>
          <w:tcPr>
            <w:tcW w:w="412" w:type="pct"/>
            <w:vAlign w:val="center"/>
          </w:tcPr>
          <w:p w14:paraId="41CC259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居住区</w:t>
            </w:r>
          </w:p>
        </w:tc>
        <w:tc>
          <w:tcPr>
            <w:tcW w:w="494" w:type="pct"/>
            <w:vAlign w:val="center"/>
          </w:tcPr>
          <w:p w14:paraId="4FCA07E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350</w:t>
            </w:r>
          </w:p>
        </w:tc>
        <w:tc>
          <w:tcPr>
            <w:tcW w:w="576" w:type="pct"/>
            <w:vAlign w:val="center"/>
          </w:tcPr>
          <w:p w14:paraId="149E667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东北</w:t>
            </w:r>
          </w:p>
        </w:tc>
        <w:tc>
          <w:tcPr>
            <w:tcW w:w="476" w:type="pct"/>
            <w:vAlign w:val="center"/>
          </w:tcPr>
          <w:p w14:paraId="1BCE9205">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4263</w:t>
            </w:r>
          </w:p>
        </w:tc>
        <w:tc>
          <w:tcPr>
            <w:tcW w:w="412" w:type="pct"/>
          </w:tcPr>
          <w:p w14:paraId="5EC47DA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自来水</w:t>
            </w:r>
          </w:p>
        </w:tc>
      </w:tr>
      <w:tr w14:paraId="32161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16C54BF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15</w:t>
            </w:r>
          </w:p>
        </w:tc>
        <w:tc>
          <w:tcPr>
            <w:tcW w:w="1477" w:type="pct"/>
            <w:vAlign w:val="center"/>
          </w:tcPr>
          <w:p w14:paraId="2A00414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淡水湾村</w:t>
            </w:r>
          </w:p>
        </w:tc>
        <w:tc>
          <w:tcPr>
            <w:tcW w:w="474" w:type="pct"/>
            <w:vAlign w:val="center"/>
          </w:tcPr>
          <w:p w14:paraId="66D55F5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108.650001</w:t>
            </w:r>
          </w:p>
        </w:tc>
        <w:tc>
          <w:tcPr>
            <w:tcW w:w="433" w:type="pct"/>
            <w:vAlign w:val="center"/>
          </w:tcPr>
          <w:p w14:paraId="22B773E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21.726800</w:t>
            </w:r>
          </w:p>
        </w:tc>
        <w:tc>
          <w:tcPr>
            <w:tcW w:w="412" w:type="pct"/>
            <w:vAlign w:val="center"/>
          </w:tcPr>
          <w:p w14:paraId="72E75DC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居住区</w:t>
            </w:r>
          </w:p>
        </w:tc>
        <w:tc>
          <w:tcPr>
            <w:tcW w:w="494" w:type="pct"/>
            <w:vAlign w:val="center"/>
          </w:tcPr>
          <w:p w14:paraId="31069AB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360</w:t>
            </w:r>
          </w:p>
        </w:tc>
        <w:tc>
          <w:tcPr>
            <w:tcW w:w="576" w:type="pct"/>
            <w:vAlign w:val="center"/>
          </w:tcPr>
          <w:p w14:paraId="6569B06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东南</w:t>
            </w:r>
          </w:p>
        </w:tc>
        <w:tc>
          <w:tcPr>
            <w:tcW w:w="476" w:type="pct"/>
            <w:vAlign w:val="center"/>
          </w:tcPr>
          <w:p w14:paraId="22A11E0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2735</w:t>
            </w:r>
          </w:p>
        </w:tc>
        <w:tc>
          <w:tcPr>
            <w:tcW w:w="412" w:type="pct"/>
          </w:tcPr>
          <w:p w14:paraId="1A0AF99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自来水</w:t>
            </w:r>
          </w:p>
        </w:tc>
      </w:tr>
      <w:tr w14:paraId="3E4FB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40667AA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16</w:t>
            </w:r>
          </w:p>
        </w:tc>
        <w:tc>
          <w:tcPr>
            <w:tcW w:w="1477" w:type="pct"/>
            <w:vAlign w:val="center"/>
          </w:tcPr>
          <w:p w14:paraId="367C7C1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过山路村</w:t>
            </w:r>
          </w:p>
        </w:tc>
        <w:tc>
          <w:tcPr>
            <w:tcW w:w="474" w:type="pct"/>
            <w:vAlign w:val="center"/>
          </w:tcPr>
          <w:p w14:paraId="60B137E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108.660656</w:t>
            </w:r>
          </w:p>
        </w:tc>
        <w:tc>
          <w:tcPr>
            <w:tcW w:w="433" w:type="pct"/>
            <w:vAlign w:val="center"/>
          </w:tcPr>
          <w:p w14:paraId="09BA5F9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21.720685</w:t>
            </w:r>
          </w:p>
        </w:tc>
        <w:tc>
          <w:tcPr>
            <w:tcW w:w="412" w:type="pct"/>
            <w:vAlign w:val="center"/>
          </w:tcPr>
          <w:p w14:paraId="4DF16F4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居住区</w:t>
            </w:r>
          </w:p>
        </w:tc>
        <w:tc>
          <w:tcPr>
            <w:tcW w:w="494" w:type="pct"/>
            <w:vAlign w:val="center"/>
          </w:tcPr>
          <w:p w14:paraId="4245FD2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740</w:t>
            </w:r>
          </w:p>
        </w:tc>
        <w:tc>
          <w:tcPr>
            <w:tcW w:w="576" w:type="pct"/>
            <w:vAlign w:val="center"/>
          </w:tcPr>
          <w:p w14:paraId="120ED57C">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东南</w:t>
            </w:r>
          </w:p>
        </w:tc>
        <w:tc>
          <w:tcPr>
            <w:tcW w:w="476" w:type="pct"/>
            <w:vAlign w:val="center"/>
          </w:tcPr>
          <w:p w14:paraId="5E20AE9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3625</w:t>
            </w:r>
          </w:p>
        </w:tc>
        <w:tc>
          <w:tcPr>
            <w:tcW w:w="412" w:type="pct"/>
          </w:tcPr>
          <w:p w14:paraId="26D7C28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自来水</w:t>
            </w:r>
          </w:p>
        </w:tc>
      </w:tr>
      <w:tr w14:paraId="378E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034B28F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17</w:t>
            </w:r>
          </w:p>
        </w:tc>
        <w:tc>
          <w:tcPr>
            <w:tcW w:w="1477" w:type="pct"/>
            <w:vAlign w:val="center"/>
          </w:tcPr>
          <w:p w14:paraId="756E9E4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鸡墩头社区</w:t>
            </w:r>
          </w:p>
        </w:tc>
        <w:tc>
          <w:tcPr>
            <w:tcW w:w="474" w:type="pct"/>
            <w:vAlign w:val="center"/>
          </w:tcPr>
          <w:p w14:paraId="2FBA3BB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108.668998</w:t>
            </w:r>
          </w:p>
        </w:tc>
        <w:tc>
          <w:tcPr>
            <w:tcW w:w="433" w:type="pct"/>
            <w:vAlign w:val="center"/>
          </w:tcPr>
          <w:p w14:paraId="1691E86C">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21.721500</w:t>
            </w:r>
          </w:p>
        </w:tc>
        <w:tc>
          <w:tcPr>
            <w:tcW w:w="412" w:type="pct"/>
            <w:vAlign w:val="center"/>
          </w:tcPr>
          <w:p w14:paraId="768E444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居住区</w:t>
            </w:r>
          </w:p>
        </w:tc>
        <w:tc>
          <w:tcPr>
            <w:tcW w:w="494" w:type="pct"/>
            <w:vAlign w:val="center"/>
          </w:tcPr>
          <w:p w14:paraId="4ADD8DB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2800</w:t>
            </w:r>
          </w:p>
        </w:tc>
        <w:tc>
          <w:tcPr>
            <w:tcW w:w="576" w:type="pct"/>
            <w:vAlign w:val="center"/>
          </w:tcPr>
          <w:p w14:paraId="3091809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东南</w:t>
            </w:r>
          </w:p>
        </w:tc>
        <w:tc>
          <w:tcPr>
            <w:tcW w:w="476" w:type="pct"/>
            <w:vAlign w:val="center"/>
          </w:tcPr>
          <w:p w14:paraId="58FDF62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4549</w:t>
            </w:r>
          </w:p>
        </w:tc>
        <w:tc>
          <w:tcPr>
            <w:tcW w:w="412" w:type="pct"/>
          </w:tcPr>
          <w:p w14:paraId="21D9B20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自来水</w:t>
            </w:r>
          </w:p>
        </w:tc>
      </w:tr>
      <w:tr w14:paraId="1C35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6451BE1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18</w:t>
            </w:r>
          </w:p>
        </w:tc>
        <w:tc>
          <w:tcPr>
            <w:tcW w:w="1477" w:type="pct"/>
            <w:vAlign w:val="center"/>
          </w:tcPr>
          <w:p w14:paraId="2EF7818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果子山村</w:t>
            </w:r>
          </w:p>
        </w:tc>
        <w:tc>
          <w:tcPr>
            <w:tcW w:w="474" w:type="pct"/>
            <w:vAlign w:val="center"/>
          </w:tcPr>
          <w:p w14:paraId="68300E53">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108.596000</w:t>
            </w:r>
          </w:p>
        </w:tc>
        <w:tc>
          <w:tcPr>
            <w:tcW w:w="433" w:type="pct"/>
            <w:vAlign w:val="center"/>
          </w:tcPr>
          <w:p w14:paraId="16A2658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21.719499</w:t>
            </w:r>
          </w:p>
        </w:tc>
        <w:tc>
          <w:tcPr>
            <w:tcW w:w="412" w:type="pct"/>
            <w:vAlign w:val="center"/>
          </w:tcPr>
          <w:p w14:paraId="6F1E1B5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居住区</w:t>
            </w:r>
          </w:p>
        </w:tc>
        <w:tc>
          <w:tcPr>
            <w:tcW w:w="494" w:type="pct"/>
            <w:vAlign w:val="center"/>
          </w:tcPr>
          <w:p w14:paraId="710D0D3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170</w:t>
            </w:r>
          </w:p>
        </w:tc>
        <w:tc>
          <w:tcPr>
            <w:tcW w:w="576" w:type="pct"/>
            <w:vAlign w:val="center"/>
          </w:tcPr>
          <w:p w14:paraId="1CC0BAA5">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西南</w:t>
            </w:r>
          </w:p>
        </w:tc>
        <w:tc>
          <w:tcPr>
            <w:tcW w:w="476" w:type="pct"/>
            <w:vAlign w:val="center"/>
          </w:tcPr>
          <w:p w14:paraId="28C5005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3122</w:t>
            </w:r>
          </w:p>
        </w:tc>
        <w:tc>
          <w:tcPr>
            <w:tcW w:w="412" w:type="pct"/>
          </w:tcPr>
          <w:p w14:paraId="28A9FBF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自来水</w:t>
            </w:r>
          </w:p>
        </w:tc>
      </w:tr>
      <w:tr w14:paraId="78D0A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5E477DF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19</w:t>
            </w:r>
          </w:p>
        </w:tc>
        <w:tc>
          <w:tcPr>
            <w:tcW w:w="1477" w:type="pct"/>
            <w:vAlign w:val="center"/>
          </w:tcPr>
          <w:p w14:paraId="77B83DB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中间墩村</w:t>
            </w:r>
          </w:p>
        </w:tc>
        <w:tc>
          <w:tcPr>
            <w:tcW w:w="474" w:type="pct"/>
            <w:vAlign w:val="center"/>
          </w:tcPr>
          <w:p w14:paraId="7224EFF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108.599998</w:t>
            </w:r>
          </w:p>
        </w:tc>
        <w:tc>
          <w:tcPr>
            <w:tcW w:w="433" w:type="pct"/>
            <w:vAlign w:val="center"/>
          </w:tcPr>
          <w:p w14:paraId="0E16F06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21.750499</w:t>
            </w:r>
          </w:p>
        </w:tc>
        <w:tc>
          <w:tcPr>
            <w:tcW w:w="412" w:type="pct"/>
            <w:vAlign w:val="center"/>
          </w:tcPr>
          <w:p w14:paraId="2111B49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居住区</w:t>
            </w:r>
          </w:p>
        </w:tc>
        <w:tc>
          <w:tcPr>
            <w:tcW w:w="494" w:type="pct"/>
            <w:vAlign w:val="center"/>
          </w:tcPr>
          <w:p w14:paraId="3F4A443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860</w:t>
            </w:r>
          </w:p>
        </w:tc>
        <w:tc>
          <w:tcPr>
            <w:tcW w:w="576" w:type="pct"/>
            <w:vAlign w:val="center"/>
          </w:tcPr>
          <w:p w14:paraId="1F28151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西北</w:t>
            </w:r>
          </w:p>
        </w:tc>
        <w:tc>
          <w:tcPr>
            <w:tcW w:w="476" w:type="pct"/>
            <w:vAlign w:val="center"/>
          </w:tcPr>
          <w:p w14:paraId="5FBE4A7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3618</w:t>
            </w:r>
          </w:p>
        </w:tc>
        <w:tc>
          <w:tcPr>
            <w:tcW w:w="412" w:type="pct"/>
          </w:tcPr>
          <w:p w14:paraId="223C27D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自来水</w:t>
            </w:r>
          </w:p>
        </w:tc>
      </w:tr>
      <w:tr w14:paraId="66287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339CAE1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20</w:t>
            </w:r>
          </w:p>
        </w:tc>
        <w:tc>
          <w:tcPr>
            <w:tcW w:w="1477" w:type="pct"/>
            <w:vAlign w:val="center"/>
          </w:tcPr>
          <w:p w14:paraId="1CCE722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南港村</w:t>
            </w:r>
          </w:p>
        </w:tc>
        <w:tc>
          <w:tcPr>
            <w:tcW w:w="474" w:type="pct"/>
            <w:vAlign w:val="center"/>
          </w:tcPr>
          <w:p w14:paraId="36FD3F6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108.613998</w:t>
            </w:r>
          </w:p>
        </w:tc>
        <w:tc>
          <w:tcPr>
            <w:tcW w:w="433" w:type="pct"/>
            <w:vAlign w:val="center"/>
          </w:tcPr>
          <w:p w14:paraId="2C76C723">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21.756399</w:t>
            </w:r>
          </w:p>
        </w:tc>
        <w:tc>
          <w:tcPr>
            <w:tcW w:w="412" w:type="pct"/>
            <w:vAlign w:val="center"/>
          </w:tcPr>
          <w:p w14:paraId="63C2465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居住区</w:t>
            </w:r>
          </w:p>
        </w:tc>
        <w:tc>
          <w:tcPr>
            <w:tcW w:w="494" w:type="pct"/>
            <w:vAlign w:val="center"/>
          </w:tcPr>
          <w:p w14:paraId="2F1102B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480</w:t>
            </w:r>
          </w:p>
        </w:tc>
        <w:tc>
          <w:tcPr>
            <w:tcW w:w="576" w:type="pct"/>
            <w:vAlign w:val="center"/>
          </w:tcPr>
          <w:p w14:paraId="3AA13C0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西北</w:t>
            </w:r>
          </w:p>
        </w:tc>
        <w:tc>
          <w:tcPr>
            <w:tcW w:w="476" w:type="pct"/>
            <w:vAlign w:val="center"/>
          </w:tcPr>
          <w:p w14:paraId="5687EE4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2982</w:t>
            </w:r>
          </w:p>
        </w:tc>
        <w:tc>
          <w:tcPr>
            <w:tcW w:w="412" w:type="pct"/>
          </w:tcPr>
          <w:p w14:paraId="37CD9DB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自来水</w:t>
            </w:r>
          </w:p>
        </w:tc>
      </w:tr>
      <w:tr w14:paraId="4C14B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63AAA85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21</w:t>
            </w:r>
          </w:p>
        </w:tc>
        <w:tc>
          <w:tcPr>
            <w:tcW w:w="1477" w:type="pct"/>
            <w:vAlign w:val="center"/>
          </w:tcPr>
          <w:p w14:paraId="2509295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侬儿墩村</w:t>
            </w:r>
          </w:p>
        </w:tc>
        <w:tc>
          <w:tcPr>
            <w:tcW w:w="474" w:type="pct"/>
            <w:vAlign w:val="center"/>
          </w:tcPr>
          <w:p w14:paraId="6B839B43">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108.636001</w:t>
            </w:r>
          </w:p>
        </w:tc>
        <w:tc>
          <w:tcPr>
            <w:tcW w:w="433" w:type="pct"/>
            <w:vAlign w:val="center"/>
          </w:tcPr>
          <w:p w14:paraId="32E83D1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21.771499</w:t>
            </w:r>
          </w:p>
        </w:tc>
        <w:tc>
          <w:tcPr>
            <w:tcW w:w="412" w:type="pct"/>
            <w:vAlign w:val="center"/>
          </w:tcPr>
          <w:p w14:paraId="127BAC6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居住区</w:t>
            </w:r>
          </w:p>
        </w:tc>
        <w:tc>
          <w:tcPr>
            <w:tcW w:w="494" w:type="pct"/>
            <w:vAlign w:val="center"/>
          </w:tcPr>
          <w:p w14:paraId="2D912B6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250</w:t>
            </w:r>
          </w:p>
        </w:tc>
        <w:tc>
          <w:tcPr>
            <w:tcW w:w="576" w:type="pct"/>
            <w:vAlign w:val="center"/>
          </w:tcPr>
          <w:p w14:paraId="353BF02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东北</w:t>
            </w:r>
          </w:p>
        </w:tc>
        <w:tc>
          <w:tcPr>
            <w:tcW w:w="476" w:type="pct"/>
            <w:vAlign w:val="center"/>
          </w:tcPr>
          <w:p w14:paraId="5778F62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4257</w:t>
            </w:r>
          </w:p>
        </w:tc>
        <w:tc>
          <w:tcPr>
            <w:tcW w:w="412" w:type="pct"/>
          </w:tcPr>
          <w:p w14:paraId="5688759C">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自来水</w:t>
            </w:r>
          </w:p>
        </w:tc>
      </w:tr>
      <w:tr w14:paraId="5C77A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6C56FAD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22</w:t>
            </w:r>
          </w:p>
        </w:tc>
        <w:tc>
          <w:tcPr>
            <w:tcW w:w="1477" w:type="pct"/>
            <w:vAlign w:val="center"/>
          </w:tcPr>
          <w:p w14:paraId="7C5F1A1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广西茅尾海红树林自治区级自然保护区</w:t>
            </w:r>
          </w:p>
          <w:p w14:paraId="5FE29C7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（七十二泾片区）</w:t>
            </w:r>
          </w:p>
        </w:tc>
        <w:tc>
          <w:tcPr>
            <w:tcW w:w="474" w:type="pct"/>
            <w:vAlign w:val="center"/>
          </w:tcPr>
          <w:p w14:paraId="139A6E3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c>
          <w:tcPr>
            <w:tcW w:w="433" w:type="pct"/>
            <w:vAlign w:val="center"/>
          </w:tcPr>
          <w:p w14:paraId="2682B85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c>
          <w:tcPr>
            <w:tcW w:w="412" w:type="pct"/>
            <w:vAlign w:val="center"/>
          </w:tcPr>
          <w:p w14:paraId="7FE63685">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c>
          <w:tcPr>
            <w:tcW w:w="494" w:type="pct"/>
            <w:vAlign w:val="center"/>
          </w:tcPr>
          <w:p w14:paraId="3DC67B83">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c>
          <w:tcPr>
            <w:tcW w:w="576" w:type="pct"/>
            <w:vAlign w:val="center"/>
          </w:tcPr>
          <w:p w14:paraId="027D195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西面</w:t>
            </w:r>
          </w:p>
        </w:tc>
        <w:tc>
          <w:tcPr>
            <w:tcW w:w="476" w:type="pct"/>
            <w:vAlign w:val="center"/>
          </w:tcPr>
          <w:p w14:paraId="14422D1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3100</w:t>
            </w:r>
          </w:p>
        </w:tc>
        <w:tc>
          <w:tcPr>
            <w:tcW w:w="412" w:type="pct"/>
            <w:vAlign w:val="center"/>
          </w:tcPr>
          <w:p w14:paraId="49C9C42C">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r>
    </w:tbl>
    <w:p w14:paraId="680BAAFF">
      <w:pPr>
        <w:pStyle w:val="11"/>
      </w:pPr>
      <w:r>
        <w:rPr>
          <w:rFonts w:hint="eastAsia"/>
        </w:rPr>
        <w:t xml:space="preserve"> 地下水环境保护目标一览表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3"/>
        <w:gridCol w:w="3144"/>
        <w:gridCol w:w="1695"/>
        <w:gridCol w:w="1936"/>
        <w:gridCol w:w="731"/>
        <w:gridCol w:w="5455"/>
      </w:tblGrid>
      <w:tr w14:paraId="3681C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8" w:type="pct"/>
            <w:vAlign w:val="center"/>
          </w:tcPr>
          <w:p w14:paraId="7593FC66">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bookmarkStart w:id="63" w:name="_Hlk166950638"/>
            <w:r>
              <w:rPr>
                <w:rFonts w:cs="Times New Roman"/>
                <w:color w:val="0D0D0D" w:themeColor="text1" w:themeTint="F2"/>
                <w:sz w:val="21"/>
                <w:u w:val="single"/>
                <w14:textFill>
                  <w14:solidFill>
                    <w14:schemeClr w14:val="tx1">
                      <w14:lumMod w14:val="95000"/>
                      <w14:lumOff w14:val="5000"/>
                    </w14:schemeClr>
                  </w14:solidFill>
                </w14:textFill>
              </w:rPr>
              <w:t>环境要素</w:t>
            </w:r>
          </w:p>
        </w:tc>
        <w:tc>
          <w:tcPr>
            <w:tcW w:w="1109" w:type="pct"/>
            <w:vAlign w:val="center"/>
          </w:tcPr>
          <w:p w14:paraId="4946CCB7">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保护目标</w:t>
            </w:r>
          </w:p>
        </w:tc>
        <w:tc>
          <w:tcPr>
            <w:tcW w:w="598" w:type="pct"/>
            <w:vAlign w:val="center"/>
          </w:tcPr>
          <w:p w14:paraId="3C286578">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保护目标类型</w:t>
            </w:r>
          </w:p>
        </w:tc>
        <w:tc>
          <w:tcPr>
            <w:tcW w:w="683" w:type="pct"/>
            <w:vAlign w:val="center"/>
          </w:tcPr>
          <w:p w14:paraId="74C97007">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与项目相对位置</w:t>
            </w:r>
          </w:p>
        </w:tc>
        <w:tc>
          <w:tcPr>
            <w:tcW w:w="258" w:type="pct"/>
            <w:vAlign w:val="center"/>
          </w:tcPr>
          <w:p w14:paraId="6EDBA8A9">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功能</w:t>
            </w:r>
          </w:p>
        </w:tc>
        <w:tc>
          <w:tcPr>
            <w:tcW w:w="1924" w:type="pct"/>
            <w:vAlign w:val="center"/>
          </w:tcPr>
          <w:p w14:paraId="7BE25FCA">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保护要求</w:t>
            </w:r>
          </w:p>
        </w:tc>
      </w:tr>
      <w:tr w14:paraId="077F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 w:type="pct"/>
            <w:vAlign w:val="center"/>
          </w:tcPr>
          <w:p w14:paraId="2BBF76D4">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地下水</w:t>
            </w:r>
          </w:p>
        </w:tc>
        <w:tc>
          <w:tcPr>
            <w:tcW w:w="1109" w:type="pct"/>
            <w:vAlign w:val="center"/>
          </w:tcPr>
          <w:p w14:paraId="535D7C5D">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评价范围基岩构造裂隙潜水</w:t>
            </w:r>
          </w:p>
        </w:tc>
        <w:tc>
          <w:tcPr>
            <w:tcW w:w="598" w:type="pct"/>
            <w:vAlign w:val="center"/>
          </w:tcPr>
          <w:p w14:paraId="4478E80E">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水质</w:t>
            </w:r>
          </w:p>
        </w:tc>
        <w:tc>
          <w:tcPr>
            <w:tcW w:w="683" w:type="pct"/>
            <w:vAlign w:val="center"/>
          </w:tcPr>
          <w:p w14:paraId="6D6B4CFB">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w:t>
            </w:r>
          </w:p>
        </w:tc>
        <w:tc>
          <w:tcPr>
            <w:tcW w:w="258" w:type="pct"/>
            <w:vAlign w:val="center"/>
          </w:tcPr>
          <w:p w14:paraId="4875289A">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w:t>
            </w:r>
          </w:p>
        </w:tc>
        <w:tc>
          <w:tcPr>
            <w:tcW w:w="1924" w:type="pct"/>
            <w:vAlign w:val="center"/>
          </w:tcPr>
          <w:p w14:paraId="51A379AE">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《地下水质量标准》（GB/T14848-2017）</w:t>
            </w:r>
            <w:r>
              <w:rPr>
                <w:rFonts w:hint="eastAsia" w:cs="Times New Roman"/>
                <w:color w:val="0D0D0D" w:themeColor="text1" w:themeTint="F2"/>
                <w:sz w:val="21"/>
                <w:u w:val="single"/>
                <w14:textFill>
                  <w14:solidFill>
                    <w14:schemeClr w14:val="tx1">
                      <w14:lumMod w14:val="95000"/>
                      <w14:lumOff w14:val="5000"/>
                    </w14:schemeClr>
                  </w14:solidFill>
                </w14:textFill>
              </w:rPr>
              <w:t>Ⅲ</w:t>
            </w:r>
            <w:r>
              <w:rPr>
                <w:rFonts w:cs="Times New Roman"/>
                <w:color w:val="0D0D0D" w:themeColor="text1" w:themeTint="F2"/>
                <w:sz w:val="21"/>
                <w:u w:val="single"/>
                <w14:textFill>
                  <w14:solidFill>
                    <w14:schemeClr w14:val="tx1">
                      <w14:lumMod w14:val="95000"/>
                      <w14:lumOff w14:val="5000"/>
                    </w14:schemeClr>
                  </w14:solidFill>
                </w14:textFill>
              </w:rPr>
              <w:t>类标准</w:t>
            </w:r>
          </w:p>
        </w:tc>
      </w:tr>
      <w:bookmarkEnd w:id="63"/>
    </w:tbl>
    <w:p w14:paraId="4A0C3AE0">
      <w:pPr>
        <w:pStyle w:val="11"/>
      </w:pPr>
      <w:r>
        <w:rPr>
          <w:rFonts w:hint="eastAsia"/>
        </w:rPr>
        <w:t xml:space="preserve"> 其他环境要素环境保护目标一览表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5094"/>
        <w:gridCol w:w="782"/>
        <w:gridCol w:w="1502"/>
        <w:gridCol w:w="5495"/>
      </w:tblGrid>
      <w:tr w14:paraId="39AEC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459" w:type="pct"/>
            <w:vMerge w:val="restart"/>
            <w:tcBorders>
              <w:top w:val="single" w:color="auto" w:sz="4" w:space="0"/>
              <w:left w:val="single" w:color="auto" w:sz="4" w:space="0"/>
              <w:right w:val="single" w:color="auto" w:sz="4" w:space="0"/>
            </w:tcBorders>
            <w:vAlign w:val="center"/>
          </w:tcPr>
          <w:p w14:paraId="280491E6">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bookmarkStart w:id="64" w:name="_Hlk166950651"/>
            <w:r>
              <w:rPr>
                <w:rFonts w:cs="Times New Roman"/>
                <w:color w:val="0D0D0D" w:themeColor="text1" w:themeTint="F2"/>
                <w:sz w:val="21"/>
                <w14:textFill>
                  <w14:solidFill>
                    <w14:schemeClr w14:val="tx1">
                      <w14:lumMod w14:val="95000"/>
                      <w14:lumOff w14:val="5000"/>
                    </w14:schemeClr>
                  </w14:solidFill>
                </w14:textFill>
              </w:rPr>
              <w:t>环境要素</w:t>
            </w:r>
          </w:p>
        </w:tc>
        <w:tc>
          <w:tcPr>
            <w:tcW w:w="1797" w:type="pct"/>
            <w:vMerge w:val="restart"/>
            <w:tcBorders>
              <w:top w:val="single" w:color="auto" w:sz="4" w:space="0"/>
              <w:left w:val="nil"/>
              <w:right w:val="single" w:color="auto" w:sz="4" w:space="0"/>
            </w:tcBorders>
            <w:vAlign w:val="center"/>
          </w:tcPr>
          <w:p w14:paraId="525DEF7B">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环境保护目标</w:t>
            </w:r>
          </w:p>
        </w:tc>
        <w:tc>
          <w:tcPr>
            <w:tcW w:w="806" w:type="pct"/>
            <w:gridSpan w:val="2"/>
            <w:tcBorders>
              <w:top w:val="single" w:color="auto" w:sz="4" w:space="0"/>
              <w:left w:val="nil"/>
              <w:bottom w:val="single" w:color="auto" w:sz="4" w:space="0"/>
              <w:right w:val="single" w:color="auto" w:sz="4" w:space="0"/>
            </w:tcBorders>
            <w:vAlign w:val="center"/>
          </w:tcPr>
          <w:p w14:paraId="78B93419">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相对</w:t>
            </w:r>
            <w:r>
              <w:rPr>
                <w:rFonts w:hint="eastAsia" w:cs="Times New Roman"/>
                <w:color w:val="0D0D0D" w:themeColor="text1" w:themeTint="F2"/>
                <w:sz w:val="21"/>
                <w14:textFill>
                  <w14:solidFill>
                    <w14:schemeClr w14:val="tx1">
                      <w14:lumMod w14:val="95000"/>
                      <w14:lumOff w14:val="5000"/>
                    </w14:schemeClr>
                  </w14:solidFill>
                </w14:textFill>
              </w:rPr>
              <w:t>厂区</w:t>
            </w:r>
            <w:r>
              <w:rPr>
                <w:rFonts w:cs="Times New Roman"/>
                <w:color w:val="0D0D0D" w:themeColor="text1" w:themeTint="F2"/>
                <w:sz w:val="21"/>
                <w14:textFill>
                  <w14:solidFill>
                    <w14:schemeClr w14:val="tx1">
                      <w14:lumMod w14:val="95000"/>
                      <w14:lumOff w14:val="5000"/>
                    </w14:schemeClr>
                  </w14:solidFill>
                </w14:textFill>
              </w:rPr>
              <w:t>位置</w:t>
            </w:r>
          </w:p>
        </w:tc>
        <w:tc>
          <w:tcPr>
            <w:tcW w:w="1938" w:type="pct"/>
            <w:vMerge w:val="restart"/>
            <w:tcBorders>
              <w:top w:val="single" w:color="auto" w:sz="4" w:space="0"/>
              <w:left w:val="nil"/>
              <w:right w:val="single" w:color="auto" w:sz="4" w:space="0"/>
            </w:tcBorders>
            <w:vAlign w:val="center"/>
          </w:tcPr>
          <w:p w14:paraId="74108AEE">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环境保护目标</w:t>
            </w:r>
          </w:p>
        </w:tc>
      </w:tr>
      <w:tr w14:paraId="32EF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blHeader/>
        </w:trPr>
        <w:tc>
          <w:tcPr>
            <w:tcW w:w="459" w:type="pct"/>
            <w:vMerge w:val="continue"/>
            <w:tcBorders>
              <w:left w:val="single" w:color="auto" w:sz="4" w:space="0"/>
              <w:bottom w:val="single" w:color="auto" w:sz="4" w:space="0"/>
              <w:right w:val="single" w:color="auto" w:sz="4" w:space="0"/>
            </w:tcBorders>
            <w:vAlign w:val="center"/>
          </w:tcPr>
          <w:p w14:paraId="0089F78C">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797" w:type="pct"/>
            <w:vMerge w:val="continue"/>
            <w:tcBorders>
              <w:left w:val="nil"/>
              <w:bottom w:val="single" w:color="auto" w:sz="4" w:space="0"/>
              <w:right w:val="single" w:color="auto" w:sz="4" w:space="0"/>
            </w:tcBorders>
            <w:vAlign w:val="center"/>
          </w:tcPr>
          <w:p w14:paraId="47EA55C7">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276" w:type="pct"/>
            <w:tcBorders>
              <w:top w:val="single" w:color="auto" w:sz="4" w:space="0"/>
              <w:left w:val="nil"/>
              <w:bottom w:val="single" w:color="auto" w:sz="4" w:space="0"/>
              <w:right w:val="single" w:color="auto" w:sz="4" w:space="0"/>
            </w:tcBorders>
            <w:vAlign w:val="center"/>
          </w:tcPr>
          <w:p w14:paraId="03E99BAC">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方位</w:t>
            </w:r>
          </w:p>
        </w:tc>
        <w:tc>
          <w:tcPr>
            <w:tcW w:w="530" w:type="pct"/>
            <w:tcBorders>
              <w:top w:val="single" w:color="auto" w:sz="4" w:space="0"/>
              <w:left w:val="nil"/>
              <w:bottom w:val="single" w:color="auto" w:sz="4" w:space="0"/>
              <w:right w:val="single" w:color="auto" w:sz="4" w:space="0"/>
            </w:tcBorders>
            <w:vAlign w:val="center"/>
          </w:tcPr>
          <w:p w14:paraId="3405D566">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距离（m）</w:t>
            </w:r>
          </w:p>
        </w:tc>
        <w:tc>
          <w:tcPr>
            <w:tcW w:w="1938" w:type="pct"/>
            <w:vMerge w:val="continue"/>
            <w:tcBorders>
              <w:left w:val="nil"/>
              <w:bottom w:val="single" w:color="auto" w:sz="4" w:space="0"/>
              <w:right w:val="single" w:color="auto" w:sz="4" w:space="0"/>
            </w:tcBorders>
            <w:vAlign w:val="center"/>
          </w:tcPr>
          <w:p w14:paraId="5ED88192">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r>
      <w:tr w14:paraId="7B00B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9" w:type="pct"/>
            <w:tcBorders>
              <w:top w:val="single" w:color="auto" w:sz="4" w:space="0"/>
              <w:left w:val="single" w:color="auto" w:sz="4" w:space="0"/>
              <w:right w:val="single" w:color="auto" w:sz="4" w:space="0"/>
            </w:tcBorders>
            <w:vAlign w:val="center"/>
          </w:tcPr>
          <w:p w14:paraId="2D885A11">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海水环境</w:t>
            </w:r>
          </w:p>
        </w:tc>
        <w:tc>
          <w:tcPr>
            <w:tcW w:w="1797" w:type="pct"/>
            <w:tcBorders>
              <w:top w:val="single" w:color="auto" w:sz="4" w:space="0"/>
              <w:left w:val="nil"/>
              <w:bottom w:val="single" w:color="auto" w:sz="4" w:space="0"/>
              <w:right w:val="single" w:color="auto" w:sz="4" w:space="0"/>
            </w:tcBorders>
            <w:vAlign w:val="center"/>
          </w:tcPr>
          <w:p w14:paraId="62F400C9">
            <w:pPr>
              <w:widowControl/>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钦州港大榄坪港口、工业区（GX055DⅣ）</w:t>
            </w:r>
          </w:p>
        </w:tc>
        <w:tc>
          <w:tcPr>
            <w:tcW w:w="276" w:type="pct"/>
            <w:tcBorders>
              <w:top w:val="single" w:color="auto" w:sz="4" w:space="0"/>
              <w:left w:val="nil"/>
              <w:bottom w:val="single" w:color="auto" w:sz="4" w:space="0"/>
              <w:right w:val="single" w:color="auto" w:sz="4" w:space="0"/>
            </w:tcBorders>
            <w:vAlign w:val="center"/>
          </w:tcPr>
          <w:p w14:paraId="45CF0B37">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东</w:t>
            </w:r>
          </w:p>
        </w:tc>
        <w:tc>
          <w:tcPr>
            <w:tcW w:w="530" w:type="pct"/>
            <w:tcBorders>
              <w:top w:val="single" w:color="auto" w:sz="4" w:space="0"/>
              <w:left w:val="nil"/>
              <w:bottom w:val="single" w:color="auto" w:sz="4" w:space="0"/>
              <w:right w:val="single" w:color="auto" w:sz="4" w:space="0"/>
            </w:tcBorders>
            <w:vAlign w:val="center"/>
          </w:tcPr>
          <w:p w14:paraId="32EE21E9">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870</w:t>
            </w:r>
          </w:p>
        </w:tc>
        <w:tc>
          <w:tcPr>
            <w:tcW w:w="1938" w:type="pct"/>
            <w:tcBorders>
              <w:top w:val="single" w:color="auto" w:sz="4" w:space="0"/>
              <w:left w:val="nil"/>
              <w:right w:val="single" w:color="auto" w:sz="4" w:space="0"/>
            </w:tcBorders>
            <w:vAlign w:val="center"/>
          </w:tcPr>
          <w:p w14:paraId="7497B4D1">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《海水水质标准》（GB3097-1997）第四类标准</w:t>
            </w:r>
          </w:p>
        </w:tc>
      </w:tr>
      <w:tr w14:paraId="4DD8E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9" w:type="pct"/>
            <w:tcBorders>
              <w:top w:val="nil"/>
              <w:left w:val="single" w:color="auto" w:sz="4" w:space="0"/>
              <w:right w:val="single" w:color="auto" w:sz="4" w:space="0"/>
            </w:tcBorders>
            <w:vAlign w:val="center"/>
          </w:tcPr>
          <w:p w14:paraId="3145CCAE">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声环境</w:t>
            </w:r>
          </w:p>
        </w:tc>
        <w:tc>
          <w:tcPr>
            <w:tcW w:w="2603" w:type="pct"/>
            <w:gridSpan w:val="3"/>
            <w:tcBorders>
              <w:top w:val="single" w:color="auto" w:sz="4" w:space="0"/>
              <w:left w:val="nil"/>
              <w:bottom w:val="single" w:color="auto" w:sz="4" w:space="0"/>
              <w:right w:val="single" w:color="auto" w:sz="4" w:space="0"/>
            </w:tcBorders>
            <w:vAlign w:val="center"/>
          </w:tcPr>
          <w:p w14:paraId="5DC9EEE6">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项目区域</w:t>
            </w:r>
          </w:p>
        </w:tc>
        <w:tc>
          <w:tcPr>
            <w:tcW w:w="1938" w:type="pct"/>
            <w:tcBorders>
              <w:top w:val="single" w:color="auto" w:sz="4" w:space="0"/>
              <w:left w:val="nil"/>
              <w:bottom w:val="single" w:color="auto" w:sz="4" w:space="0"/>
              <w:right w:val="single" w:color="auto" w:sz="4" w:space="0"/>
            </w:tcBorders>
            <w:vAlign w:val="center"/>
          </w:tcPr>
          <w:p w14:paraId="26DED688">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《声环境质量标准》（GB3096-2008）</w:t>
            </w:r>
            <w:r>
              <w:rPr>
                <w:rFonts w:hint="eastAsia" w:cs="Times New Roman"/>
                <w:color w:val="0D0D0D" w:themeColor="text1" w:themeTint="F2"/>
                <w:sz w:val="21"/>
                <w14:textFill>
                  <w14:solidFill>
                    <w14:schemeClr w14:val="tx1">
                      <w14:lumMod w14:val="95000"/>
                      <w14:lumOff w14:val="5000"/>
                    </w14:schemeClr>
                  </w14:solidFill>
                </w14:textFill>
              </w:rPr>
              <w:t>3</w:t>
            </w:r>
            <w:r>
              <w:rPr>
                <w:rFonts w:cs="Times New Roman"/>
                <w:color w:val="0D0D0D" w:themeColor="text1" w:themeTint="F2"/>
                <w:sz w:val="21"/>
                <w14:textFill>
                  <w14:solidFill>
                    <w14:schemeClr w14:val="tx1">
                      <w14:lumMod w14:val="95000"/>
                      <w14:lumOff w14:val="5000"/>
                    </w14:schemeClr>
                  </w14:solidFill>
                </w14:textFill>
              </w:rPr>
              <w:t>类</w:t>
            </w:r>
            <w:r>
              <w:rPr>
                <w:rFonts w:hint="eastAsia" w:cs="Times New Roman"/>
                <w:color w:val="0D0D0D" w:themeColor="text1" w:themeTint="F2"/>
                <w:sz w:val="21"/>
                <w14:textFill>
                  <w14:solidFill>
                    <w14:schemeClr w14:val="tx1">
                      <w14:lumMod w14:val="95000"/>
                      <w14:lumOff w14:val="5000"/>
                    </w14:schemeClr>
                  </w14:solidFill>
                </w14:textFill>
              </w:rPr>
              <w:t>标准</w:t>
            </w:r>
          </w:p>
        </w:tc>
      </w:tr>
      <w:tr w14:paraId="54D00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9" w:type="pct"/>
            <w:tcBorders>
              <w:top w:val="single" w:color="auto" w:sz="4" w:space="0"/>
              <w:left w:val="single" w:color="auto" w:sz="4" w:space="0"/>
              <w:right w:val="single" w:color="auto" w:sz="4" w:space="0"/>
            </w:tcBorders>
            <w:vAlign w:val="center"/>
          </w:tcPr>
          <w:p w14:paraId="2B6F3050">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生态</w:t>
            </w:r>
            <w:r>
              <w:rPr>
                <w:rFonts w:hint="eastAsia" w:cs="Times New Roman"/>
                <w:color w:val="0D0D0D" w:themeColor="text1" w:themeTint="F2"/>
                <w:sz w:val="21"/>
                <w14:textFill>
                  <w14:solidFill>
                    <w14:schemeClr w14:val="tx1">
                      <w14:lumMod w14:val="95000"/>
                      <w14:lumOff w14:val="5000"/>
                    </w14:schemeClr>
                  </w14:solidFill>
                </w14:textFill>
              </w:rPr>
              <w:t>环境</w:t>
            </w:r>
          </w:p>
        </w:tc>
        <w:tc>
          <w:tcPr>
            <w:tcW w:w="2603" w:type="pct"/>
            <w:gridSpan w:val="3"/>
            <w:tcBorders>
              <w:top w:val="single" w:color="auto" w:sz="4" w:space="0"/>
              <w:left w:val="nil"/>
              <w:bottom w:val="single" w:color="auto" w:sz="4" w:space="0"/>
              <w:right w:val="single" w:color="auto" w:sz="4" w:space="0"/>
            </w:tcBorders>
            <w:vAlign w:val="center"/>
          </w:tcPr>
          <w:p w14:paraId="639D2628">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项目用地及红线外200m范围</w:t>
            </w:r>
          </w:p>
        </w:tc>
        <w:tc>
          <w:tcPr>
            <w:tcW w:w="1938" w:type="pct"/>
            <w:tcBorders>
              <w:top w:val="single" w:color="auto" w:sz="4" w:space="0"/>
              <w:left w:val="nil"/>
              <w:bottom w:val="single" w:color="auto" w:sz="4" w:space="0"/>
              <w:right w:val="single" w:color="auto" w:sz="4" w:space="0"/>
            </w:tcBorders>
            <w:vAlign w:val="center"/>
          </w:tcPr>
          <w:p w14:paraId="1ECDB61C">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防止水土流失、保持良好生态环境</w:t>
            </w:r>
          </w:p>
        </w:tc>
      </w:tr>
      <w:tr w14:paraId="403A1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9" w:type="pct"/>
            <w:tcBorders>
              <w:top w:val="single" w:color="auto" w:sz="4" w:space="0"/>
              <w:left w:val="single" w:color="auto" w:sz="4" w:space="0"/>
              <w:bottom w:val="single" w:color="auto" w:sz="4" w:space="0"/>
              <w:right w:val="single" w:color="auto" w:sz="4" w:space="0"/>
            </w:tcBorders>
            <w:vAlign w:val="center"/>
          </w:tcPr>
          <w:p w14:paraId="5F7617F5">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土壤</w:t>
            </w:r>
            <w:r>
              <w:rPr>
                <w:rFonts w:hint="eastAsia" w:cs="Times New Roman"/>
                <w:color w:val="0D0D0D" w:themeColor="text1" w:themeTint="F2"/>
                <w:sz w:val="21"/>
                <w14:textFill>
                  <w14:solidFill>
                    <w14:schemeClr w14:val="tx1">
                      <w14:lumMod w14:val="95000"/>
                      <w14:lumOff w14:val="5000"/>
                    </w14:schemeClr>
                  </w14:solidFill>
                </w14:textFill>
              </w:rPr>
              <w:t>环境</w:t>
            </w:r>
          </w:p>
        </w:tc>
        <w:tc>
          <w:tcPr>
            <w:tcW w:w="2603" w:type="pct"/>
            <w:gridSpan w:val="3"/>
            <w:tcBorders>
              <w:top w:val="single" w:color="auto" w:sz="4" w:space="0"/>
              <w:left w:val="nil"/>
              <w:bottom w:val="single" w:color="auto" w:sz="4" w:space="0"/>
              <w:right w:val="single" w:color="auto" w:sz="4" w:space="0"/>
            </w:tcBorders>
            <w:vAlign w:val="center"/>
          </w:tcPr>
          <w:p w14:paraId="5081FE20">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项目用地及红线外200m范围</w:t>
            </w:r>
          </w:p>
        </w:tc>
        <w:tc>
          <w:tcPr>
            <w:tcW w:w="1938" w:type="pct"/>
            <w:tcBorders>
              <w:top w:val="single" w:color="auto" w:sz="4" w:space="0"/>
              <w:left w:val="nil"/>
              <w:bottom w:val="single" w:color="auto" w:sz="4" w:space="0"/>
              <w:right w:val="single" w:color="auto" w:sz="4" w:space="0"/>
            </w:tcBorders>
            <w:vAlign w:val="center"/>
          </w:tcPr>
          <w:p w14:paraId="25FEEF96">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周边林地</w:t>
            </w:r>
          </w:p>
        </w:tc>
      </w:tr>
      <w:bookmarkEnd w:id="64"/>
    </w:tbl>
    <w:p w14:paraId="0A4C0476">
      <w:pPr>
        <w:rPr>
          <w:color w:val="0D0D0D" w:themeColor="text1" w:themeTint="F2"/>
          <w14:textFill>
            <w14:solidFill>
              <w14:schemeClr w14:val="tx1">
                <w14:lumMod w14:val="95000"/>
                <w14:lumOff w14:val="5000"/>
              </w14:schemeClr>
            </w14:solidFill>
          </w14:textFill>
        </w:rPr>
      </w:pPr>
    </w:p>
    <w:p w14:paraId="6680EC53">
      <w:pPr>
        <w:rPr>
          <w:color w:val="0D0D0D" w:themeColor="text1" w:themeTint="F2"/>
          <w14:textFill>
            <w14:solidFill>
              <w14:schemeClr w14:val="tx1">
                <w14:lumMod w14:val="95000"/>
                <w14:lumOff w14:val="5000"/>
              </w14:schemeClr>
            </w14:solidFill>
          </w14:textFill>
        </w:rPr>
        <w:sectPr>
          <w:pgSz w:w="16838" w:h="11906" w:orient="landscape"/>
          <w:pgMar w:top="1440" w:right="1440" w:bottom="1440" w:left="1440" w:header="851" w:footer="992" w:gutter="0"/>
          <w:cols w:space="425" w:num="1"/>
          <w:docGrid w:type="linesAndChars" w:linePitch="312" w:charSpace="0"/>
        </w:sectPr>
      </w:pPr>
    </w:p>
    <w:p w14:paraId="6399343C">
      <w:pPr>
        <w:pStyle w:val="8"/>
      </w:pPr>
      <w:bookmarkStart w:id="65" w:name="_Toc204062554"/>
      <w:r>
        <w:rPr>
          <w:rFonts w:hint="eastAsia"/>
        </w:rPr>
        <w:t>规划及政策相符性分析</w:t>
      </w:r>
      <w:bookmarkEnd w:id="65"/>
    </w:p>
    <w:p w14:paraId="18ADD5AE">
      <w:pPr>
        <w:pStyle w:val="9"/>
        <w:numPr>
          <w:ilvl w:val="2"/>
          <w:numId w:val="23"/>
        </w:numPr>
      </w:pPr>
      <w:bookmarkStart w:id="66" w:name="_Toc204062555"/>
      <w:r>
        <w:rPr>
          <w:rFonts w:hint="eastAsia"/>
        </w:rPr>
        <w:t>规划相符性分析</w:t>
      </w:r>
      <w:bookmarkEnd w:id="66"/>
    </w:p>
    <w:p w14:paraId="6355AF33">
      <w:pPr>
        <w:pStyle w:val="10"/>
      </w:pPr>
      <w:r>
        <w:rPr>
          <w:rFonts w:hint="eastAsia"/>
        </w:rPr>
        <w:t>《广西钦州石化产业园总体发展规划（2020-2035年）》</w:t>
      </w:r>
      <w:bookmarkStart w:id="67" w:name="_Hlk191582379"/>
      <w:r>
        <w:rPr>
          <w:rFonts w:hint="eastAsia"/>
        </w:rPr>
        <w:t>相符性分析</w:t>
      </w:r>
      <w:bookmarkEnd w:id="67"/>
    </w:p>
    <w:p w14:paraId="38759AE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w:t>
      </w:r>
      <w:bookmarkStart w:id="68" w:name="_Hlk191584250"/>
      <w:r>
        <w:rPr>
          <w:rFonts w:hint="eastAsia"/>
          <w:color w:val="0D0D0D" w:themeColor="text1" w:themeTint="F2"/>
          <w14:textFill>
            <w14:solidFill>
              <w14:schemeClr w14:val="tx1">
                <w14:lumMod w14:val="95000"/>
                <w14:lumOff w14:val="5000"/>
              </w14:schemeClr>
            </w14:solidFill>
          </w14:textFill>
        </w:rPr>
        <w:t>《广西钦州石化产业园总体发展规划（2020-2035年）》和《广西壮族自治区人民政府关于广西钦州石化产业园总体发展规划（2020-2035年）的批复》（桂政函〔2021〕153号）</w:t>
      </w:r>
      <w:bookmarkEnd w:id="68"/>
      <w:r>
        <w:rPr>
          <w:rFonts w:hint="eastAsia"/>
          <w:color w:val="0D0D0D" w:themeColor="text1" w:themeTint="F2"/>
          <w14:textFill>
            <w14:solidFill>
              <w14:schemeClr w14:val="tx1">
                <w14:lumMod w14:val="95000"/>
                <w14:lumOff w14:val="5000"/>
              </w14:schemeClr>
            </w14:solidFill>
          </w14:textFill>
        </w:rPr>
        <w:t>，钦州石化产业园总体上规划为“一园、两轴、三片、十区、多点”的结构。</w:t>
      </w:r>
    </w:p>
    <w:p w14:paraId="652C0E0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（1）“一园”即钦州石化产业园整体。</w:t>
      </w:r>
    </w:p>
    <w:p w14:paraId="6622065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（2）“两轴”即依托环北大道和三墩公路打造两条产业空间轴，将三个片区串联发展。</w:t>
      </w:r>
    </w:p>
    <w:p w14:paraId="425935F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（3）“三片”即金谷片区、鹿耳片区和三墩片区。</w:t>
      </w:r>
    </w:p>
    <w:p w14:paraId="5115DEE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十区”即广西石化炼化一体化项目区、华谊化工新材料一体化项目区，芳烃及下游深加工产业区、特种聚氨酯与高端材料产业区、金谷现有项目区、金谷预留发展区、鹿耳新能源与特种功能材料产业区、三墩炼化一体化项目区、三墩芳烃烯烃及下游深加工区、三墩化工新材料及精细化工项目区，各片区内部以用地有效集聚为原则，保持内部小组团的完整，开发的弹性和可持续性。</w:t>
      </w:r>
    </w:p>
    <w:p w14:paraId="51ED247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（5）“多点”即“一体化”配套服务的公用工程及辅助设施，包括石化码头及物流仓储区、供水厂、污水处理、热电中心、变电站、消防站、危废处理等。</w:t>
      </w:r>
    </w:p>
    <w:p w14:paraId="23EC088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根据园区产业现状，金谷片区产业区自北向南依次规划为广西石化炼化一体化项目区、预留发展区、芳烃及下游深加工产业区、现有项目区、华谊化工新材料一体化项目区、特种聚氨酯与高端材料产业区。</w:t>
      </w:r>
    </w:p>
    <w:p w14:paraId="2EB0B83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（1）广西石化炼化一体化项目区</w:t>
      </w:r>
    </w:p>
    <w:p w14:paraId="70F4C23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主要为广西石化现有及规划建设的1200万吨/年炼化一体化项目，及在建的中石油钦州炼化一体化转型升级项目。</w:t>
      </w:r>
    </w:p>
    <w:p w14:paraId="4FFCA54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（2）预留发展区</w:t>
      </w:r>
    </w:p>
    <w:p w14:paraId="78CAF00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位于广西石化炼化一体化项目区以东、目前为未利用地。</w:t>
      </w:r>
    </w:p>
    <w:p w14:paraId="3698F1A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（3）芳烃及下游深加工产业区</w:t>
      </w:r>
    </w:p>
    <w:p w14:paraId="5A290AE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主要为浙江恒逸集团有限公司恒逸钦州年产120万吨己内酰胺-聚酰胺产业一体化及配套工程项目。</w:t>
      </w:r>
    </w:p>
    <w:p w14:paraId="5B887E5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（4）现有项目区</w:t>
      </w:r>
    </w:p>
    <w:p w14:paraId="013FED6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主要包括现有炼油副产品加工增值产业链、生物化工和磷化工等产业项目，以及现状的几家金属企业。</w:t>
      </w:r>
    </w:p>
    <w:p w14:paraId="42EB8A0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（5）华谊化工新材料一体化项目区</w:t>
      </w:r>
    </w:p>
    <w:p w14:paraId="4D1C4CF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主要包括上海华谊集团钦州化工新材料产业基地，主要项目有上海华谊集团工业气体岛项目、75万吨/年丙烷脱氢制丙烯及下游深加工一体化项目以及氯碱及下游异氰酸酯、20万吨/年聚碳酸酯及深加工项目。</w:t>
      </w:r>
    </w:p>
    <w:p w14:paraId="7B7F62A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（6）特种聚氨酯与高端材料产业区</w:t>
      </w:r>
    </w:p>
    <w:p w14:paraId="39732BE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主要为聚氨酯及下游深加工项目、烯烃下游新材料项目。</w:t>
      </w:r>
    </w:p>
    <w:p w14:paraId="51E21AF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位于中国（广西）自由贸易试验区钦州港片区临海大道西侧、勒沟东大街北侧地块（地块编号：QZG-M12-02），属于金谷片区的华谊化工新材料一体化项目区，用地性质为工业用地（M），规划主导用途为石油、煤炭及其他燃料加工业，符合园区土地利用规划及产业定位要求。项目选址已取得中国（广西）自由贸易试验区钦州港片区行政审批局核发的建设工程规划许可证（附件4）；已取得中国（广西）自由贸易试验区钦州港片区自然资源和建设局出具的选址意见（附件5）；已取得钦州市自然资源局关于国有建设用地使用权批复（附件6）。</w:t>
      </w:r>
    </w:p>
    <w:p w14:paraId="655CEF12">
      <w:pPr>
        <w:ind w:firstLine="480" w:firstLineChars="200"/>
        <w:rPr>
          <w:color w:val="0D0D0D" w:themeColor="text1" w:themeTint="F2"/>
          <w:u w:val="single"/>
          <w14:textFill>
            <w14:solidFill>
              <w14:schemeClr w14:val="tx1">
                <w14:lumMod w14:val="95000"/>
                <w14:lumOff w14:val="5000"/>
              </w14:schemeClr>
            </w14:solidFill>
          </w14:textFill>
        </w:rPr>
      </w:pPr>
      <w:bookmarkStart w:id="69" w:name="_Hlk194914081"/>
      <w:r>
        <w:rPr>
          <w:rFonts w:hint="eastAsia"/>
          <w:color w:val="0D0D0D" w:themeColor="text1" w:themeTint="F2"/>
          <w:u w:val="single"/>
          <w14:textFill>
            <w14:solidFill>
              <w14:schemeClr w14:val="tx1">
                <w14:lumMod w14:val="95000"/>
                <w14:lumOff w14:val="5000"/>
              </w14:schemeClr>
            </w14:solidFill>
          </w14:textFill>
        </w:rPr>
        <w:t>项目外购符合《生物柴油（BD100）原料  废弃油脂》（NB/T13007-2021）的废弃动植物油脂（不包含废弃工业油脂）为原料进行深加工，不涉及废弃油脂的酸化脱乳等预处理工艺。生物柴油生产线以废弃动植物油脂为原料，甲醇为辅料，生物酶（脂肪酶）为催化剂，采用生物酶法工艺，主要经过酯化、分离、蒸馏、精制提纯等工序，年产30万吨生物柴油（主产品）、1.5万吨精甘油（副产品）和1.2万吨重质脂肪酸（副产品）；工业级混合油生产线以废弃动植物油脂为原料，白土和精甘油为辅料，主要经过水洗、脱水、脱色、过滤、酯化、蒸馏脱酸等工序，年产10万吨工业级混合油（主产品）。项目属于石化产业，符合园区产业定位要求。</w:t>
      </w:r>
    </w:p>
    <w:bookmarkEnd w:id="69"/>
    <w:p w14:paraId="15F4322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综上，项目建设符合《广西钦州石化产业园总体发展规划（2020-2035年）》要求。</w:t>
      </w:r>
    </w:p>
    <w:p w14:paraId="48C4A83B">
      <w:pPr>
        <w:widowControl/>
        <w:spacing w:line="240" w:lineRule="auto"/>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14:paraId="666FB6FF">
      <w:pPr>
        <w:pStyle w:val="10"/>
      </w:pPr>
      <w:bookmarkStart w:id="70" w:name="_Hlk191584290"/>
      <w:r>
        <w:rPr>
          <w:rFonts w:hint="eastAsia"/>
        </w:rPr>
        <w:t>《广西钦州石化产业园总体发展规划（2020-2035）环境影响报告书》</w:t>
      </w:r>
      <w:bookmarkEnd w:id="70"/>
      <w:r>
        <w:rPr>
          <w:rFonts w:hint="eastAsia"/>
        </w:rPr>
        <w:t>相符性分析</w:t>
      </w:r>
    </w:p>
    <w:p w14:paraId="17F8708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广西钦州石化产业园总体发展规划（2020-2035）环境影响报告书》和《广西壮族自治区生态环境厅关于印发广西钦州石化产业园总体发展规划环境影响报告书审查意见的函》（桂环函〔2021〕388号），项目与《广西钦州石化产业园总体发展规划（2020-2035）环境影响报告书》相符性分析详见表2.7-1，与《广西壮族自治区生态环境厅关于印发广西钦州石化产业园总体发展规划环境影响报告书审查意见的函》（桂环函〔2021〕388号）相符性分析详见表2.7-2。</w:t>
      </w:r>
    </w:p>
    <w:p w14:paraId="04EF269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根据分析可知，项目建设符合园区规划环评及其审查意见中的要求。</w:t>
      </w:r>
    </w:p>
    <w:p w14:paraId="7A54756C">
      <w:pPr>
        <w:ind w:firstLine="480" w:firstLineChars="200"/>
        <w:rPr>
          <w:color w:val="0D0D0D" w:themeColor="text1" w:themeTint="F2"/>
          <w14:textFill>
            <w14:solidFill>
              <w14:schemeClr w14:val="tx1">
                <w14:lumMod w14:val="95000"/>
                <w14:lumOff w14:val="5000"/>
              </w14:schemeClr>
            </w14:solidFill>
          </w14:textFill>
        </w:rPr>
      </w:pPr>
    </w:p>
    <w:p w14:paraId="5505AAE6">
      <w:pPr>
        <w:pStyle w:val="11"/>
        <w:sectPr>
          <w:pgSz w:w="11906" w:h="16838"/>
          <w:pgMar w:top="1440" w:right="1440" w:bottom="1440" w:left="1440" w:header="851" w:footer="992" w:gutter="0"/>
          <w:cols w:space="425" w:num="1"/>
          <w:docGrid w:type="lines" w:linePitch="312" w:charSpace="0"/>
        </w:sectPr>
      </w:pPr>
    </w:p>
    <w:p w14:paraId="7B5E916B">
      <w:pPr>
        <w:pStyle w:val="11"/>
        <w:numPr>
          <w:ilvl w:val="4"/>
          <w:numId w:val="24"/>
        </w:numPr>
      </w:pPr>
      <w:r>
        <w:rPr>
          <w:rFonts w:hint="eastAsia"/>
        </w:rPr>
        <w:t xml:space="preserve"> 与规划环评相符性分析一览表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1500"/>
        <w:gridCol w:w="5641"/>
        <w:gridCol w:w="5772"/>
        <w:gridCol w:w="493"/>
      </w:tblGrid>
      <w:tr w14:paraId="7D0B3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89" w:type="pct"/>
            <w:gridSpan w:val="3"/>
            <w:vAlign w:val="center"/>
          </w:tcPr>
          <w:p w14:paraId="0FA283D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规划环评要求</w:t>
            </w:r>
          </w:p>
        </w:tc>
        <w:tc>
          <w:tcPr>
            <w:tcW w:w="2036" w:type="pct"/>
            <w:vAlign w:val="center"/>
          </w:tcPr>
          <w:p w14:paraId="68A93D0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项目情况</w:t>
            </w:r>
          </w:p>
        </w:tc>
        <w:tc>
          <w:tcPr>
            <w:tcW w:w="174" w:type="pct"/>
            <w:vAlign w:val="center"/>
          </w:tcPr>
          <w:p w14:paraId="3F961E0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相符性</w:t>
            </w:r>
          </w:p>
        </w:tc>
      </w:tr>
      <w:tr w14:paraId="25D8F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 w:type="pct"/>
            <w:vMerge w:val="restart"/>
            <w:vAlign w:val="center"/>
          </w:tcPr>
          <w:p w14:paraId="31F6A8F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入园项目生态环境准入要求</w:t>
            </w:r>
          </w:p>
        </w:tc>
        <w:tc>
          <w:tcPr>
            <w:tcW w:w="2519" w:type="pct"/>
            <w:gridSpan w:val="2"/>
            <w:vAlign w:val="center"/>
          </w:tcPr>
          <w:p w14:paraId="3962842C">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（一）建设项目应为石化产业园区产业链范围内的项目，选址应符合石化产业园的功能分区。</w:t>
            </w:r>
          </w:p>
        </w:tc>
        <w:tc>
          <w:tcPr>
            <w:tcW w:w="2036" w:type="pct"/>
            <w:vAlign w:val="center"/>
          </w:tcPr>
          <w:p w14:paraId="13755917">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项目位于金谷片区，用地性质为工业用地，主要用途为石油、煤炭及其他燃料加工，项目以废弃动植物油脂为原料，加工生产生物柴油、工业级混合油、精甘油和重质脂肪酸，属于石化行业，符合园区产业规划。</w:t>
            </w:r>
          </w:p>
        </w:tc>
        <w:tc>
          <w:tcPr>
            <w:tcW w:w="174" w:type="pct"/>
            <w:vAlign w:val="center"/>
          </w:tcPr>
          <w:p w14:paraId="17E7775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7E743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 w:type="pct"/>
            <w:vMerge w:val="continue"/>
            <w:vAlign w:val="center"/>
          </w:tcPr>
          <w:p w14:paraId="0F40CE4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9" w:type="pct"/>
            <w:vMerge w:val="restart"/>
            <w:vAlign w:val="center"/>
          </w:tcPr>
          <w:p w14:paraId="4435503B">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（二）建设项目污染防治和环境影响方面的准入要求。</w:t>
            </w:r>
          </w:p>
        </w:tc>
        <w:tc>
          <w:tcPr>
            <w:tcW w:w="1990" w:type="pct"/>
            <w:vAlign w:val="center"/>
          </w:tcPr>
          <w:p w14:paraId="4C53BF40">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引进的项目必须符合国家的产业政策，积极引进国家鼓励类项目，不得引进限制类和淘汰类项目；禁止建设不符合国家产业政策和准入条件、布局不合理、环境容量不足的项目（含新建、改建、扩建、异地搬迁、技术改造项目），严格控制可能对环境产生影响的项目的建设，限制发展、淘汰技术落后、高能耗、高污染的项目。</w:t>
            </w:r>
          </w:p>
        </w:tc>
        <w:tc>
          <w:tcPr>
            <w:tcW w:w="2036" w:type="pct"/>
            <w:vAlign w:val="center"/>
          </w:tcPr>
          <w:p w14:paraId="43DCCF98">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项目生物柴油和工业级混合油生产均属于《产业结构调整指导目录（2024年本）》的鼓励类项目。</w:t>
            </w:r>
          </w:p>
        </w:tc>
        <w:tc>
          <w:tcPr>
            <w:tcW w:w="174" w:type="pct"/>
            <w:vAlign w:val="center"/>
          </w:tcPr>
          <w:p w14:paraId="0914CFC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2F393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 w:type="pct"/>
            <w:vMerge w:val="continue"/>
            <w:vAlign w:val="center"/>
          </w:tcPr>
          <w:p w14:paraId="109C9C7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9" w:type="pct"/>
            <w:vMerge w:val="continue"/>
            <w:vAlign w:val="center"/>
          </w:tcPr>
          <w:p w14:paraId="632BD1FB">
            <w:pPr>
              <w:spacing w:line="240" w:lineRule="auto"/>
              <w:rPr>
                <w:color w:val="0D0D0D" w:themeColor="text1" w:themeTint="F2"/>
                <w:sz w:val="21"/>
                <w:szCs w:val="21"/>
                <w:u w:val="single"/>
                <w14:textFill>
                  <w14:solidFill>
                    <w14:schemeClr w14:val="tx1">
                      <w14:lumMod w14:val="95000"/>
                      <w14:lumOff w14:val="5000"/>
                    </w14:schemeClr>
                  </w14:solidFill>
                </w14:textFill>
              </w:rPr>
            </w:pPr>
          </w:p>
        </w:tc>
        <w:tc>
          <w:tcPr>
            <w:tcW w:w="1990" w:type="pct"/>
            <w:vAlign w:val="center"/>
          </w:tcPr>
          <w:p w14:paraId="23237CFA">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园区实现集中供热，各企业不得自建供热锅炉（企业利用自产燃料气除外）；采用雨污分流制，雨水监控达标后通过雨水管网就近排入水体，各企业废水预处理后纳入园区污水处理厂处理，涵盖了工业区内大型企业、港口各作业区的污水处理，并配套中水回用系统。</w:t>
            </w:r>
          </w:p>
        </w:tc>
        <w:tc>
          <w:tcPr>
            <w:tcW w:w="2036" w:type="pct"/>
            <w:vAlign w:val="center"/>
          </w:tcPr>
          <w:p w14:paraId="237E40CA">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经调查，园区蒸汽为饱和蒸汽，最高温度为250℃，项目生物柴油生产线所需最高温度为280℃，工业级混合油生产线所需最高温度为250℃，园区蒸汽温度无法完全满足项目工艺使用需求，且项目生物柴油采用生物酶制法，工艺对温度控制要求苛刻，园区蒸汽受压力限制和蒸汽量存在波动等因素影响，不利于项目的稳定生产。因此，项目拟设置2台导热油炉和1台余热蒸汽锅炉，导热油炉以生物质成型颗粒为燃料，余热蒸汽锅炉利用导热油炉高温烟气产生蒸汽，项目导热油炉和余热蒸汽锅炉建设已取得中国-马来西亚钦州产业园区经济发展局出具的意见（附件10）。项目实行雨污分流，废水在厂区处理达标后排入市政污水管网，输送至钦州胜科水务有限公司污水处理厂进一步处理，排水协议详见附件11。</w:t>
            </w:r>
          </w:p>
        </w:tc>
        <w:tc>
          <w:tcPr>
            <w:tcW w:w="174" w:type="pct"/>
            <w:vAlign w:val="center"/>
          </w:tcPr>
          <w:p w14:paraId="3D88412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45EDB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 w:type="pct"/>
            <w:vMerge w:val="continue"/>
            <w:vAlign w:val="center"/>
          </w:tcPr>
          <w:p w14:paraId="4729466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9" w:type="pct"/>
            <w:vMerge w:val="restart"/>
            <w:vAlign w:val="center"/>
          </w:tcPr>
          <w:p w14:paraId="157EA9EC">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（三）挥发性有机物的治理应纳入企业的环保措施。</w:t>
            </w:r>
          </w:p>
        </w:tc>
        <w:tc>
          <w:tcPr>
            <w:tcW w:w="1990" w:type="pct"/>
            <w:vAlign w:val="center"/>
          </w:tcPr>
          <w:p w14:paraId="2E992EF9">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（1）在石油炼制和石油化工行业，鼓励采用先进的清洁生产技术，提高原油的转化和利用效率。对于设备与管线组件、工艺排气、废气燃烧塔（火炬）、废水处理等过程产生的含VOCs废气污染防治技术措施包括：</w:t>
            </w:r>
          </w:p>
          <w:p w14:paraId="6902EC3E">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①对泵、压缩机、阀门、法兰等易发生泄漏的设备与管线组件，制定泄漏检测与修复（LDAR）计划，定期检测、及时修复，防止或减少跑、冒、滴、漏现象；</w:t>
            </w:r>
          </w:p>
          <w:p w14:paraId="6EB6D6E8">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②对生产装置排放的含VOCs工艺排气宜优先回收利用，不能（或不能完全）回收利用的经处理后达标排放；应急情况下的泄放气可导入燃烧塔（火炬），经过充分燃烧后排放；</w:t>
            </w:r>
          </w:p>
          <w:p w14:paraId="374987AB">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③废水收集和处理过程产生的含VOCs废气经收集处理后达标排放。</w:t>
            </w:r>
          </w:p>
        </w:tc>
        <w:tc>
          <w:tcPr>
            <w:tcW w:w="2036" w:type="pct"/>
            <w:vAlign w:val="center"/>
          </w:tcPr>
          <w:p w14:paraId="1AE68929">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属于石化行业，采用先进的清洁生产技术，生产线工艺废气和储罐大小呼吸废气经RCO催化燃烧装置处理后，通过30m高排气筒（DA001）排放；对泵、压缩机、阀门、法兰等易发生泄漏的设备与管线组件，制定泄漏检测与修复（LDAR）计划，定期检测、及时修复，防止或减少跑、冒、滴、漏现象。</w:t>
            </w:r>
          </w:p>
        </w:tc>
        <w:tc>
          <w:tcPr>
            <w:tcW w:w="174" w:type="pct"/>
            <w:vAlign w:val="center"/>
          </w:tcPr>
          <w:p w14:paraId="19289BC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2B3E5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 w:type="pct"/>
            <w:vMerge w:val="continue"/>
            <w:vAlign w:val="center"/>
          </w:tcPr>
          <w:p w14:paraId="2574B5E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9" w:type="pct"/>
            <w:vMerge w:val="continue"/>
            <w:vAlign w:val="center"/>
          </w:tcPr>
          <w:p w14:paraId="0973CA59">
            <w:pPr>
              <w:spacing w:line="240" w:lineRule="auto"/>
              <w:rPr>
                <w:color w:val="0D0D0D" w:themeColor="text1" w:themeTint="F2"/>
                <w:sz w:val="21"/>
                <w:szCs w:val="21"/>
                <w:u w:val="single"/>
                <w14:textFill>
                  <w14:solidFill>
                    <w14:schemeClr w14:val="tx1">
                      <w14:lumMod w14:val="95000"/>
                      <w14:lumOff w14:val="5000"/>
                    </w14:schemeClr>
                  </w14:solidFill>
                </w14:textFill>
              </w:rPr>
            </w:pPr>
          </w:p>
        </w:tc>
        <w:tc>
          <w:tcPr>
            <w:tcW w:w="1990" w:type="pct"/>
            <w:vAlign w:val="center"/>
          </w:tcPr>
          <w:p w14:paraId="24155847">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（2）在油类（燃油、溶剂）的储存、运输过程中的VOCs污染防治技术措施包括：</w:t>
            </w:r>
          </w:p>
          <w:p w14:paraId="2CCAA6FA">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①储油库、加油站和油罐车宜配备相应的油气收集系统，储油库、加油站宜配备相应的油气回收系统；</w:t>
            </w:r>
          </w:p>
          <w:p w14:paraId="112382AE">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②油类（燃油、溶剂等）储罐宜采用高效密封的内（外）浮顶罐，当采用固定顶罐时，通过密闭排气系统将含VOCs气体输送至回收设备；</w:t>
            </w:r>
          </w:p>
          <w:p w14:paraId="3A2660DE">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③油类（燃油、溶剂等）运载工具（汽车油罐车、铁路油槽车、油轮等）在装载过程中排放的VOCs密闭收集输送至回收设备，也可返回储罐或送入气体管网。</w:t>
            </w:r>
          </w:p>
        </w:tc>
        <w:tc>
          <w:tcPr>
            <w:tcW w:w="2036" w:type="pct"/>
            <w:vAlign w:val="center"/>
          </w:tcPr>
          <w:p w14:paraId="6D5F08C0">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项目废弃油脂、生物柴油及工业级混合油等物料均采用固定顶储罐储存，甲醇采用内浮顶储罐储存，储罐大小呼吸废气经RCO催化燃烧装置处理后，通过30m高排气筒（DA001）排放。</w:t>
            </w:r>
          </w:p>
        </w:tc>
        <w:tc>
          <w:tcPr>
            <w:tcW w:w="174" w:type="pct"/>
            <w:vAlign w:val="center"/>
          </w:tcPr>
          <w:p w14:paraId="71DFA15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2115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 w:type="pct"/>
            <w:vMerge w:val="continue"/>
            <w:vAlign w:val="center"/>
          </w:tcPr>
          <w:p w14:paraId="2414274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9" w:type="pct"/>
            <w:vMerge w:val="restart"/>
            <w:vAlign w:val="center"/>
          </w:tcPr>
          <w:p w14:paraId="3432CFA4">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（四）其他方面的准入条件。</w:t>
            </w:r>
          </w:p>
        </w:tc>
        <w:tc>
          <w:tcPr>
            <w:tcW w:w="1990" w:type="pct"/>
            <w:vAlign w:val="center"/>
          </w:tcPr>
          <w:p w14:paraId="1C54970E">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按照《钦州港临海工业园区发展环境影响报告书》（北海市碧蓝海洋环境保护服务有限公司，2014年10月）的要求，要适当提高企业进入园区的门槛。进入园区的项目不仅要达到经济规模，采用工艺技术符合国家要求，而且还要求原料和产品对环境的友好性。入区必须进行环境影响评价和安全评价，并要求企业建立起切实可行的环境管理制度和清洁生产机制。入驻企业须强制通过清洁生产审计，必要的话入驻企业“三废”排放标准可参照国外先进水平严格要求。入驻企业投资强度应达到7000万元/ha，单位土地面积年工业增加值产出强度要达到15亿～18亿元/k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2</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036" w:type="pct"/>
            <w:vAlign w:val="center"/>
          </w:tcPr>
          <w:p w14:paraId="7433AAB5">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项目实施清洁生产，所用工艺、设备等均符合国家要求，正在开展环境影响评价和安全评价工作。</w:t>
            </w:r>
          </w:p>
        </w:tc>
        <w:tc>
          <w:tcPr>
            <w:tcW w:w="174" w:type="pct"/>
            <w:vAlign w:val="center"/>
          </w:tcPr>
          <w:p w14:paraId="7D28CB8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3E18B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 w:type="pct"/>
            <w:vMerge w:val="continue"/>
            <w:vAlign w:val="center"/>
          </w:tcPr>
          <w:p w14:paraId="4C418BE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9" w:type="pct"/>
            <w:vMerge w:val="continue"/>
            <w:vAlign w:val="center"/>
          </w:tcPr>
          <w:p w14:paraId="09A03C5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990" w:type="pct"/>
            <w:vAlign w:val="center"/>
          </w:tcPr>
          <w:p w14:paraId="633783E9">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（2）工业技术的选择，要选择原料和能源消耗低、污染物排放少的工业技术，单位工业增加值的能耗、水耗和污染物排放量应达到同行业国际先进水平且必须低于地方制定的标准。</w:t>
            </w:r>
          </w:p>
        </w:tc>
        <w:tc>
          <w:tcPr>
            <w:tcW w:w="2036" w:type="pct"/>
            <w:vAlign w:val="center"/>
          </w:tcPr>
          <w:p w14:paraId="63CC6539">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项目采用先进工艺设备和技术，单位工业增加值的能耗、水耗和污染物排放量等可以满足标准要求。</w:t>
            </w:r>
          </w:p>
        </w:tc>
        <w:tc>
          <w:tcPr>
            <w:tcW w:w="174" w:type="pct"/>
            <w:vAlign w:val="center"/>
          </w:tcPr>
          <w:p w14:paraId="335424E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35475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 w:type="pct"/>
            <w:vMerge w:val="continue"/>
            <w:vAlign w:val="center"/>
          </w:tcPr>
          <w:p w14:paraId="5B7576F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9" w:type="pct"/>
            <w:vMerge w:val="continue"/>
            <w:vAlign w:val="center"/>
          </w:tcPr>
          <w:p w14:paraId="446103D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990" w:type="pct"/>
            <w:vAlign w:val="center"/>
          </w:tcPr>
          <w:p w14:paraId="58DD5ED1">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（3）企业污染物排放浓度达到国家或地方规定的排放标准和总量指标。</w:t>
            </w:r>
          </w:p>
        </w:tc>
        <w:tc>
          <w:tcPr>
            <w:tcW w:w="2036" w:type="pct"/>
            <w:vAlign w:val="center"/>
          </w:tcPr>
          <w:p w14:paraId="3F8B609A">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项目污染物排放浓度达到国家或地方规定的排放标准和总量指标。</w:t>
            </w:r>
          </w:p>
        </w:tc>
        <w:tc>
          <w:tcPr>
            <w:tcW w:w="174" w:type="pct"/>
            <w:vAlign w:val="center"/>
          </w:tcPr>
          <w:p w14:paraId="6105C44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7D0EA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 w:type="pct"/>
            <w:vMerge w:val="continue"/>
            <w:vAlign w:val="center"/>
          </w:tcPr>
          <w:p w14:paraId="72A44CC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9" w:type="pct"/>
            <w:vMerge w:val="continue"/>
            <w:vAlign w:val="center"/>
          </w:tcPr>
          <w:p w14:paraId="2423874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990" w:type="pct"/>
            <w:vAlign w:val="center"/>
          </w:tcPr>
          <w:p w14:paraId="02088B61">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按照生态工业园区标准建设产业区，采用循环经济原则，将工业园内各企业的工业三废和有害排放物作为资源在企业间循环利用，变废为宝，化害为利。企业的清洁生产水平需达到国际先进水平，对于有助于循环经济“补链”的企业优先引进。</w:t>
            </w:r>
          </w:p>
        </w:tc>
        <w:tc>
          <w:tcPr>
            <w:tcW w:w="2036" w:type="pct"/>
            <w:vAlign w:val="center"/>
          </w:tcPr>
          <w:p w14:paraId="1CD7B5A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项目实施清洁生产。</w:t>
            </w:r>
          </w:p>
        </w:tc>
        <w:tc>
          <w:tcPr>
            <w:tcW w:w="174" w:type="pct"/>
            <w:vAlign w:val="center"/>
          </w:tcPr>
          <w:p w14:paraId="1A6057A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2B13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 w:type="pct"/>
            <w:vMerge w:val="continue"/>
            <w:vAlign w:val="center"/>
          </w:tcPr>
          <w:p w14:paraId="0427D80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9" w:type="pct"/>
            <w:vMerge w:val="continue"/>
            <w:vAlign w:val="center"/>
          </w:tcPr>
          <w:p w14:paraId="0796D72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990" w:type="pct"/>
            <w:vAlign w:val="center"/>
          </w:tcPr>
          <w:p w14:paraId="40C830B5">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5）所有入园企业都必须依法进行环境影响评价。该规划中所包含的近期（一般为五年）建设项目，对轻污染项目（不涉及热力设施，且挥发性有机物年排放量小于0.1吨、废水纳入管网），经请示环境主管部门的同意后，可以对大气环境、水环境、生态环境现状和评价专题内容可以适当简化。</w:t>
            </w:r>
          </w:p>
        </w:tc>
        <w:tc>
          <w:tcPr>
            <w:tcW w:w="2036" w:type="pct"/>
            <w:vAlign w:val="center"/>
          </w:tcPr>
          <w:p w14:paraId="5B01652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项目依法开展环境影响评价。</w:t>
            </w:r>
          </w:p>
        </w:tc>
        <w:tc>
          <w:tcPr>
            <w:tcW w:w="174" w:type="pct"/>
            <w:vAlign w:val="center"/>
          </w:tcPr>
          <w:p w14:paraId="5F93258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6BC52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 w:type="pct"/>
            <w:vMerge w:val="restart"/>
            <w:vAlign w:val="center"/>
          </w:tcPr>
          <w:p w14:paraId="4AAC5AF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入园区内项目清单</w:t>
            </w:r>
          </w:p>
        </w:tc>
        <w:tc>
          <w:tcPr>
            <w:tcW w:w="529" w:type="pct"/>
            <w:vAlign w:val="center"/>
          </w:tcPr>
          <w:p w14:paraId="512B9F8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正面清单</w:t>
            </w:r>
          </w:p>
        </w:tc>
        <w:tc>
          <w:tcPr>
            <w:tcW w:w="1990" w:type="pct"/>
            <w:vAlign w:val="center"/>
          </w:tcPr>
          <w:p w14:paraId="335C82E6">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（1）具有先进的环境保护技术水平；</w:t>
            </w:r>
          </w:p>
          <w:p w14:paraId="1D8FC325">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（2）采用先进的环境保护技术；</w:t>
            </w:r>
          </w:p>
          <w:p w14:paraId="7C65A3D5">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（3）具备先进的环境管理水平；</w:t>
            </w:r>
          </w:p>
          <w:p w14:paraId="76834AFF">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（4）符合国际先进清洁生产标准；</w:t>
            </w:r>
          </w:p>
          <w:p w14:paraId="441BC8F7">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（5）符合当地生态、环境保护的要求，达到环境污染物总量控制的目标；</w:t>
            </w:r>
          </w:p>
          <w:p w14:paraId="14DCC25D">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（6）有助于园区循环经济“补链”的企业优先引进；</w:t>
            </w:r>
          </w:p>
          <w:p w14:paraId="11951043">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（7）符合本园区产业发展规划的企业。</w:t>
            </w:r>
          </w:p>
        </w:tc>
        <w:tc>
          <w:tcPr>
            <w:tcW w:w="2036" w:type="pct"/>
            <w:vAlign w:val="center"/>
          </w:tcPr>
          <w:p w14:paraId="1E9D8F9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项目建设符合所述要求。</w:t>
            </w:r>
          </w:p>
        </w:tc>
        <w:tc>
          <w:tcPr>
            <w:tcW w:w="174" w:type="pct"/>
            <w:vAlign w:val="center"/>
          </w:tcPr>
          <w:p w14:paraId="1D9B597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50099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 w:type="pct"/>
            <w:vMerge w:val="continue"/>
            <w:vAlign w:val="center"/>
          </w:tcPr>
          <w:p w14:paraId="54989F6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9" w:type="pct"/>
            <w:vAlign w:val="center"/>
          </w:tcPr>
          <w:p w14:paraId="7E2740E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负面清单</w:t>
            </w:r>
          </w:p>
        </w:tc>
        <w:tc>
          <w:tcPr>
            <w:tcW w:w="1990" w:type="pct"/>
            <w:vAlign w:val="center"/>
          </w:tcPr>
          <w:p w14:paraId="05198745">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（1）《市场准入负面清单（2019年版）》；</w:t>
            </w:r>
          </w:p>
          <w:p w14:paraId="7250348B">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（2）不符合园区的产业定位和产业发展规划的项目；</w:t>
            </w:r>
          </w:p>
          <w:p w14:paraId="3C835C97">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（3）《产业结构调整指导目录（2019年本）》限制类、淘汰类项目；</w:t>
            </w:r>
          </w:p>
          <w:p w14:paraId="5AE3071B">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（4）不符合地方产业指导名录规定的项目；</w:t>
            </w:r>
          </w:p>
          <w:p w14:paraId="24FCF31B">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（5）工艺技术落后，不符合广西、钦州产业发展方向，不符合行业准入条件和有关规定，不利于地方产业结构优化升级，需要督促改造和禁止新建的装备及产品。</w:t>
            </w:r>
          </w:p>
          <w:p w14:paraId="42F1B0A4">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（6）不符合国家、地方有关法律法规规定，严重浪费资源、污染环境、不具备安全生产条件，需要淘汰的落后工艺技术、装备及产品。</w:t>
            </w:r>
          </w:p>
        </w:tc>
        <w:tc>
          <w:tcPr>
            <w:tcW w:w="2036" w:type="pct"/>
            <w:vAlign w:val="center"/>
          </w:tcPr>
          <w:p w14:paraId="4D124B6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项目不属于所述要求。</w:t>
            </w:r>
          </w:p>
        </w:tc>
        <w:tc>
          <w:tcPr>
            <w:tcW w:w="174" w:type="pct"/>
            <w:vAlign w:val="center"/>
          </w:tcPr>
          <w:p w14:paraId="51E4C29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r>
    </w:tbl>
    <w:p w14:paraId="00DA2F92">
      <w:pPr>
        <w:pStyle w:val="11"/>
      </w:pPr>
      <w:r>
        <w:rPr>
          <w:rFonts w:hint="eastAsia"/>
        </w:rPr>
        <w:t xml:space="preserve"> 与规划环评审查意见相符性分析一览表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
        <w:gridCol w:w="9967"/>
        <w:gridCol w:w="3164"/>
        <w:gridCol w:w="550"/>
      </w:tblGrid>
      <w:tr w14:paraId="2CE39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 w:type="pct"/>
            <w:vAlign w:val="center"/>
          </w:tcPr>
          <w:p w14:paraId="05E0917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序号</w:t>
            </w:r>
          </w:p>
        </w:tc>
        <w:tc>
          <w:tcPr>
            <w:tcW w:w="3516" w:type="pct"/>
            <w:vAlign w:val="center"/>
          </w:tcPr>
          <w:p w14:paraId="133A51B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意见要求</w:t>
            </w:r>
          </w:p>
        </w:tc>
        <w:tc>
          <w:tcPr>
            <w:tcW w:w="1116" w:type="pct"/>
            <w:vAlign w:val="center"/>
          </w:tcPr>
          <w:p w14:paraId="3F5C9F4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项目情况</w:t>
            </w:r>
          </w:p>
        </w:tc>
        <w:tc>
          <w:tcPr>
            <w:tcW w:w="195" w:type="pct"/>
            <w:vAlign w:val="center"/>
          </w:tcPr>
          <w:p w14:paraId="5F5722E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相符性</w:t>
            </w:r>
          </w:p>
        </w:tc>
      </w:tr>
      <w:tr w14:paraId="0E957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 w:type="pct"/>
            <w:vAlign w:val="center"/>
          </w:tcPr>
          <w:p w14:paraId="32DE545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w:t>
            </w:r>
          </w:p>
        </w:tc>
        <w:tc>
          <w:tcPr>
            <w:tcW w:w="3516" w:type="pct"/>
            <w:vAlign w:val="center"/>
          </w:tcPr>
          <w:p w14:paraId="16570B51">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全面贯彻习近平生态文明思想的绿色发展观，坚持“环保优先、绿色发展”理念，建立健全石化基地循环发展、清洁生产的指标体系并明确落实机制和保障措施。切实维护石化基地和周边区域生态环境质量，坚持高起点规划、高标准建设、高水平管理。钦州石化产业园区要加快转变经济发展方式，以资源环境承载力为基础，促进经济社会与资源环境协调发展，积极探索代价小、效益好、排放低、可持续的环境保护新道路，把科学开发与保护区域生态环境紧密结合起来，努力实现开发与保护双赢。</w:t>
            </w:r>
          </w:p>
        </w:tc>
        <w:tc>
          <w:tcPr>
            <w:tcW w:w="1116" w:type="pct"/>
            <w:vAlign w:val="center"/>
          </w:tcPr>
          <w:p w14:paraId="2459D741">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项目建设满足“三线一单”的相关要求，生产过程满足环保优先、绿色发展理念。</w:t>
            </w:r>
          </w:p>
        </w:tc>
        <w:tc>
          <w:tcPr>
            <w:tcW w:w="195" w:type="pct"/>
            <w:vAlign w:val="center"/>
          </w:tcPr>
          <w:p w14:paraId="25A38E4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47EB2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 w:type="pct"/>
            <w:vAlign w:val="center"/>
          </w:tcPr>
          <w:p w14:paraId="17CD84C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w:t>
            </w:r>
          </w:p>
        </w:tc>
        <w:tc>
          <w:tcPr>
            <w:tcW w:w="3516" w:type="pct"/>
            <w:vAlign w:val="center"/>
          </w:tcPr>
          <w:p w14:paraId="426B05EE">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主动对接生态保护红线划定和国土空间规划编制，将生态保护红线作为保障和维护区域生态安全的底线，依法依规实施强制性保护。严格保护广西茅尾海红树林自然保护区，滨海湿地、金窝水库饮用水源一级保护区等生态保护区，不符合自然保护区和环境功能区划等相关管控要求的各类开发建设活动不得纳入《规划》。</w:t>
            </w:r>
          </w:p>
        </w:tc>
        <w:tc>
          <w:tcPr>
            <w:tcW w:w="1116" w:type="pct"/>
            <w:vAlign w:val="center"/>
          </w:tcPr>
          <w:p w14:paraId="1ECF542E">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项目用地在园区规划范围内，不涉及生态保护红线。</w:t>
            </w:r>
          </w:p>
        </w:tc>
        <w:tc>
          <w:tcPr>
            <w:tcW w:w="195" w:type="pct"/>
            <w:vAlign w:val="center"/>
          </w:tcPr>
          <w:p w14:paraId="12DD1E9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r>
      <w:tr w14:paraId="71D9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 w:type="pct"/>
            <w:vAlign w:val="center"/>
          </w:tcPr>
          <w:p w14:paraId="23DC5B1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w:t>
            </w:r>
          </w:p>
        </w:tc>
        <w:tc>
          <w:tcPr>
            <w:tcW w:w="3516" w:type="pct"/>
            <w:vAlign w:val="center"/>
          </w:tcPr>
          <w:p w14:paraId="579E4F06">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加快现有排污口建设及污水处理厂提标改造，同时随着规划的实施开展3个排污口外迁排海相关技术论证。鉴于钦州港港口规划及规划实施可能对海域水动力条件及近岸海域排污区水环境容量造成影响，应尽快开展海域排污区论证，掌握海域水环境资源，明确园区生产和生活废水排污方案，近期规划依托整改后的A1、A2排口，中远期排污口应重新规划。</w:t>
            </w:r>
          </w:p>
        </w:tc>
        <w:tc>
          <w:tcPr>
            <w:tcW w:w="1116" w:type="pct"/>
            <w:vAlign w:val="center"/>
          </w:tcPr>
          <w:p w14:paraId="6F4A8DB1">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项目实行雨污分流，废水在厂区处理达标后排入市政污水管网，输送至钦州胜科水务有限公司污水处理厂进一步处理。</w:t>
            </w:r>
          </w:p>
        </w:tc>
        <w:tc>
          <w:tcPr>
            <w:tcW w:w="195" w:type="pct"/>
            <w:vAlign w:val="center"/>
          </w:tcPr>
          <w:p w14:paraId="1A2AAA7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3D3BC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74" w:type="pct"/>
            <w:vAlign w:val="center"/>
          </w:tcPr>
          <w:p w14:paraId="4BC1AAA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w:t>
            </w:r>
          </w:p>
        </w:tc>
        <w:tc>
          <w:tcPr>
            <w:tcW w:w="3516" w:type="pct"/>
            <w:vAlign w:val="center"/>
          </w:tcPr>
          <w:p w14:paraId="5FBB8C12">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严格落实规划空间用地方案，优化空间开发格局，尽快完善园区搬迁规划及实施。石化园区规划新增鹿耳片区，规划范围涉及鸡墩头村、老鸦坑、大坡顶、铁藤山等居民点。部分规划项目装置在建设时必须与居民区之间留有足够的安全及环境防护距离，为保证园区产业的健康可持续发展，规划应合理制订搬迁计划，实施时序，并按时落实，消除这些环境敏感点的环境风险。</w:t>
            </w:r>
          </w:p>
        </w:tc>
        <w:tc>
          <w:tcPr>
            <w:tcW w:w="1116" w:type="pct"/>
            <w:vAlign w:val="center"/>
          </w:tcPr>
          <w:p w14:paraId="38F98779">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项目运营期落实各项风险防控措施后，环境风险影响较小。</w:t>
            </w:r>
          </w:p>
        </w:tc>
        <w:tc>
          <w:tcPr>
            <w:tcW w:w="195" w:type="pct"/>
            <w:vAlign w:val="center"/>
          </w:tcPr>
          <w:p w14:paraId="57CF0D3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6584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 w:type="pct"/>
            <w:vAlign w:val="center"/>
          </w:tcPr>
          <w:p w14:paraId="394111A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5</w:t>
            </w:r>
          </w:p>
        </w:tc>
        <w:tc>
          <w:tcPr>
            <w:tcW w:w="3516" w:type="pct"/>
            <w:vAlign w:val="center"/>
          </w:tcPr>
          <w:p w14:paraId="055988BF">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进一步优化《规划》布局、用地和产业发展规模、建设时序和产品方案等，严格控制近期发展的炼油以及石化下游产业规模。</w:t>
            </w:r>
          </w:p>
          <w:p w14:paraId="104EAF07">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加强对石化产业园的环境风险管理，实行园区封闭式管理；完善区域应急方案，指定事故应急疏散点：建议石化区内主要产业区及相关风险源用地外扩1公里范围作为工业区环境风险防控区域。加强环境风险防范及环境风险应急体系建设。落实环境风险防范的主体责任，强化环境风险防范体系建设，形成与各规划区规划项目环境风险相匹配的应急能力，制定环境污染事故应急预案，应急预案应与当地政府和相关部门的应急预案相衔接，配备足够的应急处置设施和器材，加强区域应急物资调配，健全规划园区环境风险防范区域联动机制，有效应对突发环境事件。建立健全“装置-企业-园区”防控体系，在各企业设置环境风险事故应急池的基础上，分片区设置足够容积的园区级公共事故应急池，并形成互相联通系统；优化布局并保持与周边居住区、红树林保护区、滨海湿地等重要敏感目标合理距离，预防和减缓不利环境影响和风险。</w:t>
            </w:r>
          </w:p>
        </w:tc>
        <w:tc>
          <w:tcPr>
            <w:tcW w:w="1116" w:type="pct"/>
            <w:vAlign w:val="center"/>
          </w:tcPr>
          <w:p w14:paraId="359D48FB">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项目运营期落实各项风险防控措施后，环境风险影响较小。</w:t>
            </w:r>
          </w:p>
        </w:tc>
        <w:tc>
          <w:tcPr>
            <w:tcW w:w="195" w:type="pct"/>
            <w:vAlign w:val="center"/>
          </w:tcPr>
          <w:p w14:paraId="6E0589D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5862D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 w:type="pct"/>
            <w:vAlign w:val="center"/>
          </w:tcPr>
          <w:p w14:paraId="3A48C79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6</w:t>
            </w:r>
          </w:p>
        </w:tc>
        <w:tc>
          <w:tcPr>
            <w:tcW w:w="3516" w:type="pct"/>
            <w:vAlign w:val="center"/>
          </w:tcPr>
          <w:p w14:paraId="151E3D35">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落实污染防治措施，针对规划项目废气、废（污）水、体废物、危险化学品仓储及运输等，制定明确，有效地全过程监管方案。优先采用有利于生态环境保护的集疏运方式，强化扬尘、挥发性有机物等无组织排放污染控制和治理，严格各项污染防治措施，完善化学仓储、化学品输送管廊、危险废物（处置中心）规划，依法依规妥善处置固体废物。落实区域总量削减、环境质量改善方案，严格污染物总量控制要求和石化基地环境准入，引进项目的生产工艺、设备、污染治理技术，清洁生产水平等应达到同行业国际先进水平。严格控制石油类、氨氮、总磷等污染物排放浓度及排放量，采取有效措施减少挥发性有机化合物（VOCs）、氮氧化物（NOx）等污染物排放量。参照国际先进的VOCs排放控制体系，提升管理和控制水平。在生产、运输、储存各个环节，加强污染物排放控制和管理，全面提升环境保护管理水平。</w:t>
            </w:r>
          </w:p>
        </w:tc>
        <w:tc>
          <w:tcPr>
            <w:tcW w:w="1116" w:type="pct"/>
            <w:vAlign w:val="center"/>
          </w:tcPr>
          <w:p w14:paraId="441EE110">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项目严格落实各项污染防治措施。</w:t>
            </w:r>
          </w:p>
        </w:tc>
        <w:tc>
          <w:tcPr>
            <w:tcW w:w="195" w:type="pct"/>
            <w:vAlign w:val="center"/>
          </w:tcPr>
          <w:p w14:paraId="6FACEF3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6EE3C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 w:type="pct"/>
            <w:vAlign w:val="center"/>
          </w:tcPr>
          <w:p w14:paraId="638B2CA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7</w:t>
            </w:r>
          </w:p>
        </w:tc>
        <w:tc>
          <w:tcPr>
            <w:tcW w:w="3516" w:type="pct"/>
            <w:vAlign w:val="center"/>
          </w:tcPr>
          <w:p w14:paraId="6D3C6E6F">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建立涵盖水、生态、大气、湿地生态系统、珍稀保护物种、重要生境、渔业资源等环境敏感目标的常态化监测体系，对石化基地及周边主要环境要素中VOCs、半挥发性有机物（SVOC）等石化特征污染物，排污口附近海域的海水水质、沉积物、海洋生物、渔业资源和鱼类“三场”等进行定期监测和评估，并根据监测评估结果适时优化调整《规划》及生态环境保护措施和运营管理；明确环保投资、实施时限、责任主体等。</w:t>
            </w:r>
          </w:p>
        </w:tc>
        <w:tc>
          <w:tcPr>
            <w:tcW w:w="1116" w:type="pct"/>
            <w:vAlign w:val="center"/>
          </w:tcPr>
          <w:p w14:paraId="426596E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项目不涉及海洋环境影响。</w:t>
            </w:r>
          </w:p>
        </w:tc>
        <w:tc>
          <w:tcPr>
            <w:tcW w:w="195" w:type="pct"/>
            <w:vAlign w:val="center"/>
          </w:tcPr>
          <w:p w14:paraId="4E5A07A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r>
      <w:tr w14:paraId="13DF8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 w:type="pct"/>
            <w:vAlign w:val="center"/>
          </w:tcPr>
          <w:p w14:paraId="324F33A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8</w:t>
            </w:r>
          </w:p>
        </w:tc>
        <w:tc>
          <w:tcPr>
            <w:tcW w:w="3516" w:type="pct"/>
            <w:vAlign w:val="center"/>
          </w:tcPr>
          <w:p w14:paraId="237DF413">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应进一步延伸园区下游产业链，积极引入补链产业和静脉产业，拓展和优化石化园区行业内部以及行业间的产品代谢链和废物代谢链，严格控制不属于产业链项目（公用服务项目除外）的引入：应积极引进和扩大区内危险废物处理处置项目，优先引入单位产品能耗低、附加值较高的精细化工项目。建设钦州石化产业园区产品、副产品、固体废物等信息交流平台，整合钦州石化产业园区产业链上、中、下游资源需求，鼓励企业间加强各种代谢废物（如废气中二氧化硫、二氧化碳、污泥等）、蒸汽、中水、产品、副产品等的回收利用和梯级利用，充分发挥石化园区一体化优势，实现园区上游物料与园区下游需求充分对接，构建石化园区绿色循环经济产业链。优化园区环保基础设施建设。</w:t>
            </w:r>
          </w:p>
        </w:tc>
        <w:tc>
          <w:tcPr>
            <w:tcW w:w="1116" w:type="pct"/>
            <w:vAlign w:val="center"/>
          </w:tcPr>
          <w:p w14:paraId="32094549">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项目符合园区发展规划，各类固废处置去向明确，处置措施可行。</w:t>
            </w:r>
          </w:p>
        </w:tc>
        <w:tc>
          <w:tcPr>
            <w:tcW w:w="195" w:type="pct"/>
            <w:vAlign w:val="center"/>
          </w:tcPr>
          <w:p w14:paraId="28B3C6D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55A70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 w:type="pct"/>
            <w:vAlign w:val="center"/>
          </w:tcPr>
          <w:p w14:paraId="02455E1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9</w:t>
            </w:r>
          </w:p>
        </w:tc>
        <w:tc>
          <w:tcPr>
            <w:tcW w:w="3516" w:type="pct"/>
            <w:vAlign w:val="center"/>
          </w:tcPr>
          <w:p w14:paraId="3A368CD7">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按照“以人为本”的原则，合理布局项目，对于防护带应做到用地性质不调整、不开发占用、不蚕食用地。建议钦州市及自贸区钦州港片区层面，进一步优化自贸区钦州港片区中心区、居住文教区的范围和规模，合理调整中心区的布局及未来人口居住区发展方向，限制常住人口规模。进一步优化园区产业布局和开发规模，规划新增的鹿耳片区与中港区居住生活区相连，应尽量避免鹿耳片区大气污染物高排放企业的进驻，并预留环境防护距离。</w:t>
            </w:r>
          </w:p>
        </w:tc>
        <w:tc>
          <w:tcPr>
            <w:tcW w:w="1116" w:type="pct"/>
            <w:vAlign w:val="center"/>
          </w:tcPr>
          <w:p w14:paraId="59C5E5B4">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项目用地满足相关管理要求，经预测不用设置大气环境防护距离。</w:t>
            </w:r>
          </w:p>
        </w:tc>
        <w:tc>
          <w:tcPr>
            <w:tcW w:w="195" w:type="pct"/>
            <w:vAlign w:val="center"/>
          </w:tcPr>
          <w:p w14:paraId="180A13D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6332F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 w:type="pct"/>
            <w:vAlign w:val="center"/>
          </w:tcPr>
          <w:p w14:paraId="030C777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10</w:t>
            </w:r>
          </w:p>
        </w:tc>
        <w:tc>
          <w:tcPr>
            <w:tcW w:w="3516" w:type="pct"/>
            <w:vAlign w:val="center"/>
          </w:tcPr>
          <w:p w14:paraId="104F92EE">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三墩片区规划填海范围较大，并拟布置大型炼化项目，其周边存在三娘湾旅游区、北部湾二长棘鯛长毛对虾国家级种质资源保护区、中华白海豚核心活动区等生态敏感目标。建议规划实施过程中，应按生态优先、集约用地的原则，着力于进行功能布局优化，在已完成围填海的基础上进行集约利用现有陆域和岸线。未来中、远期规模经跟踪评价进一步论证后实施，深挖现有可利用土地资源的潜力，落实《国务院关于加强滨海湿地保护严格管控围填海的通知》精神，严格控制填海造地规模，并在围填海工作开展之前需对围填海的必要性、围填海生态环境影响以及对中华白海豚生态影响等进行充分论证评估，围填海手续完备的前提下，方可开展填海建设。</w:t>
            </w:r>
          </w:p>
        </w:tc>
        <w:tc>
          <w:tcPr>
            <w:tcW w:w="1116" w:type="pct"/>
            <w:vAlign w:val="center"/>
          </w:tcPr>
          <w:p w14:paraId="57C47C9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项目不在三墩片区。</w:t>
            </w:r>
          </w:p>
        </w:tc>
        <w:tc>
          <w:tcPr>
            <w:tcW w:w="195" w:type="pct"/>
            <w:vAlign w:val="center"/>
          </w:tcPr>
          <w:p w14:paraId="27EDA72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r>
      <w:tr w14:paraId="17E8A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 w:type="pct"/>
            <w:vAlign w:val="center"/>
          </w:tcPr>
          <w:p w14:paraId="35BE37B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11</w:t>
            </w:r>
          </w:p>
        </w:tc>
        <w:tc>
          <w:tcPr>
            <w:tcW w:w="3516" w:type="pct"/>
            <w:vAlign w:val="center"/>
          </w:tcPr>
          <w:p w14:paraId="5D6B19BA">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应进一步加强环境监管能力建设，根据功能分区、产业布局、重点项目和装置分布、特征污染物排放情况、环境敏感目标分布等，建立和完善大气、海洋、土壤、地下水等环境要素的监控体系，进行定期监测和评估，根据监测和评估结果适时优化《规划》。在生产、运输、储存各个环节，加强污染物排放控制和管理，全面提升环境保护管理水平，加强NOx和VOCs等臭氧前体物协同监控，采用国际先进的VOCs排放控制体系，加强重点污染物VOCs监测监控，加强环境信息共享，不断提升管理和控制水平。</w:t>
            </w:r>
          </w:p>
        </w:tc>
        <w:tc>
          <w:tcPr>
            <w:tcW w:w="1116" w:type="pct"/>
            <w:vAlign w:val="center"/>
          </w:tcPr>
          <w:p w14:paraId="70C6D6A6">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项目运营期严格落实各项环保措施，加强非甲烷总烃等臭氧前体物协同监控，加强环境信息共享。</w:t>
            </w:r>
          </w:p>
        </w:tc>
        <w:tc>
          <w:tcPr>
            <w:tcW w:w="195" w:type="pct"/>
            <w:vAlign w:val="center"/>
          </w:tcPr>
          <w:p w14:paraId="1725959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3A2DD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 w:type="pct"/>
            <w:vAlign w:val="center"/>
          </w:tcPr>
          <w:p w14:paraId="52A6C1F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12</w:t>
            </w:r>
          </w:p>
        </w:tc>
        <w:tc>
          <w:tcPr>
            <w:tcW w:w="3516" w:type="pct"/>
            <w:vAlign w:val="center"/>
          </w:tcPr>
          <w:p w14:paraId="626B9C02">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在《规划》实施过程中产生重大不良环境影响的，规划编制机关应当及时提出改进措施，向规划审批机关报告，并通报环境保护等有关部门；规划正式实施每五年应依法开展环境影响跟踪评价，将评价结果报告规划审批机关，并通报环境保护等有关部门；在《规划》修编时应重新编制环境影响报告书。</w:t>
            </w:r>
          </w:p>
        </w:tc>
        <w:tc>
          <w:tcPr>
            <w:tcW w:w="1116" w:type="pct"/>
            <w:vAlign w:val="center"/>
          </w:tcPr>
          <w:p w14:paraId="554CE7E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项目建设满足规划环评要求。</w:t>
            </w:r>
          </w:p>
        </w:tc>
        <w:tc>
          <w:tcPr>
            <w:tcW w:w="195" w:type="pct"/>
            <w:vAlign w:val="center"/>
          </w:tcPr>
          <w:p w14:paraId="026A117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bl>
    <w:p w14:paraId="4276784F">
      <w:pPr>
        <w:pStyle w:val="10"/>
        <w:sectPr>
          <w:pgSz w:w="16838" w:h="11906" w:orient="landscape"/>
          <w:pgMar w:top="1440" w:right="1440" w:bottom="1440" w:left="1440" w:header="851" w:footer="992" w:gutter="0"/>
          <w:cols w:space="425" w:num="1"/>
          <w:docGrid w:type="linesAndChars" w:linePitch="312" w:charSpace="0"/>
        </w:sectPr>
      </w:pPr>
    </w:p>
    <w:p w14:paraId="2E27FB61">
      <w:pPr>
        <w:pStyle w:val="10"/>
      </w:pPr>
      <w:r>
        <w:rPr>
          <w:rFonts w:hint="eastAsia"/>
        </w:rPr>
        <w:t>《中国（广西）自由贸易试验区钦州港片区国土空间分区规划（2023-2035年）》相符性分析</w:t>
      </w:r>
    </w:p>
    <w:p w14:paraId="430FBB8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中国-马来西亚钦州产业园区管理委员会关于印发&lt;中国（广西）自由贸易试验区钦州港片区国土空间分区规划（2023-2035年）&gt;的通知》（中马园发〔2024〕20号），规划范围为钦州港片区管辖范围。规划目标为：到2030年，钦州港片区完成整合建设。实现“国际门户港、自贸试验区、绿色石化园、滨海运河城”近期建设目标，形成绿色石化、化纤纺织服装、电子信息、生物医药、海洋装备制造、新能源材料及新能源汽车零部件六大产业集群。到2035年，全面建成“港产城”融合的国际自由贸易产业新区。更高水平上实现“国际门户港、自贸试验区、绿色石化园、滨海运河城”的发展愿景，建成有竞争力的现代化经济体系。成为面向东盟、服务“一带一路”、连接国内国际“双循环”新发展格局中的全国沿海重要城市；国际性交通枢纽基本建立，成为西部陆海新通道的重要枢纽城市。展望2050年，面向东盟的社会主义现代化滨海运河门户港全面建成，形成“江铁海”联动的现代化临港产业新城，各项经济社会发展指标达到国内领先水平，国土空间治理体系和治理能力实现现代化，全球链接能力显著提高。</w:t>
      </w:r>
    </w:p>
    <w:p w14:paraId="3866408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发展定位为：</w:t>
      </w:r>
    </w:p>
    <w:p w14:paraId="4D06417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国际重要航运中心和贸易平台。以中国（广西）自由贸易试验区钦州港片区为主导，统筹钦州综合保税区、中马钦州产业园区、北部湾集装箱干线港等众多国家和区域战略平台的政策优势，持续不断提升对外开放水平，建成国际重要航运中心和贸易平台。</w:t>
      </w:r>
    </w:p>
    <w:p w14:paraId="26ABAAC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国家重要的沿边临港产业园区。打造西南沿海地区最大的能源化工基地以及全国重要的原油、煤炭等战略性资源能源保障基地，壮大以石化化工、装备制造为核心临港产业体系，建设现代化的国家沿边临港产业园区。</w:t>
      </w:r>
    </w:p>
    <w:p w14:paraId="250993E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（3）向海经济示范区。以西部陆海新通道、平陆运河经济带、粤港澳大湾区战略腹地为支撑，突出钦州港片区“港口枢纽”的向海经济发展优势，构建跨区域产业供应链，推动钦州向海经济高质量发展。</w:t>
      </w:r>
    </w:p>
    <w:p w14:paraId="0C1FD2A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国内国际双循环市场经营便利的门户港。对标国际高标准经贸规则，推动制度型开放，深化拓展与东盟国家在商贸、劳务、产业、科技、教育等领域合作，大力提升投资、贸易、消费、资金流动、人员往来、物流畅通等便利化水平，积极服务建设中国-东盟命运共同体，在促进国内国际双循环中发挥更大作用，打造市场经营便利的门户港。</w:t>
      </w:r>
    </w:p>
    <w:p w14:paraId="544EC2F8">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位于中国（广西）自由贸易试验区钦州港片区临海大道西侧、勒沟东大街北侧地块（地块编号：QZG-M12-02），用地性质为工业用地（M），规划主导用途为石油、煤炭及其他燃料加工业，属于规划中的绿色石化园。项目外购符合《生物柴油（BD100）原料  废弃油脂》（NB/T13007-2021）的废弃动植物油脂（不包含废弃工业油脂）为原料进行深加工，不涉及废弃油脂的酸化脱乳等预处理工艺。生物柴油生产线以废弃动植物油脂为原料，甲醇为辅料，生物酶（脂肪酶）为催化剂，采用生物酶法工艺，主要经过酯化、分离、蒸馏、精制提纯等工序，年产30万吨生物柴油（主产品）、1.5万吨精甘油（副产品）和1.2万吨重质脂肪酸（副产品）；工业级混合油生产线以废弃动植物油脂为原料，白土和精甘油为辅料，主要经过水洗、脱水、脱色、过滤、酯化、蒸馏脱酸等工序，年产10万吨工业级混合油（主产品）。项目属于石化产业，符合园区产业规划，符合《中国（广西）自由贸易试验区钦州港片区国土空间分区规划（2023-2035年）》（中马园发〔2024〕20号）要求。</w:t>
      </w:r>
    </w:p>
    <w:p w14:paraId="6B019CDB">
      <w:pPr>
        <w:pStyle w:val="10"/>
      </w:pPr>
      <w:bookmarkStart w:id="71" w:name="_Hlk193645824"/>
      <w:r>
        <w:rPr>
          <w:rFonts w:hint="eastAsia"/>
        </w:rPr>
        <w:t>《钦州市国土空间总体规划（2021-2035年）》</w:t>
      </w:r>
      <w:bookmarkEnd w:id="71"/>
      <w:r>
        <w:rPr>
          <w:rFonts w:hint="eastAsia"/>
        </w:rPr>
        <w:t>相符性分析</w:t>
      </w:r>
    </w:p>
    <w:p w14:paraId="5B2E4E3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w:t>
      </w:r>
      <w:bookmarkStart w:id="72" w:name="_Hlk193645952"/>
      <w:r>
        <w:rPr>
          <w:rFonts w:hint="eastAsia"/>
          <w:color w:val="0D0D0D" w:themeColor="text1" w:themeTint="F2"/>
          <w14:textFill>
            <w14:solidFill>
              <w14:schemeClr w14:val="tx1">
                <w14:lumMod w14:val="95000"/>
                <w14:lumOff w14:val="5000"/>
              </w14:schemeClr>
            </w14:solidFill>
          </w14:textFill>
        </w:rPr>
        <w:t>《钦州市国土空间总体规划（2021-2035年）》</w:t>
      </w:r>
      <w:bookmarkEnd w:id="72"/>
      <w:r>
        <w:rPr>
          <w:rFonts w:hint="eastAsia"/>
          <w:color w:val="0D0D0D" w:themeColor="text1" w:themeTint="F2"/>
          <w14:textFill>
            <w14:solidFill>
              <w14:schemeClr w14:val="tx1">
                <w14:lumMod w14:val="95000"/>
                <w14:lumOff w14:val="5000"/>
              </w14:schemeClr>
            </w14:solidFill>
          </w14:textFill>
        </w:rPr>
        <w:t>和《广西壮族自治区人民政府关于&lt;钦州市国土空间总体规划（2021-2035年）&gt;的批复》（桂政函〔2024〕17号），强化中心城区临港产业集群发展，以“龙头企业+产业链”为主要路径，加快大企业、大产业集聚，打造以绿色石化、高端装备制造为龙头的先进制造业，加快形成现代临港工业集群。培育发展高端装备制造业、新一代信息技术产业、新材料产业和生物制药产业、新能源产业、节能环保产业、新能源汽车产业。自贸区钦州港经济技术开发区重点布局绿色石化、装备制造、新能源材料、浆纸、能源等产业。</w:t>
      </w:r>
    </w:p>
    <w:p w14:paraId="3A42F056">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位于中国（广西）自由贸易试验区钦州港片区临海大道西侧、勒沟东大街北侧地块（地块编号：QZG-M12-02），用地性质为工业用地（M），规划主导用途为石油、煤炭及其他燃料加工业。项目外购符合《生物柴油（BD100）原料  废弃油脂》（NB/T13007-2021）的废弃动植物油脂（不包含废弃工业油脂）为原料进行深加工，不涉及废弃油脂的酸化脱乳等预处理工艺。生物柴油生产线以废弃动植物油脂为原料，甲醇为辅料，生物酶（脂肪酶）为催化剂，采用生物酶法工艺，主要经过酯化、分离、蒸馏、精制提纯等工序，年产30万吨生物柴油（主产品）、1.5万吨精甘油（副产品）和1.2万吨重质脂肪酸（副产品）；工业级混合油生产线以废弃动植物油脂为原料，白土和精甘油为辅料，主要经过水洗、脱水、脱色、过滤、酯化、蒸馏脱酸等工序，年产10万吨工业级混合油（主产品）。项目属于石化产业，符合园区产业规划，因此，项目建设符合《钦州市国土空间总体规划（2021-2035年）》要求。</w:t>
      </w:r>
    </w:p>
    <w:p w14:paraId="72FC1404">
      <w:pPr>
        <w:pStyle w:val="10"/>
      </w:pPr>
      <w:r>
        <w:rPr>
          <w:rFonts w:hint="eastAsia"/>
        </w:rPr>
        <w:t>《广西北部湾经济区北钦防一体化发展规划（2019-2025年）》相符性分析</w:t>
      </w:r>
    </w:p>
    <w:p w14:paraId="01AC99E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广西北部湾经济区北钦防一体化发展规划（2019-2025年）》，构建临港优势产业带、临港新兴产业带、旅游康养带，强化产业分工，突出北钦防产业发展重点，推动产业合理布局。临港优势产业带：依托北海铁山港（临海）工业区、钦州港经开区、防城港经开区等一批临港工业园区和北海诚德新材料、钦州华谊化工、防城港钢铁基地和红沙核电站等一批重点项目，大力发展石油化工、冶金及有色金属、林浆纸、食品加工、能源等产业，加快建设北部湾石化基地、冶金及有色金属精深加工基地、林浆纸一体化基地、食品加工基地、能源基地，打造临港优势产业带。</w:t>
      </w:r>
    </w:p>
    <w:p w14:paraId="6F5E288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明确北钦防产业重点。发挥北钦防比较优势，强化分工合作、错位发展，提升北钦防发展整体水平和效率。支持北海市重点发展智能终端及新型显示为主的电子信息、丙烯深加工为主的精细化工、不锈钢制品为主的新材料等产业。支持钦州市重点发展乙烯及芳烃为主的石油化工、高档纸板为主的林浆纸、海洋装备为主的先进装备制造等产业。支持防城港市重点发展中高端钢制品为主的冶金和铝铜镍加工为主的有色金属精深加工、核能为主的新能源、大豆菜籽加工为主的粮油加工、跨境产品精深加工为主的加工贸易等产业。支持北钦防大力发展以数字经济为主导的战略性新兴产业。</w:t>
      </w:r>
    </w:p>
    <w:p w14:paraId="1661D089">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位于中国（广西）自由贸易试验区钦州港片区临海大道西侧、勒沟东大街北侧地块（地块编号：QZG-M12-02），用地性质为工业用地（M），规划主导用途为石油、煤炭及其他燃料加工业。项目外购符合《生物柴油（BD100）原料  废弃油脂》（NB/T13007-2021）的废弃动植物油脂（不包含废弃工业油脂）为原料进行深加工，不涉及废弃油脂的酸化脱乳等预处理工艺。生物柴油生产线以废弃动植物油脂为原料，甲醇为辅料，生物酶（脂肪酶）为催化剂，采用生物酶法工艺，主要经过酯化、分离、蒸馏、精制提纯等工序，年产30万吨生物柴油（主产品）、1.5万吨精甘油（副产品）和1.2万吨重质脂肪酸（副产品）；工业级混合油生产线以废弃动植物油脂为原料，白土和精甘油为辅料，主要经过水洗、脱水、脱色、过滤、酯化、蒸馏脱酸等工序，年产10万吨工业级混合油（主产品）。项目属于石化产业，符合园区产业规划，符合北钦防发展规划，因此，项目建设符合《广西北部湾经济区北钦防一体化发展规划（2019-2025年）》要求。</w:t>
      </w:r>
    </w:p>
    <w:p w14:paraId="60A58645">
      <w:pPr>
        <w:pStyle w:val="10"/>
      </w:pPr>
      <w:r>
        <w:rPr>
          <w:rFonts w:hint="eastAsia"/>
        </w:rPr>
        <w:t>《广西生态环境保护“十四五”规划》相符性分析</w:t>
      </w:r>
    </w:p>
    <w:p w14:paraId="757A869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根据《广西壮族自治区人民政府办公厅关于印发广西生态环境保护“十四五”规划的通知》（桂政办发〔</w:t>
      </w:r>
      <w:r>
        <w:rPr>
          <w:color w:val="0D0D0D" w:themeColor="text1" w:themeTint="F2"/>
          <w14:textFill>
            <w14:solidFill>
              <w14:schemeClr w14:val="tx1">
                <w14:lumMod w14:val="95000"/>
                <w14:lumOff w14:val="5000"/>
              </w14:schemeClr>
            </w14:solidFill>
          </w14:textFill>
        </w:rPr>
        <w:t>2021</w:t>
      </w:r>
      <w:r>
        <w:rPr>
          <w:rFonts w:hint="eastAsia"/>
          <w:color w:val="0D0D0D" w:themeColor="text1" w:themeTint="F2"/>
          <w14:textFill>
            <w14:solidFill>
              <w14:schemeClr w14:val="tx1">
                <w14:lumMod w14:val="95000"/>
                <w14:lumOff w14:val="5000"/>
              </w14:schemeClr>
            </w14:solidFill>
          </w14:textFill>
        </w:rPr>
        <w:t>〕</w:t>
      </w:r>
      <w:r>
        <w:rPr>
          <w:color w:val="0D0D0D" w:themeColor="text1" w:themeTint="F2"/>
          <w14:textFill>
            <w14:solidFill>
              <w14:schemeClr w14:val="tx1">
                <w14:lumMod w14:val="95000"/>
                <w14:lumOff w14:val="5000"/>
              </w14:schemeClr>
            </w14:solidFill>
          </w14:textFill>
        </w:rPr>
        <w:t>145</w:t>
      </w:r>
      <w:r>
        <w:rPr>
          <w:rFonts w:hint="eastAsia"/>
          <w:color w:val="0D0D0D" w:themeColor="text1" w:themeTint="F2"/>
          <w14:textFill>
            <w14:solidFill>
              <w14:schemeClr w14:val="tx1">
                <w14:lumMod w14:val="95000"/>
                <w14:lumOff w14:val="5000"/>
              </w14:schemeClr>
            </w14:solidFill>
          </w14:textFill>
        </w:rPr>
        <w:t>号），加快优化产业结构。严格执行新修订的《产业结构调整指导目录》等国家产业政策，严控“两高一资”项目新增产能规模，持续推进淘汰落后产能和化解过剩产能。对石化、煤化工、燃煤发电（含热电）、钢铁、有色金属、制浆造纸等重点行业建设项目采取区域削减、强化区域整治、行业减排等措施，腾出环境容量，实现区域“增产不增污”。严格执行环境准入负面清单和重点生态功能区产业准入负面清单制度，实行新（改、扩）建项目排放污染物等量或减量置换。推进传统产业绿色化改造，支持产业补链强链延链。开展有色金属、石化、冶金、建材等产业生态化改造，加快推进制糖、机械、有色金属、冶金、建材、造纸与木材加工、茧丝绸等产业向高端化、智能化、绿色化转型升级，开展电力、钢铁、建材等行业的减污降碳协同治理。</w:t>
      </w:r>
    </w:p>
    <w:p w14:paraId="005CA1C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生物柴油生产和工业级混合油生产均属于《产业结构调整指导目录（2024年本）》的鼓励类项目，不在广西两高目录清单的范围内，不属于两高项目。因此，项目建设符合《广西生态环境保护“十四五”规划》（桂政办发〔2021〕145号）要求。</w:t>
      </w:r>
    </w:p>
    <w:p w14:paraId="24FD8CED">
      <w:pPr>
        <w:pStyle w:val="10"/>
      </w:pPr>
      <w:r>
        <w:rPr>
          <w:rFonts w:hint="eastAsia"/>
        </w:rPr>
        <w:t>《钦州市生态环境保护“十四五”规划》相符性分析</w:t>
      </w:r>
    </w:p>
    <w:p w14:paraId="0B4A87B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钦州市人民政府办公室关于印发钦州市生态环境保护“十四五”规划的通知》（钦政办〔2022〕16号），到2025年，实现环境质量进一步改善，减污降碳实现协同增效，重点领域污染治理取得更大成效，水环境质量全面改善，空气质量稳定达标，生态环境质量稳中向好，森林覆盖率保持在57%左右，绿色低碳循环发展体系更加完善，生态环境治理制度体系基本建立，为2035年达到“生态环境根本好转，美丽中国”远景目标的实现打下坚实基础。</w:t>
      </w:r>
    </w:p>
    <w:p w14:paraId="33D58F7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位于广西钦州石化产业园金谷片区，采取先进的工艺、技术和设备进行生产，废水在厂区处理达标后排入市政污水管网，输送至钦州胜科水务有限公司污水处理厂进一步处理；噪声采取减振、合理布设等措施降噪；固废处置去向明确。在落实和采取各项污染防治措施后，项目污染物排放对区域环境质量影响在可接受范围内。因此，项目建设符合《钦州市生态环境保护“十四五”规划》（钦政办〔2022〕16号）要求。</w:t>
      </w:r>
    </w:p>
    <w:p w14:paraId="77A78724">
      <w:pPr>
        <w:pStyle w:val="10"/>
      </w:pPr>
      <w:r>
        <w:rPr>
          <w:rFonts w:hint="eastAsia"/>
        </w:rPr>
        <w:t>《钦州市石化产业高质量发展“十四五”规划》相符性分析</w:t>
      </w:r>
    </w:p>
    <w:p w14:paraId="1D7DA8C4">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钦州市人民政府办公室关于印发钦州市石化产业高质量发展“十四五”规划的通知》（钦政办〔2022〕33号），以产业高端化、绿色化为引领，依托“油、煤、气、盐”多元化原料供应体系，发挥龙头引领驱动效应、尾链特色化集群效应、链条跨区域协同效应及产业绿色化示范效应，重点延伸发展高附加值、高技术含量的化工新材料、精细化工及专用化学品等下游产业链，推动全产业链优化升级,着力打造面向东盟、服务西南的先进绿色石化产业基地。</w:t>
      </w:r>
    </w:p>
    <w:p w14:paraId="09BD703F">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加强行业源头管控。严格执行《广西新建石化和化工生产项目准入管理办法》等有关规定，入园项目需符合国家产业政策、行业规范、地方发展规划和绿色发展等要求，重点聚焦亩均预期投资强度、产值和税收、安全环保水平、企业综合实力等评价指标，严把项目准入关。针对已落户企业实行动态评估，督促不符合国家相关法律法规、标准、产业政策规定的项目开展技术改造、转型升级，对无法通过整改达到相关规定的企业或项目依法实施退出，进一步优化项目布局、提升土地集约化利用水平以及产业园的整体运营效率。</w:t>
      </w:r>
    </w:p>
    <w:p w14:paraId="5AEE28E1">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位于中国（广西）自由贸易试验区钦州港片区临海大道西侧、勒沟东大街北侧地块（地块编号：QZG-M12-02），用地性质为工业用地（M），规划主导用途为石油、煤炭及其他燃料加工业。项目外购符合《生物柴油（BD100）原料  废弃油脂》（NB/T13007-2021）的废弃动植物油脂（不包含废弃工业油脂）为原料进行深加工，不涉及废弃油脂的酸化脱乳等预处理工艺。生物柴油生产线以废弃动植物油脂为原料，甲醇为辅料，生物酶（脂肪酶）为催化剂，采用生物酶法工艺，主要经过酯化、分离、蒸馏、精制提纯等工序，年产30万吨生物柴油（主产品）、1.5万吨精甘油（副产品）和1.2万吨重质脂肪酸（副产品）；工业级混合油生产线以废弃动植物油脂为原料，白土和精甘油为辅料，主要经过水洗、脱水、脱色、过滤、酯化、蒸馏脱酸等工序，年产10万吨工业级混合油（主产品）。项目属于石化产业，符合园区产业规划，符合《广西新建石化和化工生产项目准入管理办法》要求。因此，项目建设符合《钦州市人民政府办公室关于印发钦州市石化产业高质量发展“十四五”规划的通知》（钦政办〔2022〕33号）要求。</w:t>
      </w:r>
    </w:p>
    <w:p w14:paraId="7621CE56">
      <w:pPr>
        <w:pStyle w:val="9"/>
      </w:pPr>
      <w:bookmarkStart w:id="73" w:name="_Toc204062556"/>
      <w:r>
        <w:rPr>
          <w:rFonts w:hint="eastAsia"/>
        </w:rPr>
        <w:t>政策相符性分析</w:t>
      </w:r>
      <w:bookmarkEnd w:id="73"/>
    </w:p>
    <w:p w14:paraId="33E92FF3">
      <w:pPr>
        <w:pStyle w:val="10"/>
      </w:pPr>
      <w:r>
        <w:rPr>
          <w:rFonts w:hint="eastAsia"/>
        </w:rPr>
        <w:t>《地下水管理条例》相符性分析</w:t>
      </w:r>
    </w:p>
    <w:p w14:paraId="502464D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项目建设与《地下水管理条例》（国务院令第748号）相符性分析详见表2.7-3。</w:t>
      </w:r>
    </w:p>
    <w:p w14:paraId="58701FB4">
      <w:pPr>
        <w:pStyle w:val="11"/>
        <w:numPr>
          <w:ilvl w:val="4"/>
          <w:numId w:val="25"/>
        </w:numPr>
      </w:pPr>
      <w:r>
        <w:rPr>
          <w:rFonts w:hint="eastAsia"/>
        </w:rPr>
        <w:t xml:space="preserve"> 《地下水管理条例》相符性分析一览表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4717"/>
        <w:gridCol w:w="3468"/>
        <w:gridCol w:w="492"/>
      </w:tblGrid>
      <w:tr w14:paraId="72B26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06" w:type="pct"/>
            <w:vAlign w:val="center"/>
          </w:tcPr>
          <w:p w14:paraId="7F0C9E94">
            <w:pPr>
              <w:adjustRightInd w:val="0"/>
              <w:snapToGrid w:val="0"/>
              <w:spacing w:line="240" w:lineRule="auto"/>
              <w:jc w:val="center"/>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hint="eastAsia" w:cs="Times New Roman"/>
                <w:snapToGrid w:val="0"/>
                <w:color w:val="0D0D0D" w:themeColor="text1" w:themeTint="F2"/>
                <w:spacing w:val="12"/>
                <w:sz w:val="21"/>
                <w14:textFill>
                  <w14:solidFill>
                    <w14:schemeClr w14:val="tx1">
                      <w14:lumMod w14:val="95000"/>
                      <w14:lumOff w14:val="5000"/>
                    </w14:schemeClr>
                  </w14:solidFill>
                </w14:textFill>
              </w:rPr>
              <w:t>名称</w:t>
            </w:r>
          </w:p>
        </w:tc>
        <w:tc>
          <w:tcPr>
            <w:tcW w:w="2552" w:type="pct"/>
            <w:vAlign w:val="center"/>
          </w:tcPr>
          <w:p w14:paraId="222C8E5A">
            <w:pPr>
              <w:adjustRightInd w:val="0"/>
              <w:snapToGrid w:val="0"/>
              <w:spacing w:line="240" w:lineRule="auto"/>
              <w:jc w:val="center"/>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hint="eastAsia" w:cs="Times New Roman"/>
                <w:snapToGrid w:val="0"/>
                <w:color w:val="0D0D0D" w:themeColor="text1" w:themeTint="F2"/>
                <w:spacing w:val="12"/>
                <w:sz w:val="21"/>
                <w14:textFill>
                  <w14:solidFill>
                    <w14:schemeClr w14:val="tx1">
                      <w14:lumMod w14:val="95000"/>
                      <w14:lumOff w14:val="5000"/>
                    </w14:schemeClr>
                  </w14:solidFill>
                </w14:textFill>
              </w:rPr>
              <w:t>条例要求</w:t>
            </w:r>
          </w:p>
        </w:tc>
        <w:tc>
          <w:tcPr>
            <w:tcW w:w="1876" w:type="pct"/>
            <w:vAlign w:val="center"/>
          </w:tcPr>
          <w:p w14:paraId="225DCC78">
            <w:pPr>
              <w:adjustRightInd w:val="0"/>
              <w:snapToGrid w:val="0"/>
              <w:spacing w:line="240" w:lineRule="auto"/>
              <w:jc w:val="center"/>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hint="eastAsia" w:cs="Times New Roman"/>
                <w:snapToGrid w:val="0"/>
                <w:color w:val="0D0D0D" w:themeColor="text1" w:themeTint="F2"/>
                <w:spacing w:val="12"/>
                <w:sz w:val="21"/>
                <w14:textFill>
                  <w14:solidFill>
                    <w14:schemeClr w14:val="tx1">
                      <w14:lumMod w14:val="95000"/>
                      <w14:lumOff w14:val="5000"/>
                    </w14:schemeClr>
                  </w14:solidFill>
                </w14:textFill>
              </w:rPr>
              <w:t>项目情况</w:t>
            </w:r>
          </w:p>
        </w:tc>
        <w:tc>
          <w:tcPr>
            <w:tcW w:w="266" w:type="pct"/>
            <w:vAlign w:val="center"/>
          </w:tcPr>
          <w:p w14:paraId="0379CCCC">
            <w:pPr>
              <w:adjustRightInd w:val="0"/>
              <w:snapToGrid w:val="0"/>
              <w:spacing w:line="240" w:lineRule="auto"/>
              <w:jc w:val="center"/>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hint="eastAsia" w:cs="Times New Roman"/>
                <w:snapToGrid w:val="0"/>
                <w:color w:val="0D0D0D" w:themeColor="text1" w:themeTint="F2"/>
                <w:spacing w:val="12"/>
                <w:sz w:val="21"/>
                <w14:textFill>
                  <w14:solidFill>
                    <w14:schemeClr w14:val="tx1">
                      <w14:lumMod w14:val="95000"/>
                      <w14:lumOff w14:val="5000"/>
                    </w14:schemeClr>
                  </w14:solidFill>
                </w14:textFill>
              </w:rPr>
              <w:t>结论</w:t>
            </w:r>
          </w:p>
        </w:tc>
      </w:tr>
      <w:tr w14:paraId="5EEDC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 w:type="pct"/>
            <w:vAlign w:val="center"/>
          </w:tcPr>
          <w:p w14:paraId="4022CB7E">
            <w:pPr>
              <w:adjustRightInd w:val="0"/>
              <w:snapToGrid w:val="0"/>
              <w:spacing w:line="240" w:lineRule="auto"/>
              <w:jc w:val="center"/>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hint="eastAsia" w:cs="Times New Roman"/>
                <w:snapToGrid w:val="0"/>
                <w:color w:val="0D0D0D" w:themeColor="text1" w:themeTint="F2"/>
                <w:spacing w:val="12"/>
                <w:sz w:val="21"/>
                <w14:textFill>
                  <w14:solidFill>
                    <w14:schemeClr w14:val="tx1">
                      <w14:lumMod w14:val="95000"/>
                      <w14:lumOff w14:val="5000"/>
                    </w14:schemeClr>
                  </w14:solidFill>
                </w14:textFill>
              </w:rPr>
              <w:t>第二十一条</w:t>
            </w:r>
          </w:p>
        </w:tc>
        <w:tc>
          <w:tcPr>
            <w:tcW w:w="2552" w:type="pct"/>
            <w:vAlign w:val="center"/>
          </w:tcPr>
          <w:p w14:paraId="11E5779E">
            <w:pPr>
              <w:adjustRightInd w:val="0"/>
              <w:snapToGrid w:val="0"/>
              <w:spacing w:line="240" w:lineRule="auto"/>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hint="eastAsia" w:cs="Times New Roman"/>
                <w:snapToGrid w:val="0"/>
                <w:color w:val="0D0D0D" w:themeColor="text1" w:themeTint="F2"/>
                <w:spacing w:val="12"/>
                <w:sz w:val="21"/>
                <w14:textFill>
                  <w14:solidFill>
                    <w14:schemeClr w14:val="tx1">
                      <w14:lumMod w14:val="95000"/>
                      <w14:lumOff w14:val="5000"/>
                    </w14:schemeClr>
                  </w14:solidFill>
                </w14:textFill>
              </w:rPr>
              <w:t>取用地下水的单位和个人应当遵守取水总量控制和定额管理要求，使用先进节约用水技术、工艺和设备，采取循环用水、综合利用及废水处理回用等措施，实施技术改造，降低用水消耗。对下列工艺、设备和产品，应当在规定的期限内停止生产、销售、进口或者使用：①列入淘汰落后的、耗水量高的工艺、设备和产品名录的；②列入限期禁止采用的严重污染水环境的工艺名录和限期禁止生产、销售、进口、使用的严重污染水环境的设备名录的。</w:t>
            </w:r>
          </w:p>
        </w:tc>
        <w:tc>
          <w:tcPr>
            <w:tcW w:w="1876" w:type="pct"/>
            <w:vAlign w:val="center"/>
          </w:tcPr>
          <w:p w14:paraId="2B2AAFE2">
            <w:pPr>
              <w:adjustRightInd w:val="0"/>
              <w:snapToGrid w:val="0"/>
              <w:spacing w:line="240" w:lineRule="auto"/>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cs="Times New Roman"/>
                <w:snapToGrid w:val="0"/>
                <w:color w:val="0D0D0D" w:themeColor="text1" w:themeTint="F2"/>
                <w:spacing w:val="12"/>
                <w:sz w:val="21"/>
                <w14:textFill>
                  <w14:solidFill>
                    <w14:schemeClr w14:val="tx1">
                      <w14:lumMod w14:val="95000"/>
                      <w14:lumOff w14:val="5000"/>
                    </w14:schemeClr>
                  </w14:solidFill>
                </w14:textFill>
              </w:rPr>
              <w:t>项目</w:t>
            </w:r>
            <w:r>
              <w:rPr>
                <w:rFonts w:hint="eastAsia" w:cs="Times New Roman"/>
                <w:snapToGrid w:val="0"/>
                <w:color w:val="0D0D0D" w:themeColor="text1" w:themeTint="F2"/>
                <w:spacing w:val="12"/>
                <w:sz w:val="21"/>
                <w14:textFill>
                  <w14:solidFill>
                    <w14:schemeClr w14:val="tx1">
                      <w14:lumMod w14:val="95000"/>
                      <w14:lumOff w14:val="5000"/>
                    </w14:schemeClr>
                  </w14:solidFill>
                </w14:textFill>
              </w:rPr>
              <w:t>所用工艺、设备均不属于淘汰落后或禁止类。</w:t>
            </w:r>
          </w:p>
        </w:tc>
        <w:tc>
          <w:tcPr>
            <w:tcW w:w="266" w:type="pct"/>
            <w:vAlign w:val="center"/>
          </w:tcPr>
          <w:p w14:paraId="1FAA2F85">
            <w:pPr>
              <w:adjustRightInd w:val="0"/>
              <w:snapToGrid w:val="0"/>
              <w:spacing w:line="240" w:lineRule="auto"/>
              <w:jc w:val="center"/>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hint="eastAsia" w:cs="Times New Roman"/>
                <w:snapToGrid w:val="0"/>
                <w:color w:val="0D0D0D" w:themeColor="text1" w:themeTint="F2"/>
                <w:spacing w:val="12"/>
                <w:sz w:val="21"/>
                <w14:textFill>
                  <w14:solidFill>
                    <w14:schemeClr w14:val="tx1">
                      <w14:lumMod w14:val="95000"/>
                      <w14:lumOff w14:val="5000"/>
                    </w14:schemeClr>
                  </w14:solidFill>
                </w14:textFill>
              </w:rPr>
              <w:t>符合</w:t>
            </w:r>
          </w:p>
        </w:tc>
      </w:tr>
      <w:tr w14:paraId="23E2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 w:type="pct"/>
            <w:vAlign w:val="center"/>
          </w:tcPr>
          <w:p w14:paraId="6200ED1D">
            <w:pPr>
              <w:adjustRightInd w:val="0"/>
              <w:snapToGrid w:val="0"/>
              <w:spacing w:line="240" w:lineRule="auto"/>
              <w:jc w:val="center"/>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cs="Times New Roman"/>
                <w:snapToGrid w:val="0"/>
                <w:color w:val="0D0D0D" w:themeColor="text1" w:themeTint="F2"/>
                <w:spacing w:val="12"/>
                <w:sz w:val="21"/>
                <w14:textFill>
                  <w14:solidFill>
                    <w14:schemeClr w14:val="tx1">
                      <w14:lumMod w14:val="95000"/>
                      <w14:lumOff w14:val="5000"/>
                    </w14:schemeClr>
                  </w14:solidFill>
                </w14:textFill>
              </w:rPr>
              <w:t>第二十二条</w:t>
            </w:r>
          </w:p>
        </w:tc>
        <w:tc>
          <w:tcPr>
            <w:tcW w:w="2552" w:type="pct"/>
            <w:vAlign w:val="center"/>
          </w:tcPr>
          <w:p w14:paraId="58955018">
            <w:pPr>
              <w:adjustRightInd w:val="0"/>
              <w:snapToGrid w:val="0"/>
              <w:spacing w:line="240" w:lineRule="auto"/>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cs="Times New Roman"/>
                <w:snapToGrid w:val="0"/>
                <w:color w:val="0D0D0D" w:themeColor="text1" w:themeTint="F2"/>
                <w:spacing w:val="12"/>
                <w:sz w:val="21"/>
                <w14:textFill>
                  <w14:solidFill>
                    <w14:schemeClr w14:val="tx1">
                      <w14:lumMod w14:val="95000"/>
                      <w14:lumOff w14:val="5000"/>
                    </w14:schemeClr>
                  </w14:solidFill>
                </w14:textFill>
              </w:rPr>
              <w:t>新建、改建、扩建地下水取水工程，应当同时安装计量设施。已有地下水取水工程未安装计量设施的，应当按照县级以上地方人民政府水行政主管部门规定的期限安装。单位和个人取用地下水量达到取水规模以上的，应当安装地下水取水在线计量设施，并将计量数据实时传输到有管理权限的水行政主管部门。取水规模由省、自治区、直辖市人民政府水行政主管部门制定、公布，并报国务院水行政主管部门备案。</w:t>
            </w:r>
          </w:p>
        </w:tc>
        <w:tc>
          <w:tcPr>
            <w:tcW w:w="1876" w:type="pct"/>
            <w:vAlign w:val="center"/>
          </w:tcPr>
          <w:p w14:paraId="732E8B66">
            <w:pPr>
              <w:widowControl/>
              <w:adjustRightInd w:val="0"/>
              <w:snapToGrid w:val="0"/>
              <w:spacing w:line="240" w:lineRule="auto"/>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hint="eastAsia" w:cs="Times New Roman"/>
                <w:snapToGrid w:val="0"/>
                <w:color w:val="0D0D0D" w:themeColor="text1" w:themeTint="F2"/>
                <w:spacing w:val="12"/>
                <w:sz w:val="21"/>
                <w14:textFill>
                  <w14:solidFill>
                    <w14:schemeClr w14:val="tx1">
                      <w14:lumMod w14:val="95000"/>
                      <w14:lumOff w14:val="5000"/>
                    </w14:schemeClr>
                  </w14:solidFill>
                </w14:textFill>
              </w:rPr>
              <w:t>项目用水由市政管网供给，不涉及地下水取水工程。</w:t>
            </w:r>
          </w:p>
        </w:tc>
        <w:tc>
          <w:tcPr>
            <w:tcW w:w="266" w:type="pct"/>
            <w:vAlign w:val="center"/>
          </w:tcPr>
          <w:p w14:paraId="5BA6AA5C">
            <w:pPr>
              <w:adjustRightInd w:val="0"/>
              <w:snapToGrid w:val="0"/>
              <w:spacing w:line="240" w:lineRule="auto"/>
              <w:jc w:val="center"/>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hint="eastAsia" w:cs="Times New Roman"/>
                <w:snapToGrid w:val="0"/>
                <w:color w:val="0D0D0D" w:themeColor="text1" w:themeTint="F2"/>
                <w:spacing w:val="12"/>
                <w:sz w:val="21"/>
                <w14:textFill>
                  <w14:solidFill>
                    <w14:schemeClr w14:val="tx1">
                      <w14:lumMod w14:val="95000"/>
                      <w14:lumOff w14:val="5000"/>
                    </w14:schemeClr>
                  </w14:solidFill>
                </w14:textFill>
              </w:rPr>
              <w:t>符合</w:t>
            </w:r>
          </w:p>
        </w:tc>
      </w:tr>
      <w:tr w14:paraId="2E90C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 w:type="pct"/>
            <w:vAlign w:val="center"/>
          </w:tcPr>
          <w:p w14:paraId="411F7852">
            <w:pPr>
              <w:adjustRightInd w:val="0"/>
              <w:snapToGrid w:val="0"/>
              <w:spacing w:line="240" w:lineRule="auto"/>
              <w:jc w:val="center"/>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hint="eastAsia" w:cs="Times New Roman"/>
                <w:snapToGrid w:val="0"/>
                <w:color w:val="0D0D0D" w:themeColor="text1" w:themeTint="F2"/>
                <w:spacing w:val="12"/>
                <w:sz w:val="21"/>
                <w14:textFill>
                  <w14:solidFill>
                    <w14:schemeClr w14:val="tx1">
                      <w14:lumMod w14:val="95000"/>
                      <w14:lumOff w14:val="5000"/>
                    </w14:schemeClr>
                  </w14:solidFill>
                </w14:textFill>
              </w:rPr>
              <w:t>第四十条</w:t>
            </w:r>
          </w:p>
        </w:tc>
        <w:tc>
          <w:tcPr>
            <w:tcW w:w="2552" w:type="pct"/>
            <w:vAlign w:val="center"/>
          </w:tcPr>
          <w:p w14:paraId="6F57B3FC">
            <w:pPr>
              <w:adjustRightInd w:val="0"/>
              <w:snapToGrid w:val="0"/>
              <w:spacing w:line="240" w:lineRule="auto"/>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cs="Times New Roman"/>
                <w:snapToGrid w:val="0"/>
                <w:color w:val="0D0D0D" w:themeColor="text1" w:themeTint="F2"/>
                <w:spacing w:val="12"/>
                <w:sz w:val="21"/>
                <w14:textFill>
                  <w14:solidFill>
                    <w14:schemeClr w14:val="tx1">
                      <w14:lumMod w14:val="95000"/>
                      <w14:lumOff w14:val="5000"/>
                    </w14:schemeClr>
                  </w14:solidFill>
                </w14:textFill>
              </w:rPr>
              <w:t>禁止下列污染或者可能污染地下水的行为：</w:t>
            </w:r>
          </w:p>
          <w:p w14:paraId="12A0AE5B">
            <w:pPr>
              <w:adjustRightInd w:val="0"/>
              <w:snapToGrid w:val="0"/>
              <w:spacing w:line="240" w:lineRule="auto"/>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hint="eastAsia" w:cs="Times New Roman"/>
                <w:snapToGrid w:val="0"/>
                <w:color w:val="0D0D0D" w:themeColor="text1" w:themeTint="F2"/>
                <w:spacing w:val="12"/>
                <w:sz w:val="21"/>
                <w14:textFill>
                  <w14:solidFill>
                    <w14:schemeClr w14:val="tx1">
                      <w14:lumMod w14:val="95000"/>
                      <w14:lumOff w14:val="5000"/>
                    </w14:schemeClr>
                  </w14:solidFill>
                </w14:textFill>
              </w:rPr>
              <w:t>①</w:t>
            </w:r>
            <w:r>
              <w:rPr>
                <w:rFonts w:cs="Times New Roman"/>
                <w:snapToGrid w:val="0"/>
                <w:color w:val="0D0D0D" w:themeColor="text1" w:themeTint="F2"/>
                <w:spacing w:val="12"/>
                <w:sz w:val="21"/>
                <w14:textFill>
                  <w14:solidFill>
                    <w14:schemeClr w14:val="tx1">
                      <w14:lumMod w14:val="95000"/>
                      <w14:lumOff w14:val="5000"/>
                    </w14:schemeClr>
                  </w14:solidFill>
                </w14:textFill>
              </w:rPr>
              <w:t>利用渗井、渗坑、裂隙、溶洞以及私设暗管等逃避监管的方式排放水污染物；</w:t>
            </w:r>
          </w:p>
          <w:p w14:paraId="394D8A70">
            <w:pPr>
              <w:adjustRightInd w:val="0"/>
              <w:snapToGrid w:val="0"/>
              <w:spacing w:line="240" w:lineRule="auto"/>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hint="eastAsia" w:cs="Times New Roman"/>
                <w:snapToGrid w:val="0"/>
                <w:color w:val="0D0D0D" w:themeColor="text1" w:themeTint="F2"/>
                <w:spacing w:val="12"/>
                <w:sz w:val="21"/>
                <w14:textFill>
                  <w14:solidFill>
                    <w14:schemeClr w14:val="tx1">
                      <w14:lumMod w14:val="95000"/>
                      <w14:lumOff w14:val="5000"/>
                    </w14:schemeClr>
                  </w14:solidFill>
                </w14:textFill>
              </w:rPr>
              <w:t>②</w:t>
            </w:r>
            <w:r>
              <w:rPr>
                <w:rFonts w:cs="Times New Roman"/>
                <w:snapToGrid w:val="0"/>
                <w:color w:val="0D0D0D" w:themeColor="text1" w:themeTint="F2"/>
                <w:spacing w:val="12"/>
                <w:sz w:val="21"/>
                <w14:textFill>
                  <w14:solidFill>
                    <w14:schemeClr w14:val="tx1">
                      <w14:lumMod w14:val="95000"/>
                      <w14:lumOff w14:val="5000"/>
                    </w14:schemeClr>
                  </w14:solidFill>
                </w14:textFill>
              </w:rPr>
              <w:t>利用岩层孔隙、裂隙、溶洞、废弃矿坑等贮存石化原料及产品、农药、危险废物、城镇污水处理设施产生的污泥和处理后的污泥或者其他有毒有害物质；</w:t>
            </w:r>
          </w:p>
          <w:p w14:paraId="6EC4B90F">
            <w:pPr>
              <w:adjustRightInd w:val="0"/>
              <w:snapToGrid w:val="0"/>
              <w:spacing w:line="240" w:lineRule="auto"/>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hint="eastAsia" w:cs="Times New Roman"/>
                <w:snapToGrid w:val="0"/>
                <w:color w:val="0D0D0D" w:themeColor="text1" w:themeTint="F2"/>
                <w:spacing w:val="12"/>
                <w:sz w:val="21"/>
                <w14:textFill>
                  <w14:solidFill>
                    <w14:schemeClr w14:val="tx1">
                      <w14:lumMod w14:val="95000"/>
                      <w14:lumOff w14:val="5000"/>
                    </w14:schemeClr>
                  </w14:solidFill>
                </w14:textFill>
              </w:rPr>
              <w:t>③</w:t>
            </w:r>
            <w:r>
              <w:rPr>
                <w:rFonts w:cs="Times New Roman"/>
                <w:snapToGrid w:val="0"/>
                <w:color w:val="0D0D0D" w:themeColor="text1" w:themeTint="F2"/>
                <w:spacing w:val="12"/>
                <w:sz w:val="21"/>
                <w14:textFill>
                  <w14:solidFill>
                    <w14:schemeClr w14:val="tx1">
                      <w14:lumMod w14:val="95000"/>
                      <w14:lumOff w14:val="5000"/>
                    </w14:schemeClr>
                  </w14:solidFill>
                </w14:textFill>
              </w:rPr>
              <w:t>利用无防渗漏措施的沟渠、坑塘等输送或者贮存含有毒污染物的废水、含病原体的污水和其他废弃物；</w:t>
            </w:r>
          </w:p>
          <w:p w14:paraId="0BFC7481">
            <w:pPr>
              <w:adjustRightInd w:val="0"/>
              <w:snapToGrid w:val="0"/>
              <w:spacing w:line="240" w:lineRule="auto"/>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hint="eastAsia" w:cs="Times New Roman"/>
                <w:snapToGrid w:val="0"/>
                <w:color w:val="0D0D0D" w:themeColor="text1" w:themeTint="F2"/>
                <w:spacing w:val="12"/>
                <w:sz w:val="21"/>
                <w14:textFill>
                  <w14:solidFill>
                    <w14:schemeClr w14:val="tx1">
                      <w14:lumMod w14:val="95000"/>
                      <w14:lumOff w14:val="5000"/>
                    </w14:schemeClr>
                  </w14:solidFill>
                </w14:textFill>
              </w:rPr>
              <w:t>④</w:t>
            </w:r>
            <w:r>
              <w:rPr>
                <w:rFonts w:cs="Times New Roman"/>
                <w:snapToGrid w:val="0"/>
                <w:color w:val="0D0D0D" w:themeColor="text1" w:themeTint="F2"/>
                <w:spacing w:val="12"/>
                <w:sz w:val="21"/>
                <w14:textFill>
                  <w14:solidFill>
                    <w14:schemeClr w14:val="tx1">
                      <w14:lumMod w14:val="95000"/>
                      <w14:lumOff w14:val="5000"/>
                    </w14:schemeClr>
                  </w14:solidFill>
                </w14:textFill>
              </w:rPr>
              <w:t>法律、法规禁止的其他污染或者可能污染地下水的行为。</w:t>
            </w:r>
          </w:p>
        </w:tc>
        <w:tc>
          <w:tcPr>
            <w:tcW w:w="1876" w:type="pct"/>
            <w:vAlign w:val="center"/>
          </w:tcPr>
          <w:p w14:paraId="6F0E3CAC">
            <w:pPr>
              <w:widowControl/>
              <w:adjustRightInd w:val="0"/>
              <w:snapToGrid w:val="0"/>
              <w:spacing w:line="240" w:lineRule="auto"/>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cs="Times New Roman"/>
                <w:snapToGrid w:val="0"/>
                <w:color w:val="0D0D0D" w:themeColor="text1" w:themeTint="F2"/>
                <w:spacing w:val="12"/>
                <w:sz w:val="21"/>
                <w14:textFill>
                  <w14:solidFill>
                    <w14:schemeClr w14:val="tx1">
                      <w14:lumMod w14:val="95000"/>
                      <w14:lumOff w14:val="5000"/>
                    </w14:schemeClr>
                  </w14:solidFill>
                </w14:textFill>
              </w:rPr>
              <w:t>项目</w:t>
            </w:r>
            <w:r>
              <w:rPr>
                <w:rFonts w:hint="eastAsia" w:cs="Times New Roman"/>
                <w:snapToGrid w:val="0"/>
                <w:color w:val="0D0D0D" w:themeColor="text1" w:themeTint="F2"/>
                <w:spacing w:val="12"/>
                <w:sz w:val="21"/>
                <w14:textFill>
                  <w14:solidFill>
                    <w14:schemeClr w14:val="tx1">
                      <w14:lumMod w14:val="95000"/>
                      <w14:lumOff w14:val="5000"/>
                    </w14:schemeClr>
                  </w14:solidFill>
                </w14:textFill>
              </w:rPr>
              <w:t>废水在厂区处理达标后排入市政污水管网，输送至钦州胜科水务有限公司污水处理厂进一步处理，</w:t>
            </w:r>
            <w:r>
              <w:rPr>
                <w:rFonts w:cs="Times New Roman"/>
                <w:snapToGrid w:val="0"/>
                <w:color w:val="0D0D0D" w:themeColor="text1" w:themeTint="F2"/>
                <w:spacing w:val="12"/>
                <w:sz w:val="21"/>
                <w14:textFill>
                  <w14:solidFill>
                    <w14:schemeClr w14:val="tx1">
                      <w14:lumMod w14:val="95000"/>
                      <w14:lumOff w14:val="5000"/>
                    </w14:schemeClr>
                  </w14:solidFill>
                </w14:textFill>
              </w:rPr>
              <w:t>不涉及所述污染或者可能污染地下水行为。</w:t>
            </w:r>
          </w:p>
        </w:tc>
        <w:tc>
          <w:tcPr>
            <w:tcW w:w="266" w:type="pct"/>
            <w:vAlign w:val="center"/>
          </w:tcPr>
          <w:p w14:paraId="103A7B16">
            <w:pPr>
              <w:adjustRightInd w:val="0"/>
              <w:snapToGrid w:val="0"/>
              <w:spacing w:line="240" w:lineRule="auto"/>
              <w:jc w:val="center"/>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hint="eastAsia" w:cs="Times New Roman"/>
                <w:snapToGrid w:val="0"/>
                <w:color w:val="0D0D0D" w:themeColor="text1" w:themeTint="F2"/>
                <w:spacing w:val="12"/>
                <w:sz w:val="21"/>
                <w14:textFill>
                  <w14:solidFill>
                    <w14:schemeClr w14:val="tx1">
                      <w14:lumMod w14:val="95000"/>
                      <w14:lumOff w14:val="5000"/>
                    </w14:schemeClr>
                  </w14:solidFill>
                </w14:textFill>
              </w:rPr>
              <w:t>符合</w:t>
            </w:r>
          </w:p>
        </w:tc>
      </w:tr>
      <w:tr w14:paraId="66D2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 w:type="pct"/>
            <w:vAlign w:val="center"/>
          </w:tcPr>
          <w:p w14:paraId="02C95D82">
            <w:pPr>
              <w:adjustRightInd w:val="0"/>
              <w:snapToGrid w:val="0"/>
              <w:spacing w:line="240" w:lineRule="auto"/>
              <w:jc w:val="center"/>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cs="Times New Roman"/>
                <w:snapToGrid w:val="0"/>
                <w:color w:val="0D0D0D" w:themeColor="text1" w:themeTint="F2"/>
                <w:spacing w:val="12"/>
                <w:sz w:val="21"/>
                <w14:textFill>
                  <w14:solidFill>
                    <w14:schemeClr w14:val="tx1">
                      <w14:lumMod w14:val="95000"/>
                      <w14:lumOff w14:val="5000"/>
                    </w14:schemeClr>
                  </w14:solidFill>
                </w14:textFill>
              </w:rPr>
              <w:t>第四十一条</w:t>
            </w:r>
          </w:p>
        </w:tc>
        <w:tc>
          <w:tcPr>
            <w:tcW w:w="2552" w:type="pct"/>
            <w:vAlign w:val="center"/>
          </w:tcPr>
          <w:p w14:paraId="0214E92C">
            <w:pPr>
              <w:adjustRightInd w:val="0"/>
              <w:snapToGrid w:val="0"/>
              <w:spacing w:line="240" w:lineRule="auto"/>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cs="Times New Roman"/>
                <w:snapToGrid w:val="0"/>
                <w:color w:val="0D0D0D" w:themeColor="text1" w:themeTint="F2"/>
                <w:spacing w:val="12"/>
                <w:sz w:val="21"/>
                <w14:textFill>
                  <w14:solidFill>
                    <w14:schemeClr w14:val="tx1">
                      <w14:lumMod w14:val="95000"/>
                      <w14:lumOff w14:val="5000"/>
                    </w14:schemeClr>
                  </w14:solidFill>
                </w14:textFill>
              </w:rPr>
              <w:t>企业事业单位和其他生产经营者应当采取下列措施，防止地下水污染：</w:t>
            </w:r>
          </w:p>
          <w:p w14:paraId="7741DF27">
            <w:pPr>
              <w:adjustRightInd w:val="0"/>
              <w:snapToGrid w:val="0"/>
              <w:spacing w:line="240" w:lineRule="auto"/>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hint="eastAsia" w:cs="Times New Roman"/>
                <w:snapToGrid w:val="0"/>
                <w:color w:val="0D0D0D" w:themeColor="text1" w:themeTint="F2"/>
                <w:spacing w:val="12"/>
                <w:sz w:val="21"/>
                <w14:textFill>
                  <w14:solidFill>
                    <w14:schemeClr w14:val="tx1">
                      <w14:lumMod w14:val="95000"/>
                      <w14:lumOff w14:val="5000"/>
                    </w14:schemeClr>
                  </w14:solidFill>
                </w14:textFill>
              </w:rPr>
              <w:t>①</w:t>
            </w:r>
            <w:r>
              <w:rPr>
                <w:rFonts w:cs="Times New Roman"/>
                <w:snapToGrid w:val="0"/>
                <w:color w:val="0D0D0D" w:themeColor="text1" w:themeTint="F2"/>
                <w:spacing w:val="12"/>
                <w:sz w:val="21"/>
                <w14:textFill>
                  <w14:solidFill>
                    <w14:schemeClr w14:val="tx1">
                      <w14:lumMod w14:val="95000"/>
                      <w14:lumOff w14:val="5000"/>
                    </w14:schemeClr>
                  </w14:solidFill>
                </w14:textFill>
              </w:rPr>
              <w:t>兴建地下工程设施或者进行地下勘探、采矿等活动，依法编制的环境影响评价文件中，应当包括地下水污染防治的内容，并采取防护性措施；</w:t>
            </w:r>
          </w:p>
          <w:p w14:paraId="351AC56A">
            <w:pPr>
              <w:adjustRightInd w:val="0"/>
              <w:snapToGrid w:val="0"/>
              <w:spacing w:line="240" w:lineRule="auto"/>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hint="eastAsia" w:cs="Times New Roman"/>
                <w:snapToGrid w:val="0"/>
                <w:color w:val="0D0D0D" w:themeColor="text1" w:themeTint="F2"/>
                <w:spacing w:val="12"/>
                <w:sz w:val="21"/>
                <w14:textFill>
                  <w14:solidFill>
                    <w14:schemeClr w14:val="tx1">
                      <w14:lumMod w14:val="95000"/>
                      <w14:lumOff w14:val="5000"/>
                    </w14:schemeClr>
                  </w14:solidFill>
                </w14:textFill>
              </w:rPr>
              <w:t>②</w:t>
            </w:r>
            <w:r>
              <w:rPr>
                <w:rFonts w:cs="Times New Roman"/>
                <w:snapToGrid w:val="0"/>
                <w:color w:val="0D0D0D" w:themeColor="text1" w:themeTint="F2"/>
                <w:spacing w:val="12"/>
                <w:sz w:val="21"/>
                <w14:textFill>
                  <w14:solidFill>
                    <w14:schemeClr w14:val="tx1">
                      <w14:lumMod w14:val="95000"/>
                      <w14:lumOff w14:val="5000"/>
                    </w14:schemeClr>
                  </w14:solidFill>
                </w14:textFill>
              </w:rPr>
              <w:t>化学品生产企业以及工业集聚区、矿山开采区、尾矿库、危险废物处置场、垃圾填埋场等的运营、管理单位，应当采取防渗漏等措施，并建设地下水水质监测井进行监测；</w:t>
            </w:r>
          </w:p>
          <w:p w14:paraId="5F143538">
            <w:pPr>
              <w:adjustRightInd w:val="0"/>
              <w:snapToGrid w:val="0"/>
              <w:spacing w:line="240" w:lineRule="auto"/>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hint="eastAsia" w:cs="Times New Roman"/>
                <w:snapToGrid w:val="0"/>
                <w:color w:val="0D0D0D" w:themeColor="text1" w:themeTint="F2"/>
                <w:spacing w:val="12"/>
                <w:sz w:val="21"/>
                <w14:textFill>
                  <w14:solidFill>
                    <w14:schemeClr w14:val="tx1">
                      <w14:lumMod w14:val="95000"/>
                      <w14:lumOff w14:val="5000"/>
                    </w14:schemeClr>
                  </w14:solidFill>
                </w14:textFill>
              </w:rPr>
              <w:t>③</w:t>
            </w:r>
            <w:r>
              <w:rPr>
                <w:rFonts w:cs="Times New Roman"/>
                <w:snapToGrid w:val="0"/>
                <w:color w:val="0D0D0D" w:themeColor="text1" w:themeTint="F2"/>
                <w:spacing w:val="12"/>
                <w:sz w:val="21"/>
                <w14:textFill>
                  <w14:solidFill>
                    <w14:schemeClr w14:val="tx1">
                      <w14:lumMod w14:val="95000"/>
                      <w14:lumOff w14:val="5000"/>
                    </w14:schemeClr>
                  </w14:solidFill>
                </w14:textFill>
              </w:rPr>
              <w:t>加油站等的地下油罐应当使用双层罐或者采取建造防渗池等其他有效措施，并进行防渗漏监测；</w:t>
            </w:r>
          </w:p>
          <w:p w14:paraId="254A8AA6">
            <w:pPr>
              <w:adjustRightInd w:val="0"/>
              <w:snapToGrid w:val="0"/>
              <w:spacing w:line="240" w:lineRule="auto"/>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hint="eastAsia" w:cs="Times New Roman"/>
                <w:snapToGrid w:val="0"/>
                <w:color w:val="0D0D0D" w:themeColor="text1" w:themeTint="F2"/>
                <w:spacing w:val="12"/>
                <w:sz w:val="21"/>
                <w14:textFill>
                  <w14:solidFill>
                    <w14:schemeClr w14:val="tx1">
                      <w14:lumMod w14:val="95000"/>
                      <w14:lumOff w14:val="5000"/>
                    </w14:schemeClr>
                  </w14:solidFill>
                </w14:textFill>
              </w:rPr>
              <w:t>④</w:t>
            </w:r>
            <w:r>
              <w:rPr>
                <w:rFonts w:cs="Times New Roman"/>
                <w:snapToGrid w:val="0"/>
                <w:color w:val="0D0D0D" w:themeColor="text1" w:themeTint="F2"/>
                <w:spacing w:val="12"/>
                <w:sz w:val="21"/>
                <w14:textFill>
                  <w14:solidFill>
                    <w14:schemeClr w14:val="tx1">
                      <w14:lumMod w14:val="95000"/>
                      <w14:lumOff w14:val="5000"/>
                    </w14:schemeClr>
                  </w14:solidFill>
                </w14:textFill>
              </w:rPr>
              <w:t>存放可溶性剧毒废渣的场所，应当采取防水、防渗漏、防流失的措施；</w:t>
            </w:r>
          </w:p>
          <w:p w14:paraId="37B5CBF6">
            <w:pPr>
              <w:adjustRightInd w:val="0"/>
              <w:snapToGrid w:val="0"/>
              <w:spacing w:line="240" w:lineRule="auto"/>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hint="eastAsia" w:cs="Times New Roman"/>
                <w:snapToGrid w:val="0"/>
                <w:color w:val="0D0D0D" w:themeColor="text1" w:themeTint="F2"/>
                <w:spacing w:val="12"/>
                <w:sz w:val="21"/>
                <w14:textFill>
                  <w14:solidFill>
                    <w14:schemeClr w14:val="tx1">
                      <w14:lumMod w14:val="95000"/>
                      <w14:lumOff w14:val="5000"/>
                    </w14:schemeClr>
                  </w14:solidFill>
                </w14:textFill>
              </w:rPr>
              <w:t>⑤</w:t>
            </w:r>
            <w:r>
              <w:rPr>
                <w:rFonts w:cs="Times New Roman"/>
                <w:snapToGrid w:val="0"/>
                <w:color w:val="0D0D0D" w:themeColor="text1" w:themeTint="F2"/>
                <w:spacing w:val="12"/>
                <w:sz w:val="21"/>
                <w14:textFill>
                  <w14:solidFill>
                    <w14:schemeClr w14:val="tx1">
                      <w14:lumMod w14:val="95000"/>
                      <w14:lumOff w14:val="5000"/>
                    </w14:schemeClr>
                  </w14:solidFill>
                </w14:textFill>
              </w:rPr>
              <w:t>法律法规规定应当采取的其他防止地下水污染的措施</w:t>
            </w:r>
            <w:r>
              <w:rPr>
                <w:rFonts w:hint="eastAsia" w:cs="Times New Roman"/>
                <w:snapToGrid w:val="0"/>
                <w:color w:val="0D0D0D" w:themeColor="text1" w:themeTint="F2"/>
                <w:spacing w:val="12"/>
                <w:sz w:val="21"/>
                <w14:textFill>
                  <w14:solidFill>
                    <w14:schemeClr w14:val="tx1">
                      <w14:lumMod w14:val="95000"/>
                      <w14:lumOff w14:val="5000"/>
                    </w14:schemeClr>
                  </w14:solidFill>
                </w14:textFill>
              </w:rPr>
              <w:t>。</w:t>
            </w:r>
          </w:p>
        </w:tc>
        <w:tc>
          <w:tcPr>
            <w:tcW w:w="1876" w:type="pct"/>
            <w:vAlign w:val="center"/>
          </w:tcPr>
          <w:p w14:paraId="545E650C">
            <w:pPr>
              <w:adjustRightInd w:val="0"/>
              <w:snapToGrid w:val="0"/>
              <w:spacing w:line="240" w:lineRule="auto"/>
              <w:jc w:val="center"/>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cs="Times New Roman"/>
                <w:snapToGrid w:val="0"/>
                <w:color w:val="0D0D0D" w:themeColor="text1" w:themeTint="F2"/>
                <w:spacing w:val="12"/>
                <w:sz w:val="21"/>
                <w14:textFill>
                  <w14:solidFill>
                    <w14:schemeClr w14:val="tx1">
                      <w14:lumMod w14:val="95000"/>
                      <w14:lumOff w14:val="5000"/>
                    </w14:schemeClr>
                  </w14:solidFill>
                </w14:textFill>
              </w:rPr>
              <w:t>项目</w:t>
            </w:r>
            <w:r>
              <w:rPr>
                <w:rFonts w:hint="eastAsia" w:cs="Times New Roman"/>
                <w:snapToGrid w:val="0"/>
                <w:color w:val="0D0D0D" w:themeColor="text1" w:themeTint="F2"/>
                <w:spacing w:val="12"/>
                <w:sz w:val="21"/>
                <w14:textFill>
                  <w14:solidFill>
                    <w14:schemeClr w14:val="tx1">
                      <w14:lumMod w14:val="95000"/>
                      <w14:lumOff w14:val="5000"/>
                    </w14:schemeClr>
                  </w14:solidFill>
                </w14:textFill>
              </w:rPr>
              <w:t>不涉及该项。</w:t>
            </w:r>
          </w:p>
        </w:tc>
        <w:tc>
          <w:tcPr>
            <w:tcW w:w="266" w:type="pct"/>
            <w:vAlign w:val="center"/>
          </w:tcPr>
          <w:p w14:paraId="44575E8B">
            <w:pPr>
              <w:adjustRightInd w:val="0"/>
              <w:snapToGrid w:val="0"/>
              <w:spacing w:line="240" w:lineRule="auto"/>
              <w:jc w:val="center"/>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hint="eastAsia" w:cs="Times New Roman"/>
                <w:snapToGrid w:val="0"/>
                <w:color w:val="0D0D0D" w:themeColor="text1" w:themeTint="F2"/>
                <w:spacing w:val="12"/>
                <w:sz w:val="21"/>
                <w14:textFill>
                  <w14:solidFill>
                    <w14:schemeClr w14:val="tx1">
                      <w14:lumMod w14:val="95000"/>
                      <w14:lumOff w14:val="5000"/>
                    </w14:schemeClr>
                  </w14:solidFill>
                </w14:textFill>
              </w:rPr>
              <w:t>/</w:t>
            </w:r>
          </w:p>
        </w:tc>
      </w:tr>
      <w:tr w14:paraId="5EA76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 w:type="pct"/>
            <w:vAlign w:val="center"/>
          </w:tcPr>
          <w:p w14:paraId="3ECA3434">
            <w:pPr>
              <w:adjustRightInd w:val="0"/>
              <w:snapToGrid w:val="0"/>
              <w:spacing w:line="240" w:lineRule="auto"/>
              <w:jc w:val="center"/>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cs="Times New Roman"/>
                <w:snapToGrid w:val="0"/>
                <w:color w:val="0D0D0D" w:themeColor="text1" w:themeTint="F2"/>
                <w:spacing w:val="12"/>
                <w:sz w:val="21"/>
                <w14:textFill>
                  <w14:solidFill>
                    <w14:schemeClr w14:val="tx1">
                      <w14:lumMod w14:val="95000"/>
                      <w14:lumOff w14:val="5000"/>
                    </w14:schemeClr>
                  </w14:solidFill>
                </w14:textFill>
              </w:rPr>
              <w:t>第四十二条</w:t>
            </w:r>
          </w:p>
        </w:tc>
        <w:tc>
          <w:tcPr>
            <w:tcW w:w="2552" w:type="pct"/>
            <w:vAlign w:val="center"/>
          </w:tcPr>
          <w:p w14:paraId="6E417B77">
            <w:pPr>
              <w:adjustRightInd w:val="0"/>
              <w:snapToGrid w:val="0"/>
              <w:spacing w:line="240" w:lineRule="auto"/>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cs="Times New Roman"/>
                <w:snapToGrid w:val="0"/>
                <w:color w:val="0D0D0D" w:themeColor="text1" w:themeTint="F2"/>
                <w:spacing w:val="12"/>
                <w:sz w:val="21"/>
                <w14:textFill>
                  <w14:solidFill>
                    <w14:schemeClr w14:val="tx1">
                      <w14:lumMod w14:val="95000"/>
                      <w14:lumOff w14:val="5000"/>
                    </w14:schemeClr>
                  </w14:solidFill>
                </w14:textFill>
              </w:rPr>
              <w:t>在泉域保护范围以及岩溶强发育、存在较多落水洞和岩溶漏斗的区域内，不得新建、改建、扩建可能造成地下水污染的建设项目。</w:t>
            </w:r>
          </w:p>
        </w:tc>
        <w:tc>
          <w:tcPr>
            <w:tcW w:w="1876" w:type="pct"/>
            <w:vAlign w:val="center"/>
          </w:tcPr>
          <w:p w14:paraId="612A767F">
            <w:pPr>
              <w:adjustRightInd w:val="0"/>
              <w:snapToGrid w:val="0"/>
              <w:spacing w:line="240" w:lineRule="auto"/>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hint="eastAsia" w:cs="Times New Roman"/>
                <w:snapToGrid w:val="0"/>
                <w:color w:val="0D0D0D" w:themeColor="text1" w:themeTint="F2"/>
                <w:spacing w:val="12"/>
                <w:sz w:val="21"/>
                <w14:textFill>
                  <w14:solidFill>
                    <w14:schemeClr w14:val="tx1">
                      <w14:lumMod w14:val="95000"/>
                      <w14:lumOff w14:val="5000"/>
                    </w14:schemeClr>
                  </w14:solidFill>
                </w14:textFill>
              </w:rPr>
              <w:t>项目位于填海区，不在泉域保护范围以及岩溶强发育、存在较多落水洞和岩溶漏斗的区域内。</w:t>
            </w:r>
          </w:p>
        </w:tc>
        <w:tc>
          <w:tcPr>
            <w:tcW w:w="266" w:type="pct"/>
            <w:vAlign w:val="center"/>
          </w:tcPr>
          <w:p w14:paraId="3510C020">
            <w:pPr>
              <w:adjustRightInd w:val="0"/>
              <w:snapToGrid w:val="0"/>
              <w:spacing w:line="240" w:lineRule="auto"/>
              <w:jc w:val="center"/>
              <w:rPr>
                <w:rFonts w:cs="Times New Roman"/>
                <w:snapToGrid w:val="0"/>
                <w:color w:val="0D0D0D" w:themeColor="text1" w:themeTint="F2"/>
                <w:spacing w:val="12"/>
                <w:sz w:val="21"/>
                <w14:textFill>
                  <w14:solidFill>
                    <w14:schemeClr w14:val="tx1">
                      <w14:lumMod w14:val="95000"/>
                      <w14:lumOff w14:val="5000"/>
                    </w14:schemeClr>
                  </w14:solidFill>
                </w14:textFill>
              </w:rPr>
            </w:pPr>
            <w:r>
              <w:rPr>
                <w:rFonts w:hint="eastAsia" w:cs="Times New Roman"/>
                <w:snapToGrid w:val="0"/>
                <w:color w:val="0D0D0D" w:themeColor="text1" w:themeTint="F2"/>
                <w:spacing w:val="12"/>
                <w:sz w:val="21"/>
                <w14:textFill>
                  <w14:solidFill>
                    <w14:schemeClr w14:val="tx1">
                      <w14:lumMod w14:val="95000"/>
                      <w14:lumOff w14:val="5000"/>
                    </w14:schemeClr>
                  </w14:solidFill>
                </w14:textFill>
              </w:rPr>
              <w:t>符合</w:t>
            </w:r>
          </w:p>
        </w:tc>
      </w:tr>
    </w:tbl>
    <w:p w14:paraId="2C3D32FA">
      <w:pPr>
        <w:pStyle w:val="10"/>
      </w:pPr>
      <w:r>
        <w:rPr>
          <w:rFonts w:hint="eastAsia"/>
        </w:rPr>
        <w:t>《关于促进新时代新能源高质量发展的实施方案》相符性分析</w:t>
      </w:r>
    </w:p>
    <w:p w14:paraId="6D95B6C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根据《国务院办公厅转发国家发展改革委 国家能源局关于促进新时代新能源高质量发展实施方案的通知》（国办函〔2022〕39号），因地制宜推动生物质能、地热能、太阳能供暖，在保障能源安全稳定供应基础上有序开展新能源替代散煤行动，促进农村清洁取暖、农业清洁生产。深入推进秸秆综合利用和畜禽粪污资源化利用。制定符合生物质燃烧特性的专用设备技术标准，推广利用生物质成型燃料。</w:t>
      </w:r>
    </w:p>
    <w:p w14:paraId="713E0C0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项目外购符合《生物柴油（BD100）原料  废弃油脂》（NB/T13007-2021）的废弃动植物油脂（不包含废弃工业油脂）为原料进行深加工，生产生物柴油和工业级混合油，产品均属于绿色能源，项目导热油炉采用生物质成型颗粒为燃料，符合《国务院办公厅转发国家发展改革委 国家能源局关于促进新时代新能源高质量发展实施方案的通知》（国办函〔2022〕39号）相关要求。</w:t>
      </w:r>
    </w:p>
    <w:p w14:paraId="05D03A6B">
      <w:pPr>
        <w:pStyle w:val="10"/>
      </w:pPr>
      <w:r>
        <w:rPr>
          <w:rFonts w:hint="eastAsia"/>
        </w:rPr>
        <w:t>《国务院办公厅关于加快构建废弃物循环利用体系的意见》相符性分析</w:t>
      </w:r>
    </w:p>
    <w:p w14:paraId="0E9810A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w:t>
      </w:r>
      <w:bookmarkStart w:id="74" w:name="_Hlk197360194"/>
      <w:r>
        <w:rPr>
          <w:rFonts w:hint="eastAsia"/>
          <w:color w:val="0D0D0D" w:themeColor="text1" w:themeTint="F2"/>
          <w14:textFill>
            <w14:solidFill>
              <w14:schemeClr w14:val="tx1">
                <w14:lumMod w14:val="95000"/>
                <w14:lumOff w14:val="5000"/>
              </w14:schemeClr>
            </w14:solidFill>
          </w14:textFill>
        </w:rPr>
        <w:t>《国务院办公厅关于加快构建废弃物循环利用体系的意见》（国办发〔2024〕7号）</w:t>
      </w:r>
      <w:bookmarkEnd w:id="74"/>
      <w:r>
        <w:rPr>
          <w:rFonts w:hint="eastAsia"/>
          <w:color w:val="0D0D0D" w:themeColor="text1" w:themeTint="F2"/>
          <w14:textFill>
            <w14:solidFill>
              <w14:schemeClr w14:val="tx1">
                <w14:lumMod w14:val="95000"/>
                <w14:lumOff w14:val="5000"/>
              </w14:schemeClr>
            </w14:solidFill>
          </w14:textFill>
        </w:rPr>
        <w:t>，推进废弃物能源化利用。加快城镇生活垃圾处理设施建设，补齐县级地区生活垃圾焚烧处理能力短板。有序推进厨余垃圾处理设施建设，提升废弃油脂等厨余垃圾能源化、资源化利用水平。因地制宜推进农林生物质能源化开发利用，稳步推进生物质能多元化开发利用。在符合相关法律法规、环境和安全标准，且技术可行、环境风险可控的前提下，有序推进生活垃圾焚烧处理设施协同处置部分固体废弃物。</w:t>
      </w:r>
    </w:p>
    <w:p w14:paraId="0154E86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项目外购符合《生物柴油（BD100）原料  废弃油脂》（NB/T13007-2021）的废弃动植物油脂（不包含废弃工业油脂）为原料进行深加工，生产生物柴油和工业级混合油，属于废弃油脂能源化、资源化利用，符合《国务院办公厅关于加快构建废弃物循环利用体系的意见》（国办发〔2024〕7号）相关要求。</w:t>
      </w:r>
    </w:p>
    <w:p w14:paraId="0E2343C1">
      <w:pPr>
        <w:pStyle w:val="10"/>
      </w:pPr>
      <w:r>
        <w:rPr>
          <w:rFonts w:hint="eastAsia"/>
        </w:rPr>
        <w:t>《市场准入负面清单（2025年版）》相符性分析</w:t>
      </w:r>
    </w:p>
    <w:p w14:paraId="36EAC81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项目外购符合《生物柴油（BD100）原料  废弃油脂》（NB/T13007-2021）的废弃动植物油脂（不包含废弃工业油脂）为原料进行深加工，不涉及废弃油脂的酸化脱乳等预处理工艺。生物柴油生产线以废弃动植物油脂为原料，甲醇为辅料，生物酶（脂肪酶）为催化剂，采用生物酶法工艺，主要经过酯化、分离、蒸馏、精制提纯等工序，年产30万吨生物柴油（主产品）、1.5万吨精甘油（副产品）和1.2万吨重质脂肪酸（副产品）；工业级混合油生产线以废弃动植物油脂为原料，白土和精甘油为辅料，主要经过水洗、脱水、脱色、过滤、酯化、蒸馏脱酸等工序，年产10万吨工业级混合油（主产品）。项目不属于《市场准入负面清单（2025年版）》（发改体改规〔2025〕466号）的禁止准入类，不在与市场准入相关的禁止性规定的禁止措施内。</w:t>
      </w:r>
    </w:p>
    <w:p w14:paraId="5316F748">
      <w:pPr>
        <w:pStyle w:val="10"/>
      </w:pPr>
      <w:r>
        <w:rPr>
          <w:rFonts w:hint="eastAsia"/>
        </w:rPr>
        <w:t>《关于加强高能耗、高排放建设项目生态环境源头防控的指导意见》相符性分析</w:t>
      </w:r>
    </w:p>
    <w:p w14:paraId="70FE9607">
      <w:pPr>
        <w:pStyle w:val="4"/>
        <w:spacing w:after="100" w:afterAutospacing="1"/>
        <w:ind w:left="0" w:leftChars="0" w:firstLine="48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项目与《关于加强高耗能、高排放建设项目生态环境源头防控的指导意见》（环环评〔2021〕45号）相符性分析详见表2.7-4。</w:t>
      </w:r>
    </w:p>
    <w:p w14:paraId="735200C8">
      <w:pPr>
        <w:pStyle w:val="11"/>
      </w:pPr>
      <w:r>
        <w:rPr>
          <w:rFonts w:hint="eastAsia"/>
        </w:rPr>
        <w:t>《关于加强高耗能、高排放建设项目生态环境源头防控的指导意见》相符性分析一览表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5061"/>
        <w:gridCol w:w="3224"/>
        <w:gridCol w:w="494"/>
      </w:tblGrid>
      <w:tr w14:paraId="49F13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51" w:type="pct"/>
            <w:vAlign w:val="center"/>
          </w:tcPr>
          <w:p w14:paraId="110E77B2">
            <w:pPr>
              <w:pStyle w:val="2"/>
              <w:spacing w:after="0" w:line="240" w:lineRule="auto"/>
              <w:ind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序号</w:t>
            </w:r>
          </w:p>
        </w:tc>
        <w:tc>
          <w:tcPr>
            <w:tcW w:w="2738" w:type="pct"/>
            <w:vAlign w:val="center"/>
          </w:tcPr>
          <w:p w14:paraId="667346F7">
            <w:pPr>
              <w:pStyle w:val="2"/>
              <w:spacing w:after="0" w:line="240" w:lineRule="auto"/>
              <w:ind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意见要求</w:t>
            </w:r>
          </w:p>
        </w:tc>
        <w:tc>
          <w:tcPr>
            <w:tcW w:w="1744" w:type="pct"/>
            <w:vAlign w:val="center"/>
          </w:tcPr>
          <w:p w14:paraId="7312A46E">
            <w:pPr>
              <w:pStyle w:val="2"/>
              <w:spacing w:after="0" w:line="240" w:lineRule="auto"/>
              <w:ind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项目情况</w:t>
            </w:r>
          </w:p>
        </w:tc>
        <w:tc>
          <w:tcPr>
            <w:tcW w:w="267" w:type="pct"/>
            <w:vAlign w:val="center"/>
          </w:tcPr>
          <w:p w14:paraId="2D3AF5B7">
            <w:pPr>
              <w:pStyle w:val="2"/>
              <w:spacing w:after="0" w:line="240" w:lineRule="auto"/>
              <w:ind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相符性</w:t>
            </w:r>
          </w:p>
        </w:tc>
      </w:tr>
      <w:tr w14:paraId="7BB4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vAlign w:val="center"/>
          </w:tcPr>
          <w:p w14:paraId="4666FC30">
            <w:pPr>
              <w:pStyle w:val="2"/>
              <w:spacing w:after="0" w:line="240" w:lineRule="auto"/>
              <w:ind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w:t>
            </w:r>
          </w:p>
        </w:tc>
        <w:tc>
          <w:tcPr>
            <w:tcW w:w="2738" w:type="pct"/>
            <w:vAlign w:val="center"/>
          </w:tcPr>
          <w:p w14:paraId="2A2C5B78">
            <w:pPr>
              <w:pStyle w:val="2"/>
              <w:spacing w:after="0" w:line="240" w:lineRule="auto"/>
              <w:ind w:firstLine="0" w:firstLineChars="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深入实施“三线一单”。各级生态环境部门应加快推进“三线一单”成果在“两高”行业产业布局和结构调整、重大项目选址中的应用。地方生态环境部门组织“三线一单”地市落地细化及后续更新调整时，应在生态环境准入清单中深化“两高”项目环境准入及管控要求；承接钢铁、电解铝等产业转移地区应严格落实生态环境分区管控要求，将环境质量底线作为硬约束。</w:t>
            </w:r>
          </w:p>
        </w:tc>
        <w:tc>
          <w:tcPr>
            <w:tcW w:w="1744" w:type="pct"/>
            <w:vAlign w:val="center"/>
          </w:tcPr>
          <w:p w14:paraId="77E5989F">
            <w:pPr>
              <w:pStyle w:val="2"/>
              <w:spacing w:line="240" w:lineRule="auto"/>
              <w:ind w:firstLine="0" w:firstLineChars="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项目选址符合生态环境分区管控要求，且不属于“两高”项目，不在钢铁、电解铝等产业转移地区。</w:t>
            </w:r>
          </w:p>
        </w:tc>
        <w:tc>
          <w:tcPr>
            <w:tcW w:w="267" w:type="pct"/>
            <w:vAlign w:val="center"/>
          </w:tcPr>
          <w:p w14:paraId="3E1D0E23">
            <w:pPr>
              <w:pStyle w:val="2"/>
              <w:spacing w:after="0" w:line="240" w:lineRule="auto"/>
              <w:ind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1C0DD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vAlign w:val="center"/>
          </w:tcPr>
          <w:p w14:paraId="4ABB4BA3">
            <w:pPr>
              <w:pStyle w:val="2"/>
              <w:spacing w:after="0" w:line="240" w:lineRule="auto"/>
              <w:ind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w:t>
            </w:r>
          </w:p>
        </w:tc>
        <w:tc>
          <w:tcPr>
            <w:tcW w:w="2738" w:type="pct"/>
            <w:vAlign w:val="center"/>
          </w:tcPr>
          <w:p w14:paraId="47286812">
            <w:pPr>
              <w:pStyle w:val="2"/>
              <w:spacing w:after="0" w:line="240" w:lineRule="auto"/>
              <w:ind w:firstLine="0" w:firstLineChars="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强化规划环评效力。各级生态环境部门应严格审查涉“两高”行业的有关综合性规划和工业、能源等专项规划环评，特别对为上马“两高”项目而修编的规划，在环评审查中应严格控制“两高”行业发展规模，优化规划布局、产业结构与实施时序。以“两高”行业为主导产业的园区规划环评应增加碳排放情况与减排潜力分析，推动园区绿色低碳发展。推动煤电能源基地、现代煤化工示范区、石化产业基地等开展规划环境影响跟踪评价，完善生态环境保护措施并适时优化调整规划。</w:t>
            </w:r>
          </w:p>
        </w:tc>
        <w:tc>
          <w:tcPr>
            <w:tcW w:w="1744" w:type="pct"/>
            <w:vAlign w:val="center"/>
          </w:tcPr>
          <w:p w14:paraId="0E518575">
            <w:pPr>
              <w:pStyle w:val="2"/>
              <w:spacing w:line="240" w:lineRule="auto"/>
              <w:ind w:firstLine="21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项目不属于“两高”项目。</w:t>
            </w:r>
          </w:p>
        </w:tc>
        <w:tc>
          <w:tcPr>
            <w:tcW w:w="267" w:type="pct"/>
            <w:vAlign w:val="center"/>
          </w:tcPr>
          <w:p w14:paraId="687999CA">
            <w:pPr>
              <w:pStyle w:val="2"/>
              <w:spacing w:after="0" w:line="240" w:lineRule="auto"/>
              <w:ind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r>
      <w:tr w14:paraId="4354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vAlign w:val="center"/>
          </w:tcPr>
          <w:p w14:paraId="59A74840">
            <w:pPr>
              <w:pStyle w:val="2"/>
              <w:spacing w:after="0" w:line="240" w:lineRule="auto"/>
              <w:ind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w:t>
            </w:r>
          </w:p>
        </w:tc>
        <w:tc>
          <w:tcPr>
            <w:tcW w:w="2738" w:type="pct"/>
            <w:vAlign w:val="center"/>
          </w:tcPr>
          <w:p w14:paraId="07E8CE7D">
            <w:pPr>
              <w:pStyle w:val="2"/>
              <w:spacing w:after="0" w:line="240" w:lineRule="auto"/>
              <w:ind w:firstLine="0" w:firstLineChars="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tc>
        <w:tc>
          <w:tcPr>
            <w:tcW w:w="1744" w:type="pct"/>
            <w:vAlign w:val="center"/>
          </w:tcPr>
          <w:p w14:paraId="018BA72E">
            <w:pPr>
              <w:pStyle w:val="2"/>
              <w:spacing w:line="240" w:lineRule="auto"/>
              <w:ind w:firstLine="0" w:firstLineChars="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项目为生物柴油生产和工业级混合油生产项目，属于石化行业，位于广西钦州石化产业园，满足生态准入环境清单、规划环评环境准入条件和环评文件审批原则要求，并布设在已经完成规划环评的产业园区内。</w:t>
            </w:r>
          </w:p>
        </w:tc>
        <w:tc>
          <w:tcPr>
            <w:tcW w:w="267" w:type="pct"/>
            <w:vAlign w:val="center"/>
          </w:tcPr>
          <w:p w14:paraId="659940B6">
            <w:pPr>
              <w:pStyle w:val="2"/>
              <w:spacing w:after="0" w:line="240" w:lineRule="auto"/>
              <w:ind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77A3B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vAlign w:val="center"/>
          </w:tcPr>
          <w:p w14:paraId="1B8122A3">
            <w:pPr>
              <w:pStyle w:val="2"/>
              <w:spacing w:after="0" w:line="240" w:lineRule="auto"/>
              <w:ind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w:t>
            </w:r>
          </w:p>
        </w:tc>
        <w:tc>
          <w:tcPr>
            <w:tcW w:w="2738" w:type="pct"/>
            <w:vAlign w:val="center"/>
          </w:tcPr>
          <w:p w14:paraId="68BEFF45">
            <w:pPr>
              <w:pStyle w:val="2"/>
              <w:spacing w:after="0" w:line="240" w:lineRule="auto"/>
              <w:ind w:firstLine="0" w:firstLineChars="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落实区域削减要求。新建“两高”项目应按照《关于加强重点行业建设项目区域削减措施监督管理的通知》要求，依据区域环境质量改善目标，制定配套区域污染物削减方案，采取有效的污染物区域削减措施，腾出足够的环境容量。国家大气污染防治重点区域(以下称重点区域)内新建耗煤项目还应严格按规定采取煤炭消费减量替代措施，不得使用高污染燃料作为煤炭减量替代措施。</w:t>
            </w:r>
          </w:p>
        </w:tc>
        <w:tc>
          <w:tcPr>
            <w:tcW w:w="1744" w:type="pct"/>
            <w:vAlign w:val="center"/>
          </w:tcPr>
          <w:p w14:paraId="441A810F">
            <w:pPr>
              <w:pStyle w:val="2"/>
              <w:spacing w:after="0" w:line="240" w:lineRule="auto"/>
              <w:ind w:firstLine="0" w:firstLineChars="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项目属于石化行业，但不属于“两高”项目。</w:t>
            </w:r>
          </w:p>
        </w:tc>
        <w:tc>
          <w:tcPr>
            <w:tcW w:w="267" w:type="pct"/>
            <w:vAlign w:val="center"/>
          </w:tcPr>
          <w:p w14:paraId="47D5FEFB">
            <w:pPr>
              <w:pStyle w:val="2"/>
              <w:spacing w:after="0" w:line="240" w:lineRule="auto"/>
              <w:ind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r>
      <w:tr w14:paraId="7B566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vAlign w:val="center"/>
          </w:tcPr>
          <w:p w14:paraId="4BA0C341">
            <w:pPr>
              <w:pStyle w:val="2"/>
              <w:spacing w:after="0" w:line="240" w:lineRule="auto"/>
              <w:ind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5</w:t>
            </w:r>
          </w:p>
        </w:tc>
        <w:tc>
          <w:tcPr>
            <w:tcW w:w="2738" w:type="pct"/>
            <w:vAlign w:val="center"/>
          </w:tcPr>
          <w:p w14:paraId="716F7F4F">
            <w:pPr>
              <w:pStyle w:val="2"/>
              <w:spacing w:after="0" w:line="240" w:lineRule="auto"/>
              <w:ind w:firstLine="0" w:firstLineChars="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合理划分事权。省级生态环境部门应加强对基层“两高”项目环评审批程序、审批结果的监督与评估，对审批能力不适应的依法调整上收。对炼油、乙烯、钢铁、焦化、煤化工、燃煤发电、电解铝、水泥熟料、平板玻璃、铜铅锌硅冶炼等环境影响大或环境风险高的项目类别，不得以改革试点名义随意下放环评审批权限或降低审批要求。</w:t>
            </w:r>
          </w:p>
        </w:tc>
        <w:tc>
          <w:tcPr>
            <w:tcW w:w="1744" w:type="pct"/>
            <w:vAlign w:val="center"/>
          </w:tcPr>
          <w:p w14:paraId="5D73ECB6">
            <w:pPr>
              <w:pStyle w:val="2"/>
              <w:spacing w:after="0" w:line="240" w:lineRule="auto"/>
              <w:ind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项目不涉及该项。</w:t>
            </w:r>
          </w:p>
        </w:tc>
        <w:tc>
          <w:tcPr>
            <w:tcW w:w="267" w:type="pct"/>
            <w:vAlign w:val="center"/>
          </w:tcPr>
          <w:p w14:paraId="434CFB6D">
            <w:pPr>
              <w:pStyle w:val="2"/>
              <w:spacing w:after="0" w:line="240" w:lineRule="auto"/>
              <w:ind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r>
      <w:tr w14:paraId="2D803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vAlign w:val="center"/>
          </w:tcPr>
          <w:p w14:paraId="26846931">
            <w:pPr>
              <w:pStyle w:val="2"/>
              <w:spacing w:after="0" w:line="240" w:lineRule="auto"/>
              <w:ind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6</w:t>
            </w:r>
          </w:p>
        </w:tc>
        <w:tc>
          <w:tcPr>
            <w:tcW w:w="2738" w:type="pct"/>
            <w:vAlign w:val="center"/>
          </w:tcPr>
          <w:p w14:paraId="40C445B5">
            <w:pPr>
              <w:pStyle w:val="2"/>
              <w:spacing w:after="0" w:line="240" w:lineRule="auto"/>
              <w:ind w:firstLine="0" w:firstLineChars="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提升清洁生产和污染防治水平。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鼓励使用清洁燃料，重点区域建设项目原则上不新建燃煤自备锅炉。鼓励重点区域高炉-转炉长流程钢铁企业转型为电炉短流程企业。大宗物料优先采用铁路、管道或水路运输，短途接驳优先使用新能源车辆运输。</w:t>
            </w:r>
          </w:p>
        </w:tc>
        <w:tc>
          <w:tcPr>
            <w:tcW w:w="1744" w:type="pct"/>
            <w:vAlign w:val="center"/>
          </w:tcPr>
          <w:p w14:paraId="44B3007A">
            <w:pPr>
              <w:pStyle w:val="2"/>
              <w:spacing w:after="0" w:line="240" w:lineRule="auto"/>
              <w:ind w:firstLine="0" w:firstLineChars="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项目不属于“两高”项目，采用先进的工艺技术和设备，单位产品物耗、能耗、水耗等达到清洁生产先进水平，依法制定并严格落实防治土壤与地下水污染的措施。</w:t>
            </w:r>
          </w:p>
        </w:tc>
        <w:tc>
          <w:tcPr>
            <w:tcW w:w="267" w:type="pct"/>
            <w:vAlign w:val="center"/>
          </w:tcPr>
          <w:p w14:paraId="22262C5A">
            <w:pPr>
              <w:pStyle w:val="2"/>
              <w:spacing w:after="0" w:line="240" w:lineRule="auto"/>
              <w:ind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bl>
    <w:p w14:paraId="20BEBA4A">
      <w:pPr>
        <w:pStyle w:val="10"/>
      </w:pPr>
      <w:r>
        <w:rPr>
          <w:rFonts w:hint="eastAsia"/>
        </w:rPr>
        <w:t>《广西新建石化和化工生产项目准入管理办法（试行）》（桂工信石化〔2021〕501号）相符性分析</w:t>
      </w:r>
    </w:p>
    <w:p w14:paraId="477C33B2">
      <w:pPr>
        <w:pStyle w:val="4"/>
        <w:spacing w:after="0"/>
        <w:ind w:left="0" w:leftChars="0" w:firstLine="48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项目与《广西新建石化和化工生产项目准入管理办法（试行）》（桂工信石化〔2021〕501号）相符性分析详见表2.7-5。</w:t>
      </w:r>
    </w:p>
    <w:p w14:paraId="20F2820E">
      <w:pPr>
        <w:pStyle w:val="11"/>
      </w:pPr>
      <w:r>
        <w:rPr>
          <w:rFonts w:hint="eastAsia"/>
        </w:rPr>
        <w:t xml:space="preserve"> 《广西新建石化和化工生产项目准入管理办法（试行）》相符性分析</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5310"/>
        <w:gridCol w:w="2967"/>
        <w:gridCol w:w="497"/>
      </w:tblGrid>
      <w:tr w14:paraId="571C9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3" w:type="pct"/>
            <w:vAlign w:val="center"/>
          </w:tcPr>
          <w:p w14:paraId="26AD3D37">
            <w:pPr>
              <w:pStyle w:val="4"/>
              <w:spacing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序号</w:t>
            </w:r>
          </w:p>
        </w:tc>
        <w:tc>
          <w:tcPr>
            <w:tcW w:w="2873" w:type="pct"/>
            <w:vAlign w:val="center"/>
          </w:tcPr>
          <w:p w14:paraId="5F1232F5">
            <w:pPr>
              <w:pStyle w:val="4"/>
              <w:spacing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办法要求</w:t>
            </w:r>
          </w:p>
        </w:tc>
        <w:tc>
          <w:tcPr>
            <w:tcW w:w="1605" w:type="pct"/>
            <w:vAlign w:val="center"/>
          </w:tcPr>
          <w:p w14:paraId="5839C1E3">
            <w:pPr>
              <w:pStyle w:val="4"/>
              <w:spacing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项目情况</w:t>
            </w:r>
          </w:p>
        </w:tc>
        <w:tc>
          <w:tcPr>
            <w:tcW w:w="269" w:type="pct"/>
            <w:vAlign w:val="center"/>
          </w:tcPr>
          <w:p w14:paraId="3ACFF5FC">
            <w:pPr>
              <w:pStyle w:val="4"/>
              <w:spacing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相符性</w:t>
            </w:r>
          </w:p>
        </w:tc>
      </w:tr>
      <w:tr w14:paraId="695D1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3" w:type="pct"/>
            <w:vAlign w:val="center"/>
          </w:tcPr>
          <w:p w14:paraId="7F5414E0">
            <w:pPr>
              <w:pStyle w:val="4"/>
              <w:spacing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w:t>
            </w:r>
          </w:p>
        </w:tc>
        <w:tc>
          <w:tcPr>
            <w:tcW w:w="2873" w:type="pct"/>
            <w:vAlign w:val="center"/>
          </w:tcPr>
          <w:p w14:paraId="57B1D5BA">
            <w:pPr>
              <w:pStyle w:val="4"/>
              <w:spacing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第六条  新建石化和化工生产项目必须进入已通过认定且按《化工园区安全风险排查治理导则（试行）》安全风险等级评定不属</w:t>
            </w:r>
            <w:r>
              <w:rPr>
                <w:color w:val="0D0D0D" w:themeColor="text1" w:themeTint="F2"/>
                <w:sz w:val="21"/>
                <w:szCs w:val="21"/>
                <w:u w:val="single"/>
                <w14:textFill>
                  <w14:solidFill>
                    <w14:schemeClr w14:val="tx1">
                      <w14:lumMod w14:val="95000"/>
                      <w14:lumOff w14:val="5000"/>
                    </w14:schemeClr>
                  </w14:solidFill>
                </w14:textFill>
              </w:rPr>
              <w:t>A</w:t>
            </w:r>
            <w:r>
              <w:rPr>
                <w:rFonts w:hint="eastAsia"/>
                <w:color w:val="0D0D0D" w:themeColor="text1" w:themeTint="F2"/>
                <w:sz w:val="21"/>
                <w:szCs w:val="21"/>
                <w:u w:val="single"/>
                <w14:textFill>
                  <w14:solidFill>
                    <w14:schemeClr w14:val="tx1">
                      <w14:lumMod w14:val="95000"/>
                      <w14:lumOff w14:val="5000"/>
                    </w14:schemeClr>
                  </w14:solidFill>
                </w14:textFill>
              </w:rPr>
              <w:t>类、</w:t>
            </w:r>
            <w:r>
              <w:rPr>
                <w:color w:val="0D0D0D" w:themeColor="text1" w:themeTint="F2"/>
                <w:sz w:val="21"/>
                <w:szCs w:val="21"/>
                <w:u w:val="single"/>
                <w14:textFill>
                  <w14:solidFill>
                    <w14:schemeClr w14:val="tx1">
                      <w14:lumMod w14:val="95000"/>
                      <w14:lumOff w14:val="5000"/>
                    </w14:schemeClr>
                  </w14:solidFill>
                </w14:textFill>
              </w:rPr>
              <w:t>B</w:t>
            </w:r>
            <w:r>
              <w:rPr>
                <w:rFonts w:hint="eastAsia"/>
                <w:color w:val="0D0D0D" w:themeColor="text1" w:themeTint="F2"/>
                <w:sz w:val="21"/>
                <w:szCs w:val="21"/>
                <w:u w:val="single"/>
                <w14:textFill>
                  <w14:solidFill>
                    <w14:schemeClr w14:val="tx1">
                      <w14:lumMod w14:val="95000"/>
                      <w14:lumOff w14:val="5000"/>
                    </w14:schemeClr>
                  </w14:solidFill>
                </w14:textFill>
              </w:rPr>
              <w:t>类化工园区。</w:t>
            </w:r>
          </w:p>
        </w:tc>
        <w:tc>
          <w:tcPr>
            <w:tcW w:w="1605" w:type="pct"/>
            <w:vAlign w:val="center"/>
          </w:tcPr>
          <w:p w14:paraId="5C612041">
            <w:pPr>
              <w:pStyle w:val="4"/>
              <w:spacing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项目位于广西钦州石化产业园，广西钦州石化产业园属于C类化工园区。</w:t>
            </w:r>
          </w:p>
        </w:tc>
        <w:tc>
          <w:tcPr>
            <w:tcW w:w="269" w:type="pct"/>
            <w:vAlign w:val="center"/>
          </w:tcPr>
          <w:p w14:paraId="151F35BB">
            <w:pPr>
              <w:pStyle w:val="4"/>
              <w:spacing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4954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3" w:type="pct"/>
            <w:vAlign w:val="center"/>
          </w:tcPr>
          <w:p w14:paraId="32803778">
            <w:pPr>
              <w:pStyle w:val="4"/>
              <w:spacing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w:t>
            </w:r>
          </w:p>
        </w:tc>
        <w:tc>
          <w:tcPr>
            <w:tcW w:w="2873" w:type="pct"/>
            <w:vAlign w:val="center"/>
          </w:tcPr>
          <w:p w14:paraId="7BDCBC33">
            <w:pPr>
              <w:pStyle w:val="4"/>
              <w:spacing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第七条  新建石化和化工生产项目应符合国家及自治区石化和化工产业布局规划要求，符合国土空间规划、设区市主导产业或主导产业的配套产业、“禁限控”目录、化工园区产业规划等要求。</w:t>
            </w:r>
          </w:p>
        </w:tc>
        <w:tc>
          <w:tcPr>
            <w:tcW w:w="1605" w:type="pct"/>
            <w:vAlign w:val="center"/>
          </w:tcPr>
          <w:p w14:paraId="5E2CE6EA">
            <w:pPr>
              <w:pStyle w:val="4"/>
              <w:spacing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项目位于广西钦州石化产业园金谷片区，选址符合相关规划要求。</w:t>
            </w:r>
          </w:p>
        </w:tc>
        <w:tc>
          <w:tcPr>
            <w:tcW w:w="269" w:type="pct"/>
            <w:vAlign w:val="center"/>
          </w:tcPr>
          <w:p w14:paraId="7BA3788B">
            <w:pPr>
              <w:pStyle w:val="4"/>
              <w:spacing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66A5D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3" w:type="pct"/>
            <w:vAlign w:val="center"/>
          </w:tcPr>
          <w:p w14:paraId="4733FCD7">
            <w:pPr>
              <w:pStyle w:val="4"/>
              <w:spacing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w:t>
            </w:r>
          </w:p>
        </w:tc>
        <w:tc>
          <w:tcPr>
            <w:tcW w:w="2873" w:type="pct"/>
            <w:vAlign w:val="center"/>
          </w:tcPr>
          <w:p w14:paraId="30779EC5">
            <w:pPr>
              <w:pStyle w:val="4"/>
              <w:spacing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第八条  新建石化和化工生产项目应不属于现行国家产业结构调整指导目录规定的限制类（按国家规定允许产能置换项目除外）、淘汰类，不属于广西工业产业结构调整指导目录规定的淘汰类、禁止类。</w:t>
            </w:r>
          </w:p>
        </w:tc>
        <w:tc>
          <w:tcPr>
            <w:tcW w:w="1605" w:type="pct"/>
            <w:vAlign w:val="center"/>
          </w:tcPr>
          <w:p w14:paraId="7812BD29">
            <w:pPr>
              <w:pStyle w:val="4"/>
              <w:spacing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项目生物柴油和工业级混合油生产均属于《产业结构调整指导目录（2024年本）》的鼓励类项目。</w:t>
            </w:r>
          </w:p>
        </w:tc>
        <w:tc>
          <w:tcPr>
            <w:tcW w:w="269" w:type="pct"/>
            <w:vAlign w:val="center"/>
          </w:tcPr>
          <w:p w14:paraId="01EFC6AF">
            <w:pPr>
              <w:pStyle w:val="4"/>
              <w:spacing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119FC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3" w:type="pct"/>
            <w:vAlign w:val="center"/>
          </w:tcPr>
          <w:p w14:paraId="02B1E055">
            <w:pPr>
              <w:pStyle w:val="4"/>
              <w:spacing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w:t>
            </w:r>
          </w:p>
        </w:tc>
        <w:tc>
          <w:tcPr>
            <w:tcW w:w="2873" w:type="pct"/>
            <w:vAlign w:val="center"/>
          </w:tcPr>
          <w:p w14:paraId="7CF7DD04">
            <w:pPr>
              <w:pStyle w:val="4"/>
              <w:spacing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第十条  新建石化和化工生产项目必须符合相关法律法规、政策文件及标准要求。</w:t>
            </w:r>
          </w:p>
        </w:tc>
        <w:tc>
          <w:tcPr>
            <w:tcW w:w="1605" w:type="pct"/>
            <w:vAlign w:val="center"/>
          </w:tcPr>
          <w:p w14:paraId="4BE6CEE0">
            <w:pPr>
              <w:pStyle w:val="4"/>
              <w:spacing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项目建设符合相关法律法规、政策文件及标准要求。</w:t>
            </w:r>
          </w:p>
        </w:tc>
        <w:tc>
          <w:tcPr>
            <w:tcW w:w="269" w:type="pct"/>
            <w:vAlign w:val="center"/>
          </w:tcPr>
          <w:p w14:paraId="709B51D8">
            <w:pPr>
              <w:pStyle w:val="4"/>
              <w:spacing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418AB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3" w:type="pct"/>
            <w:vAlign w:val="center"/>
          </w:tcPr>
          <w:p w14:paraId="3AF92FC9">
            <w:pPr>
              <w:pStyle w:val="4"/>
              <w:spacing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5</w:t>
            </w:r>
          </w:p>
        </w:tc>
        <w:tc>
          <w:tcPr>
            <w:tcW w:w="2873" w:type="pct"/>
            <w:vAlign w:val="center"/>
          </w:tcPr>
          <w:p w14:paraId="04AB06B1">
            <w:pPr>
              <w:pStyle w:val="4"/>
              <w:spacing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第十一条  新建石化和化工生产项目不得涉及《淘汰落后安全技术装备目录》、《淘汰落后危险化学品安全生产工艺技术设备目录》等规定的淘汰落后工艺技术、设备。</w:t>
            </w:r>
          </w:p>
        </w:tc>
        <w:tc>
          <w:tcPr>
            <w:tcW w:w="1605" w:type="pct"/>
            <w:vAlign w:val="center"/>
          </w:tcPr>
          <w:p w14:paraId="302C7185">
            <w:pPr>
              <w:pStyle w:val="4"/>
              <w:spacing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项目建设运行采取先进工艺技术和设备</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69" w:type="pct"/>
            <w:vAlign w:val="center"/>
          </w:tcPr>
          <w:p w14:paraId="340BBE27">
            <w:pPr>
              <w:pStyle w:val="4"/>
              <w:spacing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7D252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3" w:type="pct"/>
            <w:vAlign w:val="center"/>
          </w:tcPr>
          <w:p w14:paraId="6723F49D">
            <w:pPr>
              <w:pStyle w:val="4"/>
              <w:spacing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6</w:t>
            </w:r>
          </w:p>
        </w:tc>
        <w:tc>
          <w:tcPr>
            <w:tcW w:w="2873" w:type="pct"/>
            <w:vAlign w:val="center"/>
          </w:tcPr>
          <w:p w14:paraId="696C0BC4">
            <w:pPr>
              <w:pStyle w:val="4"/>
              <w:spacing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第十二条  新建石化和化工生产项目采用的生产工艺技术应当来源合法、安全可靠。属于国内首次使用的化工工艺，应当经过自治区应急管理部门牵头，发展改革、工业和信息化、科技等单位参与的安全可靠性论证或提供工艺来源地省级安全可靠性论证。禁止新建涉及间歇、半间歇法硝化反应的石化和化工生产项目。</w:t>
            </w:r>
          </w:p>
        </w:tc>
        <w:tc>
          <w:tcPr>
            <w:tcW w:w="1605" w:type="pct"/>
            <w:vAlign w:val="center"/>
          </w:tcPr>
          <w:p w14:paraId="710C4B25">
            <w:pPr>
              <w:pStyle w:val="4"/>
              <w:spacing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项目建设运行采取先进工艺技术和设备，不涉及间歇、半间歇法硝化反应</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69" w:type="pct"/>
            <w:vAlign w:val="center"/>
          </w:tcPr>
          <w:p w14:paraId="7FABCEB0">
            <w:pPr>
              <w:pStyle w:val="4"/>
              <w:spacing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7086A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3" w:type="pct"/>
            <w:vAlign w:val="center"/>
          </w:tcPr>
          <w:p w14:paraId="4ED659D3">
            <w:pPr>
              <w:pStyle w:val="4"/>
              <w:spacing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7</w:t>
            </w:r>
          </w:p>
        </w:tc>
        <w:tc>
          <w:tcPr>
            <w:tcW w:w="2873" w:type="pct"/>
            <w:vAlign w:val="center"/>
          </w:tcPr>
          <w:p w14:paraId="1040C9E6">
            <w:pPr>
              <w:pStyle w:val="4"/>
              <w:spacing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第十五条  新建石化和化工生产项目应按照相关法律法规、政策文件及标准规定设置完善的安全设施；涉及重点监管危险化工工艺的新建石化和化工生产项目应采取自动控制系统、独立的安全仪表系统和其他安全设施；涉及硝化、氯化、氟化、重氮化、过氧化五类重点监管危险化工工艺装置及其上下游配套装置应实现全流程自动化控制。</w:t>
            </w:r>
          </w:p>
        </w:tc>
        <w:tc>
          <w:tcPr>
            <w:tcW w:w="1605" w:type="pct"/>
            <w:vAlign w:val="center"/>
          </w:tcPr>
          <w:p w14:paraId="208E32A8">
            <w:pPr>
              <w:pStyle w:val="4"/>
              <w:spacing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项目按照相关法律法规、政策文件及标准规定设置风险应急预案，落实和完善各项安全措施</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69" w:type="pct"/>
            <w:vAlign w:val="center"/>
          </w:tcPr>
          <w:p w14:paraId="0A3A100E">
            <w:pPr>
              <w:pStyle w:val="4"/>
              <w:spacing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600B7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3" w:type="pct"/>
            <w:vAlign w:val="center"/>
          </w:tcPr>
          <w:p w14:paraId="2D753BFF">
            <w:pPr>
              <w:pStyle w:val="4"/>
              <w:spacing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8</w:t>
            </w:r>
          </w:p>
        </w:tc>
        <w:tc>
          <w:tcPr>
            <w:tcW w:w="2873" w:type="pct"/>
            <w:vAlign w:val="center"/>
          </w:tcPr>
          <w:p w14:paraId="058B77B0">
            <w:pPr>
              <w:pStyle w:val="4"/>
              <w:spacing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第十六条  新建石化和化工生产项目污染物排放必须同时满足污染物排放标准和主要污染物总量控制要求。</w:t>
            </w:r>
          </w:p>
        </w:tc>
        <w:tc>
          <w:tcPr>
            <w:tcW w:w="1605" w:type="pct"/>
            <w:vAlign w:val="center"/>
          </w:tcPr>
          <w:p w14:paraId="527B4A71">
            <w:pPr>
              <w:pStyle w:val="4"/>
              <w:spacing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项目废气、废水均处理达标</w:t>
            </w:r>
            <w:r>
              <w:rPr>
                <w:rFonts w:hint="eastAsia"/>
                <w:color w:val="0D0D0D" w:themeColor="text1" w:themeTint="F2"/>
                <w:sz w:val="21"/>
                <w:szCs w:val="21"/>
                <w:u w:val="single"/>
                <w14:textFill>
                  <w14:solidFill>
                    <w14:schemeClr w14:val="tx1">
                      <w14:lumMod w14:val="95000"/>
                      <w14:lumOff w14:val="5000"/>
                    </w14:schemeClr>
                  </w14:solidFill>
                </w14:textFill>
              </w:rPr>
              <w:t>后</w:t>
            </w:r>
            <w:r>
              <w:rPr>
                <w:color w:val="0D0D0D" w:themeColor="text1" w:themeTint="F2"/>
                <w:sz w:val="21"/>
                <w:szCs w:val="21"/>
                <w:u w:val="single"/>
                <w14:textFill>
                  <w14:solidFill>
                    <w14:schemeClr w14:val="tx1">
                      <w14:lumMod w14:val="95000"/>
                      <w14:lumOff w14:val="5000"/>
                    </w14:schemeClr>
                  </w14:solidFill>
                </w14:textFill>
              </w:rPr>
              <w:t>排放</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其中废气按要求申请总量控制；项目所有废水最终均进入</w:t>
            </w:r>
            <w:r>
              <w:rPr>
                <w:rFonts w:hint="eastAsia"/>
                <w:color w:val="0D0D0D" w:themeColor="text1" w:themeTint="F2"/>
                <w:sz w:val="21"/>
                <w:szCs w:val="21"/>
                <w:u w:val="single"/>
                <w14:textFill>
                  <w14:solidFill>
                    <w14:schemeClr w14:val="tx1">
                      <w14:lumMod w14:val="95000"/>
                      <w14:lumOff w14:val="5000"/>
                    </w14:schemeClr>
                  </w14:solidFill>
                </w14:textFill>
              </w:rPr>
              <w:t>钦州胜科水务有限公司污水处理厂</w:t>
            </w:r>
            <w:r>
              <w:rPr>
                <w:color w:val="0D0D0D" w:themeColor="text1" w:themeTint="F2"/>
                <w:sz w:val="21"/>
                <w:szCs w:val="21"/>
                <w:u w:val="single"/>
                <w14:textFill>
                  <w14:solidFill>
                    <w14:schemeClr w14:val="tx1">
                      <w14:lumMod w14:val="95000"/>
                      <w14:lumOff w14:val="5000"/>
                    </w14:schemeClr>
                  </w14:solidFill>
                </w14:textFill>
              </w:rPr>
              <w:t>处理，不单独进行总量控制</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69" w:type="pct"/>
            <w:vAlign w:val="center"/>
          </w:tcPr>
          <w:p w14:paraId="5EE3B108">
            <w:pPr>
              <w:pStyle w:val="4"/>
              <w:spacing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7FA7E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3" w:type="pct"/>
            <w:vAlign w:val="center"/>
          </w:tcPr>
          <w:p w14:paraId="1D87FDBC">
            <w:pPr>
              <w:pStyle w:val="4"/>
              <w:spacing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9</w:t>
            </w:r>
          </w:p>
        </w:tc>
        <w:tc>
          <w:tcPr>
            <w:tcW w:w="2873" w:type="pct"/>
            <w:vAlign w:val="center"/>
          </w:tcPr>
          <w:p w14:paraId="051DCEC5">
            <w:pPr>
              <w:pStyle w:val="4"/>
              <w:spacing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第十七条  环保基础设施不完善的化工园区内不得新建石化和化工生产项目，或环保设施长期不能稳定运行的企业不得建设涉及扩大装置生产能力的项目。</w:t>
            </w:r>
          </w:p>
        </w:tc>
        <w:tc>
          <w:tcPr>
            <w:tcW w:w="1605" w:type="pct"/>
            <w:vAlign w:val="center"/>
          </w:tcPr>
          <w:p w14:paraId="63921B41">
            <w:pPr>
              <w:pStyle w:val="4"/>
              <w:spacing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项目位于广西钦州石化产业园的金谷片区。园区已进行规划环评并取得审查意见，园区环保基础设施按规划环评要求完善</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69" w:type="pct"/>
            <w:vAlign w:val="center"/>
          </w:tcPr>
          <w:p w14:paraId="772C7596">
            <w:pPr>
              <w:pStyle w:val="4"/>
              <w:spacing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650D5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3" w:type="pct"/>
            <w:vAlign w:val="center"/>
          </w:tcPr>
          <w:p w14:paraId="5001852D">
            <w:pPr>
              <w:pStyle w:val="4"/>
              <w:spacing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10</w:t>
            </w:r>
          </w:p>
        </w:tc>
        <w:tc>
          <w:tcPr>
            <w:tcW w:w="2873" w:type="pct"/>
            <w:vAlign w:val="center"/>
          </w:tcPr>
          <w:p w14:paraId="655EF1CD">
            <w:pPr>
              <w:pStyle w:val="4"/>
              <w:spacing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第十八条  新建石化和化工生产项目配套的工艺废水管线应采取明管等利于监管的方式布设。工艺废水管线及厂内污染区地面必须进行防渗、防腐处理。</w:t>
            </w:r>
          </w:p>
        </w:tc>
        <w:tc>
          <w:tcPr>
            <w:tcW w:w="1605" w:type="pct"/>
            <w:vAlign w:val="center"/>
          </w:tcPr>
          <w:p w14:paraId="066F393E">
            <w:pPr>
              <w:pStyle w:val="4"/>
              <w:spacing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项目按要求采取分区防渗措施。</w:t>
            </w:r>
          </w:p>
        </w:tc>
        <w:tc>
          <w:tcPr>
            <w:tcW w:w="269" w:type="pct"/>
            <w:vAlign w:val="center"/>
          </w:tcPr>
          <w:p w14:paraId="73F3A4FC">
            <w:pPr>
              <w:pStyle w:val="4"/>
              <w:spacing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1615A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3" w:type="pct"/>
            <w:vAlign w:val="center"/>
          </w:tcPr>
          <w:p w14:paraId="42167B95">
            <w:pPr>
              <w:pStyle w:val="4"/>
              <w:spacing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11</w:t>
            </w:r>
          </w:p>
        </w:tc>
        <w:tc>
          <w:tcPr>
            <w:tcW w:w="2873" w:type="pct"/>
            <w:vAlign w:val="center"/>
          </w:tcPr>
          <w:p w14:paraId="738FDEFD">
            <w:pPr>
              <w:pStyle w:val="4"/>
              <w:spacing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第十九条  新建石化和化工生产项目必须配套固废综合利用或无害化处理设施，危险废物必须按照国家及自治区相关危险废物的管理规定进行贮存、转移、安全处置。</w:t>
            </w:r>
          </w:p>
        </w:tc>
        <w:tc>
          <w:tcPr>
            <w:tcW w:w="1605" w:type="pct"/>
            <w:vAlign w:val="center"/>
          </w:tcPr>
          <w:p w14:paraId="716A8445">
            <w:pPr>
              <w:pStyle w:val="4"/>
              <w:spacing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项目危险废物交由有资质单位</w:t>
            </w:r>
            <w:r>
              <w:rPr>
                <w:rFonts w:hint="eastAsia"/>
                <w:color w:val="0D0D0D" w:themeColor="text1" w:themeTint="F2"/>
                <w:sz w:val="21"/>
                <w:szCs w:val="21"/>
                <w:u w:val="single"/>
                <w14:textFill>
                  <w14:solidFill>
                    <w14:schemeClr w14:val="tx1">
                      <w14:lumMod w14:val="95000"/>
                      <w14:lumOff w14:val="5000"/>
                    </w14:schemeClr>
                  </w14:solidFill>
                </w14:textFill>
              </w:rPr>
              <w:t>清运</w:t>
            </w:r>
            <w:r>
              <w:rPr>
                <w:color w:val="0D0D0D" w:themeColor="text1" w:themeTint="F2"/>
                <w:sz w:val="21"/>
                <w:szCs w:val="21"/>
                <w:u w:val="single"/>
                <w14:textFill>
                  <w14:solidFill>
                    <w14:schemeClr w14:val="tx1">
                      <w14:lumMod w14:val="95000"/>
                      <w14:lumOff w14:val="5000"/>
                    </w14:schemeClr>
                  </w14:solidFill>
                </w14:textFill>
              </w:rPr>
              <w:t>处置，一般工业固废和生活垃圾按相关环保要求处置。各类固废的处置去向明确。</w:t>
            </w:r>
          </w:p>
        </w:tc>
        <w:tc>
          <w:tcPr>
            <w:tcW w:w="269" w:type="pct"/>
            <w:vAlign w:val="center"/>
          </w:tcPr>
          <w:p w14:paraId="1E614EB8">
            <w:pPr>
              <w:pStyle w:val="4"/>
              <w:spacing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49A47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3" w:type="pct"/>
            <w:vAlign w:val="center"/>
          </w:tcPr>
          <w:p w14:paraId="1B637BA6">
            <w:pPr>
              <w:pStyle w:val="4"/>
              <w:spacing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12</w:t>
            </w:r>
          </w:p>
        </w:tc>
        <w:tc>
          <w:tcPr>
            <w:tcW w:w="2873" w:type="pct"/>
            <w:vAlign w:val="center"/>
          </w:tcPr>
          <w:p w14:paraId="528B3DAF">
            <w:pPr>
              <w:pStyle w:val="4"/>
              <w:spacing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第二十条  新建石化和化工生产项目，必须设置有效防止泄漏物质、消防水、污染雨水等扩散至外环境的收集、导流、拦截、降污等措施，必须设置事故废水收集池（尽可能以非动力自流方式）和应急储存设施，以满足事故状态下收集泄漏物料、污染消防水和污染雨水的需要。</w:t>
            </w:r>
          </w:p>
        </w:tc>
        <w:tc>
          <w:tcPr>
            <w:tcW w:w="1605" w:type="pct"/>
            <w:vAlign w:val="center"/>
          </w:tcPr>
          <w:p w14:paraId="42CA4D1F">
            <w:pPr>
              <w:pStyle w:val="4"/>
              <w:spacing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项目厂区内落实分区防控措施，并设置初期雨水池和事故应急池等配套设施。</w:t>
            </w:r>
          </w:p>
        </w:tc>
        <w:tc>
          <w:tcPr>
            <w:tcW w:w="269" w:type="pct"/>
            <w:vAlign w:val="center"/>
          </w:tcPr>
          <w:p w14:paraId="65FD8357">
            <w:pPr>
              <w:pStyle w:val="4"/>
              <w:spacing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bl>
    <w:p w14:paraId="697EA7E5">
      <w:pPr>
        <w:pStyle w:val="10"/>
      </w:pPr>
      <w:r>
        <w:rPr>
          <w:rFonts w:hint="eastAsia"/>
        </w:rPr>
        <w:t>《关于印发钢铁/焦化、现代煤化工、石化、火电四个行业建设项目环境影响评价文件审批原则的通知》相符性分析</w:t>
      </w:r>
    </w:p>
    <w:p w14:paraId="6C5FAAC8">
      <w:pPr>
        <w:pStyle w:val="2"/>
        <w:spacing w:after="0"/>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项目与《关于印发钢铁/焦化、现代煤化工、石化、火电四个行业建设项目环境影响评价文件审批原则的通知》（环办环评〔2022〕31号）相符性分析详见表2.7-6。</w:t>
      </w:r>
    </w:p>
    <w:p w14:paraId="12B1F605">
      <w:pPr>
        <w:pStyle w:val="11"/>
      </w:pPr>
      <w:r>
        <w:rPr>
          <w:rFonts w:hint="eastAsia"/>
        </w:rPr>
        <w:t xml:space="preserve"> 《石化建设项目环境影响评价文件审批原则》相符性分析一览表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5643"/>
        <w:gridCol w:w="2673"/>
        <w:gridCol w:w="471"/>
      </w:tblGrid>
      <w:tr w14:paraId="22D34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vAlign w:val="center"/>
          </w:tcPr>
          <w:p w14:paraId="34E4ABBF">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序号</w:t>
            </w:r>
          </w:p>
        </w:tc>
        <w:tc>
          <w:tcPr>
            <w:tcW w:w="3053" w:type="pct"/>
            <w:vAlign w:val="center"/>
          </w:tcPr>
          <w:p w14:paraId="439D7F0D">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办法要求</w:t>
            </w:r>
          </w:p>
        </w:tc>
        <w:tc>
          <w:tcPr>
            <w:tcW w:w="1446" w:type="pct"/>
            <w:vAlign w:val="center"/>
          </w:tcPr>
          <w:p w14:paraId="0C1FE633">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项目情况</w:t>
            </w:r>
          </w:p>
        </w:tc>
        <w:tc>
          <w:tcPr>
            <w:tcW w:w="255" w:type="pct"/>
            <w:vAlign w:val="center"/>
          </w:tcPr>
          <w:p w14:paraId="3ECEE927">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相符性</w:t>
            </w:r>
          </w:p>
        </w:tc>
      </w:tr>
      <w:tr w14:paraId="64D4D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vAlign w:val="center"/>
          </w:tcPr>
          <w:p w14:paraId="1D624012">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w:t>
            </w:r>
          </w:p>
        </w:tc>
        <w:tc>
          <w:tcPr>
            <w:tcW w:w="3053" w:type="pct"/>
            <w:vAlign w:val="center"/>
          </w:tcPr>
          <w:p w14:paraId="5D40AA22">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项目应符合生态环境保护相关法律法规、法定规划以及相关产业结构调整、区域及行业碳达峰碳中和目标、煤炭消费总量控制、重点污染物排放总量控制等政策要求。新建、改扩建炼油和新建乙烯、对二甲苯、二苯基甲烷二异氰酸酯（MDI）项目应符合国家批准的石化产业规划布局方案等有关产业规划。</w:t>
            </w:r>
          </w:p>
        </w:tc>
        <w:tc>
          <w:tcPr>
            <w:tcW w:w="1446" w:type="pct"/>
            <w:vAlign w:val="center"/>
          </w:tcPr>
          <w:p w14:paraId="14CBD204">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项目属于《产业结构调整指导目录（2024年本）》</w:t>
            </w:r>
            <w:r>
              <w:rPr>
                <w:rFonts w:hint="eastAsia"/>
                <w:color w:val="0D0D0D" w:themeColor="text1" w:themeTint="F2"/>
                <w:sz w:val="21"/>
                <w:szCs w:val="21"/>
                <w:u w:val="single"/>
                <w14:textFill>
                  <w14:solidFill>
                    <w14:schemeClr w14:val="tx1">
                      <w14:lumMod w14:val="95000"/>
                      <w14:lumOff w14:val="5000"/>
                    </w14:schemeClr>
                  </w14:solidFill>
                </w14:textFill>
              </w:rPr>
              <w:t>的鼓励类</w:t>
            </w:r>
            <w:r>
              <w:rPr>
                <w:color w:val="0D0D0D" w:themeColor="text1" w:themeTint="F2"/>
                <w:sz w:val="21"/>
                <w:szCs w:val="21"/>
                <w:u w:val="single"/>
                <w14:textFill>
                  <w14:solidFill>
                    <w14:schemeClr w14:val="tx1">
                      <w14:lumMod w14:val="95000"/>
                      <w14:lumOff w14:val="5000"/>
                    </w14:schemeClr>
                  </w14:solidFill>
                </w14:textFill>
              </w:rPr>
              <w:t>项目，符合相关法律法规和政策要求</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不属于文件中所列的项目</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55" w:type="pct"/>
            <w:vAlign w:val="center"/>
          </w:tcPr>
          <w:p w14:paraId="6A449A00">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0F1FE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vAlign w:val="center"/>
          </w:tcPr>
          <w:p w14:paraId="53F5B942">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w:t>
            </w:r>
          </w:p>
        </w:tc>
        <w:tc>
          <w:tcPr>
            <w:tcW w:w="3053" w:type="pct"/>
            <w:vAlign w:val="center"/>
          </w:tcPr>
          <w:p w14:paraId="14D0F691">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项目选址应符合生态环境分区管控要求。新建、扩建建设项目应布设在依法合规设立的产业园区，并符合园区规划及规划环境影响评价要求。项目选址不得位于长江干支流岸线一公里范围内、黄河干支流岸线管控范围内等法律法规明令禁止的区域，应避开生态保护红线，尽可能远离居民集中区、医院、学校等环境敏感区。</w:t>
            </w:r>
          </w:p>
        </w:tc>
        <w:tc>
          <w:tcPr>
            <w:tcW w:w="1446" w:type="pct"/>
            <w:vAlign w:val="center"/>
          </w:tcPr>
          <w:p w14:paraId="2F8FC722">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项目</w:t>
            </w:r>
            <w:r>
              <w:rPr>
                <w:rFonts w:hint="eastAsia"/>
                <w:color w:val="0D0D0D" w:themeColor="text1" w:themeTint="F2"/>
                <w:sz w:val="21"/>
                <w:szCs w:val="21"/>
                <w:u w:val="single"/>
                <w14:textFill>
                  <w14:solidFill>
                    <w14:schemeClr w14:val="tx1">
                      <w14:lumMod w14:val="95000"/>
                      <w14:lumOff w14:val="5000"/>
                    </w14:schemeClr>
                  </w14:solidFill>
                </w14:textFill>
              </w:rPr>
              <w:t>位于</w:t>
            </w:r>
            <w:r>
              <w:rPr>
                <w:color w:val="0D0D0D" w:themeColor="text1" w:themeTint="F2"/>
                <w:sz w:val="21"/>
                <w:szCs w:val="21"/>
                <w:u w:val="single"/>
                <w14:textFill>
                  <w14:solidFill>
                    <w14:schemeClr w14:val="tx1">
                      <w14:lumMod w14:val="95000"/>
                      <w14:lumOff w14:val="5000"/>
                    </w14:schemeClr>
                  </w14:solidFill>
                </w14:textFill>
              </w:rPr>
              <w:t>钦州石化产业园区</w:t>
            </w:r>
            <w:r>
              <w:rPr>
                <w:rFonts w:hint="eastAsia"/>
                <w:color w:val="0D0D0D" w:themeColor="text1" w:themeTint="F2"/>
                <w:sz w:val="21"/>
                <w:szCs w:val="21"/>
                <w:u w:val="single"/>
                <w14:textFill>
                  <w14:solidFill>
                    <w14:schemeClr w14:val="tx1">
                      <w14:lumMod w14:val="95000"/>
                      <w14:lumOff w14:val="5000"/>
                    </w14:schemeClr>
                  </w14:solidFill>
                </w14:textFill>
              </w:rPr>
              <w:t>，选址</w:t>
            </w:r>
            <w:r>
              <w:rPr>
                <w:color w:val="0D0D0D" w:themeColor="text1" w:themeTint="F2"/>
                <w:sz w:val="21"/>
                <w:szCs w:val="21"/>
                <w:u w:val="single"/>
                <w14:textFill>
                  <w14:solidFill>
                    <w14:schemeClr w14:val="tx1">
                      <w14:lumMod w14:val="95000"/>
                      <w14:lumOff w14:val="5000"/>
                    </w14:schemeClr>
                  </w14:solidFill>
                </w14:textFill>
              </w:rPr>
              <w:t>符合</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三线一单</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要求，符合园区规划和规划环境影响评价要求；项目不在法律法规明令禁止的区域，不涉及生态红线，远离居民集中区、医院、学校等环境敏感区</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55" w:type="pct"/>
            <w:vAlign w:val="center"/>
          </w:tcPr>
          <w:p w14:paraId="39D72E81">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4E21B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vAlign w:val="center"/>
          </w:tcPr>
          <w:p w14:paraId="56A6B2C7">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w:t>
            </w:r>
          </w:p>
        </w:tc>
        <w:tc>
          <w:tcPr>
            <w:tcW w:w="3053" w:type="pct"/>
            <w:vAlign w:val="center"/>
          </w:tcPr>
          <w:p w14:paraId="5D6DFEF9">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新建、扩建项目应采用先进适用的工艺技术和装备，单位产品物耗、能耗、水耗、污染物排放量和资源综合利用等应达到行业先进水平。炼油、乙烯、对二甲苯项目能效应达到行业标杆水平。</w:t>
            </w:r>
          </w:p>
          <w:p w14:paraId="6D4A373E">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鼓励使用绿色原料、工艺及产品，使用清洁燃料、绿电、绿氢。鼓励实施循环经济，统筹利用园区内上下游资源。</w:t>
            </w:r>
          </w:p>
          <w:p w14:paraId="54254DD0">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强化节水措施，减少新鲜水用量。具备条件的地区，优先使用再生水、海水淡化水，采用海水作为循环冷却水；缺水地区优先采用空冷、闭式循环等节水技术。</w:t>
            </w:r>
          </w:p>
        </w:tc>
        <w:tc>
          <w:tcPr>
            <w:tcW w:w="1446" w:type="pct"/>
            <w:vAlign w:val="center"/>
          </w:tcPr>
          <w:p w14:paraId="36271661">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项目</w:t>
            </w:r>
            <w:r>
              <w:rPr>
                <w:rFonts w:hint="eastAsia"/>
                <w:color w:val="0D0D0D" w:themeColor="text1" w:themeTint="F2"/>
                <w:sz w:val="21"/>
                <w:szCs w:val="21"/>
                <w:u w:val="single"/>
                <w14:textFill>
                  <w14:solidFill>
                    <w14:schemeClr w14:val="tx1">
                      <w14:lumMod w14:val="95000"/>
                      <w14:lumOff w14:val="5000"/>
                    </w14:schemeClr>
                  </w14:solidFill>
                </w14:textFill>
              </w:rPr>
              <w:t>实施清洁生产，</w:t>
            </w:r>
            <w:r>
              <w:rPr>
                <w:color w:val="0D0D0D" w:themeColor="text1" w:themeTint="F2"/>
                <w:sz w:val="21"/>
                <w:szCs w:val="21"/>
                <w:u w:val="single"/>
                <w14:textFill>
                  <w14:solidFill>
                    <w14:schemeClr w14:val="tx1">
                      <w14:lumMod w14:val="95000"/>
                      <w14:lumOff w14:val="5000"/>
                    </w14:schemeClr>
                  </w14:solidFill>
                </w14:textFill>
              </w:rPr>
              <w:t>采取节水措施，减少新鲜水用量</w:t>
            </w:r>
            <w:r>
              <w:rPr>
                <w:rFonts w:hint="eastAsia"/>
                <w:color w:val="0D0D0D" w:themeColor="text1" w:themeTint="F2"/>
                <w:sz w:val="21"/>
                <w:szCs w:val="21"/>
                <w:u w:val="single"/>
                <w14:textFill>
                  <w14:solidFill>
                    <w14:schemeClr w14:val="tx1">
                      <w14:lumMod w14:val="95000"/>
                      <w14:lumOff w14:val="5000"/>
                    </w14:schemeClr>
                  </w14:solidFill>
                </w14:textFill>
              </w:rPr>
              <w:t>，不属于所列炼油、乙烯、对二甲苯项目。</w:t>
            </w:r>
          </w:p>
        </w:tc>
        <w:tc>
          <w:tcPr>
            <w:tcW w:w="255" w:type="pct"/>
            <w:vAlign w:val="center"/>
          </w:tcPr>
          <w:p w14:paraId="14925DB5">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48064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vAlign w:val="center"/>
          </w:tcPr>
          <w:p w14:paraId="7DF9EC7E">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w:t>
            </w:r>
          </w:p>
        </w:tc>
        <w:tc>
          <w:tcPr>
            <w:tcW w:w="3053" w:type="pct"/>
            <w:vAlign w:val="center"/>
          </w:tcPr>
          <w:p w14:paraId="0A01C133">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项目优先采用园区集中供热供汽，鼓励使用可再生能源，原则上不得配备燃煤自备电厂，不设或少设自备锅炉。确需建设自备电厂的，应符合国家及地方的相关规划和排放控制要求。加热炉、转化炉、裂解炉等应使用脱硫干气等清洁燃料，采取低氮燃烧等氮氧化物控制措施；催化裂化装置和动力站锅炉等应采取必要的脱硫、脱硝和除尘措施；其他有组织工艺废气应采取有效治理措施，减少污染物排放；原则上不得设置废气旁路，确需保留的应急类旁路，应安装流量计等自动监测设备。</w:t>
            </w:r>
          </w:p>
          <w:p w14:paraId="29A6C728">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上下游装置间宜通过管道直接输送，减少中间储罐；通过优化设备、储罐选型，加强源头、过程、末端全流程管控，减少污染物无组织排放；挥发性有机液体装载优先采用底部装载，采用顶部浸没式装载的应采用高效密封方式；废水预处理、污泥储存处置等环节密闭化；有机废气应收尽收，鼓励污水均质罐、污油罐、浮渣罐及酸性水罐有机废气收集处理；依据废气特征、挥发性有机物组分及浓度、生产工况等合理选择治理技术，高、低浓度有机废气分质收集处理，高浓度有机废气宜单独收集治理，优先回收利用，无法回收利用的采用预处理+催化氧化、焚烧等高效处理工艺，除单一恶臭异味治理外，一般不单独使用低温等离子、光催化、光氧化等技术；明确设备泄漏检测与修复（LDAR）制度。</w:t>
            </w:r>
          </w:p>
          <w:p w14:paraId="01DE2B2D">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非正常工况排气应收集处理，优先回收利用。</w:t>
            </w:r>
          </w:p>
          <w:p w14:paraId="098348D8">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动力站锅炉烟气应符合《锅炉大气污染物排放标准》（GB13271）或《火电厂大气污染物排放标准》（GB13223）要求；恶臭污染物应符合《恶臭污染物排放标准》（GB14554）要求；其他污染物排放及控制应符合《石油炼制工业污染物排放标准》（GB31570）、《石油化学工业污染物排放标准》（GB31571）、《合成树脂工业污染物排放标准》（GB31572）等要求。</w:t>
            </w:r>
          </w:p>
          <w:p w14:paraId="0B59612F">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大宗物料中长距离运输优先采用铁路、管道或水路运输，厂区内或短途接驳优先使用国六排放标准的运输工具或新能源车辆、管道或管状带式输送机等清洁运输方式。</w:t>
            </w:r>
          </w:p>
          <w:p w14:paraId="77F2A7DD">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合理设置大气环境防护距离，环境防护距离范围内不应有居民区、学校、医院等环境敏感目标</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1446" w:type="pct"/>
            <w:vAlign w:val="center"/>
          </w:tcPr>
          <w:p w14:paraId="331EC07F">
            <w:pPr>
              <w:pStyle w:val="4"/>
              <w:spacing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经调查，园区蒸汽为饱和蒸汽，最高温度为250℃，项目生物柴油生产线所需最高温度为280℃，工业级混合油生产线所需最高温度为250℃，园区蒸汽温度无法完全满足项目工艺使用需求，且项目生物柴油采用生物酶制法，工艺对温度控制要求苛刻，园区蒸汽受压力限制和蒸汽量存在波动等因素影响，不利于项目的稳定生产。因此，项目拟设置2台导热油炉和1台余热蒸汽锅炉，导热油炉以生物质成型颗粒为燃料，余热蒸汽锅炉利用导热油炉高温烟气产生蒸汽，项目导热油炉和余热蒸汽锅炉建设已取得中国-马来西亚钦州产业园区经济发展局出具的意见（附件10）。根据预测结果，项目无需设置大气环境防护距离。</w:t>
            </w:r>
          </w:p>
        </w:tc>
        <w:tc>
          <w:tcPr>
            <w:tcW w:w="255" w:type="pct"/>
            <w:vAlign w:val="center"/>
          </w:tcPr>
          <w:p w14:paraId="3DCBA1AD">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1ADF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vAlign w:val="center"/>
          </w:tcPr>
          <w:p w14:paraId="33B8A49A">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5</w:t>
            </w:r>
          </w:p>
        </w:tc>
        <w:tc>
          <w:tcPr>
            <w:tcW w:w="3053" w:type="pct"/>
            <w:vAlign w:val="center"/>
          </w:tcPr>
          <w:p w14:paraId="4D8F74AC">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将温室气体排放纳入建设项目环境影响评价，核算建设项目温室气体排放量，推进减污降碳协同增效，推动减碳技术创新示范应用。鼓励有条件的地区、企业采取风光水电、非粮生物质等可再生能源资源制氢，二氧化碳合成甲醇、烯烃、芳烃、可降解塑料、碳酸二甲酯、聚酯、二甲醚等化工产品，二氧化碳高效和低成本捕集、输送、长期稳定封存等减碳技术</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1446" w:type="pct"/>
            <w:vAlign w:val="center"/>
          </w:tcPr>
          <w:p w14:paraId="137BC454">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项目</w:t>
            </w:r>
            <w:r>
              <w:rPr>
                <w:rFonts w:hint="eastAsia"/>
                <w:color w:val="0D0D0D" w:themeColor="text1" w:themeTint="F2"/>
                <w:sz w:val="21"/>
                <w:szCs w:val="21"/>
                <w:u w:val="single"/>
                <w14:textFill>
                  <w14:solidFill>
                    <w14:schemeClr w14:val="tx1">
                      <w14:lumMod w14:val="95000"/>
                      <w14:lumOff w14:val="5000"/>
                    </w14:schemeClr>
                  </w14:solidFill>
                </w14:textFill>
              </w:rPr>
              <w:t>不涉及该项。</w:t>
            </w:r>
          </w:p>
        </w:tc>
        <w:tc>
          <w:tcPr>
            <w:tcW w:w="255" w:type="pct"/>
            <w:vAlign w:val="center"/>
          </w:tcPr>
          <w:p w14:paraId="0E2775D4">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r>
      <w:tr w14:paraId="192CE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vAlign w:val="center"/>
          </w:tcPr>
          <w:p w14:paraId="1D61E939">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6</w:t>
            </w:r>
          </w:p>
        </w:tc>
        <w:tc>
          <w:tcPr>
            <w:tcW w:w="3053" w:type="pct"/>
            <w:vAlign w:val="center"/>
          </w:tcPr>
          <w:p w14:paraId="4CF119E6">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做好雨污分流、清污分流、污污分流。废水分类收集、分质处理、优先回用，含油废水、含硫废水经处理后最大限度回用，含盐废水进行适当深度处理，污染雨水收集处理。严禁生产废水未经处理或未有效处理直接排入城镇污水处理系统。</w:t>
            </w:r>
          </w:p>
          <w:p w14:paraId="503CFB75">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项目排放的废水污染物应符合《石油炼制工业污染物排放标准》（GB31570）、《石油化学工业污染物排放标准》（GB31571）、《合成树脂工业污染物排放标准》（GB31572）等要求。</w:t>
            </w:r>
          </w:p>
        </w:tc>
        <w:tc>
          <w:tcPr>
            <w:tcW w:w="1446" w:type="pct"/>
            <w:vAlign w:val="center"/>
          </w:tcPr>
          <w:p w14:paraId="4E87A9D8">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项目</w:t>
            </w:r>
            <w:r>
              <w:rPr>
                <w:rFonts w:hint="eastAsia"/>
                <w:color w:val="0D0D0D" w:themeColor="text1" w:themeTint="F2"/>
                <w:sz w:val="21"/>
                <w:szCs w:val="21"/>
                <w:u w:val="single"/>
                <w14:textFill>
                  <w14:solidFill>
                    <w14:schemeClr w14:val="tx1">
                      <w14:lumMod w14:val="95000"/>
                      <w14:lumOff w14:val="5000"/>
                    </w14:schemeClr>
                  </w14:solidFill>
                </w14:textFill>
              </w:rPr>
              <w:t>实行雨污分流，初期雨水经初期雨水池收集后泵入厂区污水处理站与生产废水一起处理达标后排入市政污水管网，生活污水经三级化粪池处理后排入市政污水管网，</w:t>
            </w:r>
            <w:r>
              <w:rPr>
                <w:color w:val="0D0D0D" w:themeColor="text1" w:themeTint="F2"/>
                <w:sz w:val="21"/>
                <w:szCs w:val="21"/>
                <w:u w:val="single"/>
                <w14:textFill>
                  <w14:solidFill>
                    <w14:schemeClr w14:val="tx1">
                      <w14:lumMod w14:val="95000"/>
                      <w14:lumOff w14:val="5000"/>
                    </w14:schemeClr>
                  </w14:solidFill>
                </w14:textFill>
              </w:rPr>
              <w:t>外排废水统一输送至钦州胜科水务有限公司污水处理厂进行深度处理，最终通过钦州港金鼓江排污混合区（GX056DⅣ）深海排放</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废水总排口（DW001）满足《石油炼制工业污染物排放标准》（GB31570-2015）及其修改单中表1间接排放标准和钦州胜科水务有限公司污水处理厂纳管标准较严值</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55" w:type="pct"/>
            <w:vAlign w:val="center"/>
          </w:tcPr>
          <w:p w14:paraId="458BA45A">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45EF2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vAlign w:val="center"/>
          </w:tcPr>
          <w:p w14:paraId="6A62449F">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7</w:t>
            </w:r>
          </w:p>
        </w:tc>
        <w:tc>
          <w:tcPr>
            <w:tcW w:w="3053" w:type="pct"/>
            <w:vAlign w:val="center"/>
          </w:tcPr>
          <w:p w14:paraId="56EF7934">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土壤和地下水污染防治应坚持源头控制、分区防控、跟踪监测和应急响应的防控原则。对涉及有毒有害物质的生产装置、设备设施及场所，需提出防腐蚀、防渗漏、防扬散等土壤污染防治具体措施，并根据环境保护目标的敏感程度、项目平面布局、水文地质条件等采取防渗措施，提出有效的土壤、地下水监控和应急方案，符合《石油化工工程防渗技术规范》（GB/T50934）等相关要求。对于可能受影响的地下水环境敏感目标，应提出保护措施，涉及饮用水功能的，强化地下水环境保护措施，确保饮用水安全。可能造成地下水污染的建设项目不得位于泉域保护范围以及岩溶强发育、存在较多落水洞和岩溶漏斗的区域。</w:t>
            </w:r>
          </w:p>
        </w:tc>
        <w:tc>
          <w:tcPr>
            <w:tcW w:w="1446" w:type="pct"/>
            <w:vAlign w:val="center"/>
          </w:tcPr>
          <w:p w14:paraId="3C0999E1">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项目土壤和地下水污染防治坚持源头控制、分区防控、跟踪监测和应急响应的防控原则。项目根据《石油化工工程防渗技术规范》（GB/T50934）要求对厂区进行分区防渗，对涉及有毒有害物质的生产装置、设备设施及场所，采取防渗措施，提出土壤地下水监控和应急方案。本项目不涉及地下水环境敏感目标，不涉及泉域保护范围以及岩溶强发育、存在较多落水洞和岩溶漏斗的区域</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55" w:type="pct"/>
            <w:vAlign w:val="center"/>
          </w:tcPr>
          <w:p w14:paraId="57612C58">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273C5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vAlign w:val="center"/>
          </w:tcPr>
          <w:p w14:paraId="0230F4AA">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8</w:t>
            </w:r>
          </w:p>
        </w:tc>
        <w:tc>
          <w:tcPr>
            <w:tcW w:w="3053" w:type="pct"/>
            <w:vAlign w:val="center"/>
          </w:tcPr>
          <w:p w14:paraId="2B26BC1B">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按照减量化、资源化、无害化的原则，妥善处理处置固体废物。一般工业固体废物应通过项目自身或委托其他企业综合利用，无法综合利用的就近妥善处置，需要在厂内贮存的应按规定建设贮存设施、场所。大型炼化一体化等产生危险废物量较大的石化项目宜立足于自身或依托园区危险废物集中设施处置。危险废物和一般工业固体废物贮存和处置应符合《危险废物贮存污染控制标准》（GB18597）及其修改单、《危险废物填埋污染控制标准》（GB18598）、《一般工业固体废物贮存和填埋污染控制标准》（GB18599）、《危险废物焚烧污染控制标准》（GB18484）等相关要求。</w:t>
            </w:r>
          </w:p>
        </w:tc>
        <w:tc>
          <w:tcPr>
            <w:tcW w:w="1446" w:type="pct"/>
            <w:vAlign w:val="center"/>
          </w:tcPr>
          <w:p w14:paraId="080B20F2">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w:t>
            </w:r>
            <w:r>
              <w:rPr>
                <w:color w:val="0D0D0D" w:themeColor="text1" w:themeTint="F2"/>
                <w:sz w:val="21"/>
                <w:szCs w:val="21"/>
                <w:u w:val="single"/>
                <w14:textFill>
                  <w14:solidFill>
                    <w14:schemeClr w14:val="tx1">
                      <w14:lumMod w14:val="95000"/>
                      <w14:lumOff w14:val="5000"/>
                    </w14:schemeClr>
                  </w14:solidFill>
                </w14:textFill>
              </w:rPr>
              <w:t>按照减量化、资源化、无害化的原则，妥善处理处置固体废物。</w:t>
            </w:r>
            <w:r>
              <w:rPr>
                <w:rFonts w:hint="eastAsia"/>
                <w:color w:val="0D0D0D" w:themeColor="text1" w:themeTint="F2"/>
                <w:sz w:val="21"/>
                <w:szCs w:val="21"/>
                <w:u w:val="single"/>
                <w14:textFill>
                  <w14:solidFill>
                    <w14:schemeClr w14:val="tx1">
                      <w14:lumMod w14:val="95000"/>
                      <w14:lumOff w14:val="5000"/>
                    </w14:schemeClr>
                  </w14:solidFill>
                </w14:textFill>
              </w:rPr>
              <w:t>危险废物交由有资质的单位清运处置，一般工业固废和生活垃圾按相关环保要求处置。各类固废的处置去向明确。</w:t>
            </w:r>
          </w:p>
        </w:tc>
        <w:tc>
          <w:tcPr>
            <w:tcW w:w="255" w:type="pct"/>
            <w:vAlign w:val="center"/>
          </w:tcPr>
          <w:p w14:paraId="2DFB92D2">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176E0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vAlign w:val="center"/>
          </w:tcPr>
          <w:p w14:paraId="4FF8030F">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9</w:t>
            </w:r>
          </w:p>
        </w:tc>
        <w:tc>
          <w:tcPr>
            <w:tcW w:w="3053" w:type="pct"/>
            <w:vAlign w:val="center"/>
          </w:tcPr>
          <w:p w14:paraId="789A342E">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优化厂区平面布置，优先选用低噪声设备和工艺，采取减振、隔声、消声等措施有效控制噪声污染，厂界噪声满足《工业企业厂界环境噪声排放标准》</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GB12348</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要求。位于噪声敏感建筑物集中区域的改建、扩建项目，应强化噪声污染防治措施，防止噪声污染。</w:t>
            </w:r>
          </w:p>
        </w:tc>
        <w:tc>
          <w:tcPr>
            <w:tcW w:w="1446" w:type="pct"/>
            <w:vAlign w:val="center"/>
          </w:tcPr>
          <w:p w14:paraId="4ED0D1D4">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项目采取减振、隔声、消声等措施有效控制噪声污染，厂界噪声满足《工业企业厂界环境噪声排放标准》</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GB12348</w:t>
            </w:r>
            <w:r>
              <w:rPr>
                <w:rFonts w:hint="eastAsia"/>
                <w:color w:val="0D0D0D" w:themeColor="text1" w:themeTint="F2"/>
                <w:sz w:val="21"/>
                <w:szCs w:val="21"/>
                <w:u w:val="single"/>
                <w14:textFill>
                  <w14:solidFill>
                    <w14:schemeClr w14:val="tx1">
                      <w14:lumMod w14:val="95000"/>
                      <w14:lumOff w14:val="5000"/>
                    </w14:schemeClr>
                  </w14:solidFill>
                </w14:textFill>
              </w:rPr>
              <w:t>）3类</w:t>
            </w:r>
            <w:r>
              <w:rPr>
                <w:color w:val="0D0D0D" w:themeColor="text1" w:themeTint="F2"/>
                <w:sz w:val="21"/>
                <w:szCs w:val="21"/>
                <w:u w:val="single"/>
                <w14:textFill>
                  <w14:solidFill>
                    <w14:schemeClr w14:val="tx1">
                      <w14:lumMod w14:val="95000"/>
                      <w14:lumOff w14:val="5000"/>
                    </w14:schemeClr>
                  </w14:solidFill>
                </w14:textFill>
              </w:rPr>
              <w:t>要求</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55" w:type="pct"/>
            <w:vAlign w:val="center"/>
          </w:tcPr>
          <w:p w14:paraId="3C0E9B71">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0883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vAlign w:val="center"/>
          </w:tcPr>
          <w:p w14:paraId="731C1414">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10</w:t>
            </w:r>
          </w:p>
        </w:tc>
        <w:tc>
          <w:tcPr>
            <w:tcW w:w="3053" w:type="pct"/>
            <w:vAlign w:val="center"/>
          </w:tcPr>
          <w:p w14:paraId="173B390E">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严密防控项目环境风险，建立完善的环境风险防控体系，提升环境风险防控能力。环境风险防范和应急措施合理、有效。确保具备事故废水有效收集和妥善处理的能力。针对项目可能产生的突发环境事件制定有效的风险防范和应急措施，建立项目及区域、园区环境风险防范与应急管理体系，提出运行期突发环境事件应急预案编制要求。</w:t>
            </w:r>
          </w:p>
        </w:tc>
        <w:tc>
          <w:tcPr>
            <w:tcW w:w="1446" w:type="pct"/>
            <w:vAlign w:val="center"/>
          </w:tcPr>
          <w:p w14:paraId="5608963E">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项目针对可能产生的突发环境事件制定有效的风险防范和应急措施，建立项目及区域、园区环境风险防范与应急管理体系。企业将落实环境风险防范措施，尽可能避免环境风险事故发生，提高应急处置能力。项目建成后，将根据《企业事业单位突发环境事件应急预案备案管理办法（试行）》要求制定环境风险应急预案，并备案</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55" w:type="pct"/>
            <w:vAlign w:val="center"/>
          </w:tcPr>
          <w:p w14:paraId="22789F4B">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4D84A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vAlign w:val="center"/>
          </w:tcPr>
          <w:p w14:paraId="4186BB60">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11</w:t>
            </w:r>
          </w:p>
        </w:tc>
        <w:tc>
          <w:tcPr>
            <w:tcW w:w="3053" w:type="pct"/>
            <w:vAlign w:val="center"/>
          </w:tcPr>
          <w:p w14:paraId="68CF371A">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改、扩建项目全面梳理涉及的现有工程存在的环保问题或减排潜力，应提出有效整改或改进措施。</w:t>
            </w:r>
          </w:p>
        </w:tc>
        <w:tc>
          <w:tcPr>
            <w:tcW w:w="1446" w:type="pct"/>
            <w:vAlign w:val="center"/>
          </w:tcPr>
          <w:p w14:paraId="7081C97E">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项目</w:t>
            </w:r>
            <w:r>
              <w:rPr>
                <w:rFonts w:hint="eastAsia"/>
                <w:color w:val="0D0D0D" w:themeColor="text1" w:themeTint="F2"/>
                <w:sz w:val="21"/>
                <w:szCs w:val="21"/>
                <w:u w:val="single"/>
                <w14:textFill>
                  <w14:solidFill>
                    <w14:schemeClr w14:val="tx1">
                      <w14:lumMod w14:val="95000"/>
                      <w14:lumOff w14:val="5000"/>
                    </w14:schemeClr>
                  </w14:solidFill>
                </w14:textFill>
              </w:rPr>
              <w:t>为新建项目</w:t>
            </w:r>
            <w:r>
              <w:rPr>
                <w:color w:val="0D0D0D" w:themeColor="text1" w:themeTint="F2"/>
                <w:sz w:val="21"/>
                <w:szCs w:val="21"/>
                <w:u w:val="single"/>
                <w14:textFill>
                  <w14:solidFill>
                    <w14:schemeClr w14:val="tx1">
                      <w14:lumMod w14:val="95000"/>
                      <w14:lumOff w14:val="5000"/>
                    </w14:schemeClr>
                  </w14:solidFill>
                </w14:textFill>
              </w:rPr>
              <w:t>。</w:t>
            </w:r>
          </w:p>
        </w:tc>
        <w:tc>
          <w:tcPr>
            <w:tcW w:w="255" w:type="pct"/>
            <w:vAlign w:val="center"/>
          </w:tcPr>
          <w:p w14:paraId="3E1BD9F0">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r>
      <w:tr w14:paraId="2EABC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vAlign w:val="center"/>
          </w:tcPr>
          <w:p w14:paraId="75F0600E">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12</w:t>
            </w:r>
          </w:p>
        </w:tc>
        <w:tc>
          <w:tcPr>
            <w:tcW w:w="3053" w:type="pct"/>
            <w:vAlign w:val="center"/>
          </w:tcPr>
          <w:p w14:paraId="21A1F518">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新增主要污染物排放量的建设项目应执行《关于加强重点行业建设项目区域削减措施监督管理的通知》（环办环评〔2020〕36号）。项目所在区域、流域控制单元环境质量达到国家或者地方环境质量标准的因子，原则上其对应的国家实施排放总量管控的重点污染物实行区域等量削减。项目所在区域、流域控制单元环境质量未达到国家或者地方环境质量标准的因子，其对应的主要污染物须进行区域倍量削减。二氧化氮超标的，对应削减氮氧化物；细颗粒物超标的，对应削减二氧化硫、氮氧化物、颗粒物和挥发性有机物；臭氧超标的，对应削减氮氧化物、挥发性有机物。区域削减措施原则上应与建设项目位于同一地级市或市级行政区域内同一流域。地级市行政区域内削减量不足时，可来源于省级行政区域或省级行政区域内的同一流域。配套区域削减措施应为评价基准年后拟采取的措施，且纳入区域重点减排工程的措施不能作为区域削减措施。</w:t>
            </w:r>
          </w:p>
        </w:tc>
        <w:tc>
          <w:tcPr>
            <w:tcW w:w="1446" w:type="pct"/>
            <w:vAlign w:val="center"/>
          </w:tcPr>
          <w:p w14:paraId="5D4464DF">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项目位于环境空气质量达标区，主要污染物均可达标排放，并落实了总量控制制度。</w:t>
            </w:r>
          </w:p>
        </w:tc>
        <w:tc>
          <w:tcPr>
            <w:tcW w:w="255" w:type="pct"/>
            <w:vAlign w:val="center"/>
          </w:tcPr>
          <w:p w14:paraId="23DE9FF9">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0C43E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vAlign w:val="center"/>
          </w:tcPr>
          <w:p w14:paraId="18273832">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13</w:t>
            </w:r>
          </w:p>
        </w:tc>
        <w:tc>
          <w:tcPr>
            <w:tcW w:w="3053" w:type="pct"/>
            <w:vAlign w:val="center"/>
          </w:tcPr>
          <w:p w14:paraId="33A3A597">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明确项目实施后的环境管理要求和环境监测计划。根据行业自行监测技术指南要求，制定废水、废气污染物排放及厂界环境噪声监测计划并开展监测，排污口或监测位置应符合技术规范要求。重点排污单位污染物排放自动监测设备应依法依规与生态环境主管部门的监控设备联网。涉及水、大气有毒有害污染物名录中污染物排放的，还应依法依规制定周边环境监测计划。</w:t>
            </w:r>
          </w:p>
        </w:tc>
        <w:tc>
          <w:tcPr>
            <w:tcW w:w="1446" w:type="pct"/>
            <w:vAlign w:val="center"/>
          </w:tcPr>
          <w:p w14:paraId="28145A03">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w:t>
            </w:r>
            <w:r>
              <w:rPr>
                <w:color w:val="0D0D0D" w:themeColor="text1" w:themeTint="F2"/>
                <w:sz w:val="21"/>
                <w:szCs w:val="21"/>
                <w:u w:val="single"/>
                <w14:textFill>
                  <w14:solidFill>
                    <w14:schemeClr w14:val="tx1">
                      <w14:lumMod w14:val="95000"/>
                      <w14:lumOff w14:val="5000"/>
                    </w14:schemeClr>
                  </w14:solidFill>
                </w14:textFill>
              </w:rPr>
              <w:t>根据行业自行监测技术指南要求，制定废水、废气污染物排放及厂界环境噪声监测计划并开展监测，排污口或监测位置符合技术规范要求。自动监测设备应依法依规与生态环境主管部门的监控设备联网。项目不涉及水、大气有毒有害污染物名录污染物排放</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55" w:type="pct"/>
            <w:vAlign w:val="center"/>
          </w:tcPr>
          <w:p w14:paraId="2FCDFBDC">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03CF7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vAlign w:val="center"/>
          </w:tcPr>
          <w:p w14:paraId="53921666">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14</w:t>
            </w:r>
          </w:p>
        </w:tc>
        <w:tc>
          <w:tcPr>
            <w:tcW w:w="3053" w:type="pct"/>
            <w:vAlign w:val="center"/>
          </w:tcPr>
          <w:p w14:paraId="26721A9A">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按相关规定开展信息公开和公众参与</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1446" w:type="pct"/>
            <w:vAlign w:val="center"/>
          </w:tcPr>
          <w:p w14:paraId="02734DBB">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项目按相关规定开展信息公开和公众参与。</w:t>
            </w:r>
          </w:p>
        </w:tc>
        <w:tc>
          <w:tcPr>
            <w:tcW w:w="255" w:type="pct"/>
            <w:vAlign w:val="center"/>
          </w:tcPr>
          <w:p w14:paraId="1C79B2DD">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r w14:paraId="1795A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vAlign w:val="center"/>
          </w:tcPr>
          <w:p w14:paraId="68887D2C">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15</w:t>
            </w:r>
          </w:p>
        </w:tc>
        <w:tc>
          <w:tcPr>
            <w:tcW w:w="3053" w:type="pct"/>
            <w:vAlign w:val="center"/>
          </w:tcPr>
          <w:p w14:paraId="5736F798">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环境影响评价文件编制规范，基础资料数据应符合实际情况，内容完整、准确，环境影响评价结论明确、合理，符合环境影响评价技术导则或建设项目环境影响报告表编制技术指南要求</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1446" w:type="pct"/>
            <w:vAlign w:val="center"/>
          </w:tcPr>
          <w:p w14:paraId="72C570A9">
            <w:pPr>
              <w:pStyle w:val="4"/>
              <w:spacing w:after="0" w:line="240" w:lineRule="auto"/>
              <w:ind w:left="0" w:leftChars="0" w:firstLine="0" w:firstLineChars="0"/>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项目环境影响评价文件的编制按照相关导则开展，符合导则要求</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255" w:type="pct"/>
            <w:vAlign w:val="center"/>
          </w:tcPr>
          <w:p w14:paraId="1B7FF98F">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符合</w:t>
            </w:r>
          </w:p>
        </w:tc>
      </w:tr>
    </w:tbl>
    <w:p w14:paraId="07318C60">
      <w:pPr>
        <w:pStyle w:val="10"/>
      </w:pPr>
      <w:r>
        <w:rPr>
          <w:rFonts w:hint="eastAsia"/>
        </w:rPr>
        <w:t>《挥发性有机物无组织排放控制标准》（GB37822-2019）相符性分析</w:t>
      </w:r>
    </w:p>
    <w:p w14:paraId="26246DC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项目与《挥发性有机物无组织排放控制标准》（GB37822-2019）相符性分析详见表2.7-7。</w:t>
      </w:r>
    </w:p>
    <w:p w14:paraId="5D674803">
      <w:pPr>
        <w:pStyle w:val="11"/>
      </w:pPr>
      <w:r>
        <w:rPr>
          <w:rFonts w:hint="eastAsia"/>
        </w:rPr>
        <w:t xml:space="preserve"> 《挥发性有机物无组织排放控制标准》相符性分析一览表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1147"/>
        <w:gridCol w:w="3650"/>
        <w:gridCol w:w="3519"/>
        <w:gridCol w:w="476"/>
      </w:tblGrid>
      <w:tr w14:paraId="4866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0" w:type="auto"/>
            <w:vAlign w:val="center"/>
          </w:tcPr>
          <w:p w14:paraId="65249850">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序号</w:t>
            </w:r>
          </w:p>
        </w:tc>
        <w:tc>
          <w:tcPr>
            <w:tcW w:w="0" w:type="auto"/>
            <w:gridSpan w:val="2"/>
            <w:vAlign w:val="center"/>
          </w:tcPr>
          <w:p w14:paraId="47F421DC">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控制要求</w:t>
            </w:r>
          </w:p>
        </w:tc>
        <w:tc>
          <w:tcPr>
            <w:tcW w:w="0" w:type="auto"/>
            <w:vAlign w:val="center"/>
          </w:tcPr>
          <w:p w14:paraId="7BC3C4DE">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项目</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情况</w:t>
            </w:r>
          </w:p>
        </w:tc>
        <w:tc>
          <w:tcPr>
            <w:tcW w:w="0" w:type="auto"/>
            <w:vAlign w:val="center"/>
          </w:tcPr>
          <w:p w14:paraId="20647196">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相符性</w:t>
            </w:r>
          </w:p>
        </w:tc>
      </w:tr>
      <w:tr w14:paraId="238A6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14:paraId="15EE0263">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1</w:t>
            </w:r>
          </w:p>
        </w:tc>
        <w:tc>
          <w:tcPr>
            <w:tcW w:w="0" w:type="auto"/>
            <w:vAlign w:val="center"/>
          </w:tcPr>
          <w:p w14:paraId="66DE57F8">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VOCs物料储存无组织排放控制要求</w:t>
            </w:r>
          </w:p>
        </w:tc>
        <w:tc>
          <w:tcPr>
            <w:tcW w:w="0" w:type="auto"/>
            <w:vAlign w:val="center"/>
          </w:tcPr>
          <w:p w14:paraId="7AE1B449">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（1）</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VOCs物料应储存于密闭的容器、包装袋、储罐、储库、料仓中。</w:t>
            </w:r>
          </w:p>
          <w:p w14:paraId="3FCE43A3">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（2）</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VOCs物料储罐应密封良好，其中挥发性有机液体储罐应符合5.2条挥发性有机液体储罐规定。</w:t>
            </w:r>
          </w:p>
        </w:tc>
        <w:tc>
          <w:tcPr>
            <w:tcW w:w="0" w:type="auto"/>
            <w:vAlign w:val="center"/>
          </w:tcPr>
          <w:p w14:paraId="6705AC70">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（1）</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项目</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甲醇、生物柴油、精甘油</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等</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含</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VOCs物料</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均</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储存于密闭的</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储罐</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中。</w:t>
            </w:r>
          </w:p>
          <w:p w14:paraId="5FB537ED">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（2）</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项目</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甲醇、生物柴油、甘油</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等</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含</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VOCs物料储罐密封良好，</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设置气相平衡系统，储罐大小呼吸废气经RCO催化燃烧装置处理后，通过30m高排气筒（DA001）排放，</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符合5.2条挥发性有机液体储罐规定。</w:t>
            </w:r>
          </w:p>
        </w:tc>
        <w:tc>
          <w:tcPr>
            <w:tcW w:w="0" w:type="auto"/>
            <w:vAlign w:val="center"/>
          </w:tcPr>
          <w:p w14:paraId="462F66E0">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相符</w:t>
            </w:r>
          </w:p>
        </w:tc>
      </w:tr>
      <w:tr w14:paraId="22391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14:paraId="0FE380FA">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2</w:t>
            </w:r>
          </w:p>
        </w:tc>
        <w:tc>
          <w:tcPr>
            <w:tcW w:w="0" w:type="auto"/>
            <w:vAlign w:val="center"/>
          </w:tcPr>
          <w:p w14:paraId="25D7BE01">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VOCs物料转移和输送无组织排放控制要求</w:t>
            </w:r>
          </w:p>
        </w:tc>
        <w:tc>
          <w:tcPr>
            <w:tcW w:w="0" w:type="auto"/>
            <w:vAlign w:val="center"/>
          </w:tcPr>
          <w:p w14:paraId="60A0F544">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（1）</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液态VOCs物料应采用密闭管道输送。采用非管道输送方式转移液态VOCs物料时，应采用密闭容器、罐车。</w:t>
            </w:r>
          </w:p>
          <w:p w14:paraId="19EE27CB">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（2）</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粉状、粒状VOCs物料应采用气力输送设备、管状带式输送机、螺旋输送机等密闭输送方式，或者采用密闭的包装袋、容器或罐车进行物料转移。</w:t>
            </w:r>
          </w:p>
          <w:p w14:paraId="60795469">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（3）</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对挥发性有机液体进行装载时，应符合6.2条规定。</w:t>
            </w:r>
          </w:p>
        </w:tc>
        <w:tc>
          <w:tcPr>
            <w:tcW w:w="0" w:type="auto"/>
            <w:vAlign w:val="center"/>
          </w:tcPr>
          <w:p w14:paraId="29A82CCB">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（1）</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项目</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甲醇、生物柴油及甘油等</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涉及VOCs物料</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均</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采用密闭管道输送。</w:t>
            </w:r>
          </w:p>
          <w:p w14:paraId="33CB29C2">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（2）</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项目不涉及粉状、粒状VOCs物料。</w:t>
            </w:r>
          </w:p>
          <w:p w14:paraId="140DD24B">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（3）</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项目对挥发性有机液体进行装载时，</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汽车运输采用底部装载或顶部浸没式装载方式，设置气相平衡系统，</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符合6.2条规定。</w:t>
            </w:r>
          </w:p>
        </w:tc>
        <w:tc>
          <w:tcPr>
            <w:tcW w:w="0" w:type="auto"/>
            <w:vAlign w:val="center"/>
          </w:tcPr>
          <w:p w14:paraId="7149406A">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相符</w:t>
            </w:r>
          </w:p>
        </w:tc>
      </w:tr>
      <w:tr w14:paraId="5B45E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restart"/>
            <w:vAlign w:val="center"/>
          </w:tcPr>
          <w:p w14:paraId="029CACF9">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3</w:t>
            </w:r>
          </w:p>
        </w:tc>
        <w:tc>
          <w:tcPr>
            <w:tcW w:w="0" w:type="auto"/>
            <w:vMerge w:val="restart"/>
            <w:vAlign w:val="center"/>
          </w:tcPr>
          <w:p w14:paraId="4FA4785D">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工艺过程VOCs无组织排放控制要求</w:t>
            </w:r>
          </w:p>
        </w:tc>
        <w:tc>
          <w:tcPr>
            <w:tcW w:w="0" w:type="auto"/>
            <w:vAlign w:val="center"/>
          </w:tcPr>
          <w:p w14:paraId="73AA728F">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7.1.2</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化学反应</w:t>
            </w:r>
          </w:p>
          <w:p w14:paraId="6CF9C292">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（1）反应设备进料置换废气、挥发排气、反应尾气等应排至V</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OCs</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废气收集处理系统。</w:t>
            </w:r>
          </w:p>
          <w:p w14:paraId="44AA4729">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（2）在反应期间，反应设备的进料口、出料口、检修口、搅拌口、观察孔等开口（孔）在不操作时应保持密闭。</w:t>
            </w:r>
          </w:p>
        </w:tc>
        <w:tc>
          <w:tcPr>
            <w:tcW w:w="0" w:type="auto"/>
            <w:vAlign w:val="center"/>
          </w:tcPr>
          <w:p w14:paraId="5378CDEE">
            <w:pPr>
              <w:tabs>
                <w:tab w:val="left" w:pos="0"/>
                <w:tab w:val="left" w:pos="1820"/>
              </w:tabs>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项目涉及VOCs质量占比大于等于10%的含VOCs产品有</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甲醇</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等，使用过程</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均在</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密闭的</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反应釜内反应</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w:t>
            </w:r>
            <w:r>
              <w:rPr>
                <w:rFonts w:hint="eastAsia"/>
                <w:color w:val="0D0D0D" w:themeColor="text1" w:themeTint="F2"/>
                <w:sz w:val="21"/>
                <w:szCs w:val="21"/>
                <w:u w:val="single"/>
                <w14:textFill>
                  <w14:solidFill>
                    <w14:schemeClr w14:val="tx1">
                      <w14:lumMod w14:val="95000"/>
                      <w14:lumOff w14:val="5000"/>
                    </w14:schemeClr>
                  </w14:solidFill>
                </w14:textFill>
              </w:rPr>
              <w:t>生产线工艺废气和储罐大小呼吸废气经RCO催化燃烧装置处理后，通过30m高排气筒（DA001）排放</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p>
        </w:tc>
        <w:tc>
          <w:tcPr>
            <w:tcW w:w="0" w:type="auto"/>
            <w:vAlign w:val="center"/>
          </w:tcPr>
          <w:p w14:paraId="5C80FBBA">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相符</w:t>
            </w:r>
          </w:p>
        </w:tc>
      </w:tr>
      <w:tr w14:paraId="04F8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14:paraId="23C997A1">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0" w:type="auto"/>
            <w:vMerge w:val="continue"/>
            <w:vAlign w:val="center"/>
          </w:tcPr>
          <w:p w14:paraId="07CAC1DA">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0" w:type="auto"/>
            <w:vAlign w:val="center"/>
          </w:tcPr>
          <w:p w14:paraId="087B6AD1">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7</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.1.3</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分离精制</w:t>
            </w:r>
          </w:p>
          <w:p w14:paraId="01BD8442">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（1）离心、过滤单元操作应采用密闭式离心机、压滤机等设备，离心、过滤废气应排至V</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OCs</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废气收集处理系统。未采用密闭设备的，应在密闭空间内操作，或进行局部气体收集，废气应排至V</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OCs</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废气收集处理系统。</w:t>
            </w:r>
          </w:p>
          <w:p w14:paraId="5E879185">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（2）干燥单元操作应采用密闭干燥设备，干燥废气应排至</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VOCs废气收集处理系统。未采用密闭设备的，应在密闭空间内操作，或进行局部气体收集，废气应排至VCCs废气收集处理系统。</w:t>
            </w:r>
          </w:p>
          <w:p w14:paraId="11E68858">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（3）</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吸收、洗涤、蒸馏/精馏、萃取、结品等单元操作排放的废气，冷凝单元操作排放</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的不凝尾气，吸附单元操作的脱附尾气等应排至</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VOCs废气收集处理系统。</w:t>
            </w:r>
          </w:p>
          <w:p w14:paraId="54094719">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（4）分离精制后的</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VOCs母液应密闭收集，母液储槽（罐）产生的废气应排至VOCs废气收集处理系统。</w:t>
            </w:r>
          </w:p>
        </w:tc>
        <w:tc>
          <w:tcPr>
            <w:tcW w:w="0" w:type="auto"/>
            <w:vAlign w:val="center"/>
          </w:tcPr>
          <w:p w14:paraId="02F96D97">
            <w:pPr>
              <w:tabs>
                <w:tab w:val="left" w:pos="0"/>
                <w:tab w:val="left" w:pos="1820"/>
              </w:tabs>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项目酯化油专用离心机为密闭式，离心分离、干燥、蒸馏等工序产生的甲醇、轻组分脂肪酸甲酯等经冷凝器冷凝，</w:t>
            </w:r>
            <w:r>
              <w:rPr>
                <w:rFonts w:hint="eastAsia"/>
                <w:color w:val="0D0D0D" w:themeColor="text1" w:themeTint="F2"/>
                <w:sz w:val="21"/>
                <w:szCs w:val="21"/>
                <w:u w:val="single"/>
                <w14:textFill>
                  <w14:solidFill>
                    <w14:schemeClr w14:val="tx1">
                      <w14:lumMod w14:val="95000"/>
                      <w14:lumOff w14:val="5000"/>
                    </w14:schemeClr>
                  </w14:solidFill>
                </w14:textFill>
              </w:rPr>
              <w:t>生产线工艺废气和储罐大小呼吸废气经RCO催化燃烧装置处理后，通过30m高排气筒（DA001）排放</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p>
        </w:tc>
        <w:tc>
          <w:tcPr>
            <w:tcW w:w="0" w:type="auto"/>
            <w:vAlign w:val="center"/>
          </w:tcPr>
          <w:p w14:paraId="35EDF5B9">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相符</w:t>
            </w:r>
          </w:p>
        </w:tc>
      </w:tr>
      <w:tr w14:paraId="23AF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14:paraId="5015105E">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4</w:t>
            </w:r>
          </w:p>
        </w:tc>
        <w:tc>
          <w:tcPr>
            <w:tcW w:w="0" w:type="auto"/>
            <w:vAlign w:val="center"/>
          </w:tcPr>
          <w:p w14:paraId="5321D544">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VOCs无组织排放废气收集处理系统要求</w:t>
            </w:r>
          </w:p>
        </w:tc>
        <w:tc>
          <w:tcPr>
            <w:tcW w:w="0" w:type="auto"/>
            <w:vAlign w:val="center"/>
          </w:tcPr>
          <w:p w14:paraId="53FF79DA">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0" w:type="auto"/>
            <w:vAlign w:val="center"/>
          </w:tcPr>
          <w:p w14:paraId="0AF28C78">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项目VOCs废气收集处理系统与生产工艺设备同步运行。VOCs废气收集处理系统发生故障或检修时，对应的生产工艺设备应停止运行，待检修完毕后同步投入使用。</w:t>
            </w:r>
          </w:p>
        </w:tc>
        <w:tc>
          <w:tcPr>
            <w:tcW w:w="0" w:type="auto"/>
            <w:vAlign w:val="center"/>
          </w:tcPr>
          <w:p w14:paraId="16039D21">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相符</w:t>
            </w:r>
          </w:p>
        </w:tc>
      </w:tr>
    </w:tbl>
    <w:p w14:paraId="3EAC4613">
      <w:pPr>
        <w:pStyle w:val="10"/>
      </w:pPr>
      <w:r>
        <w:rPr>
          <w:rFonts w:hint="eastAsia"/>
        </w:rPr>
        <w:t>《钦州石化产业园禁限控目录（2024版）》相符性分析</w:t>
      </w:r>
    </w:p>
    <w:p w14:paraId="0B4186C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项目外购符合《生物柴油（BD100）原料  废弃油脂》（NB/T13007-2021）的废弃动植物油脂（不包含废弃工业油脂）为原料进行深加工，不涉及废弃油脂的酸化脱乳等预处理工艺。生物柴油生产线以废弃动植物油脂为原料，甲醇为辅料，生物酶（脂肪酶）为催化剂，采用生物酶法工艺，主要经过酯化、分离、蒸馏、精制提纯等工序，年产30万吨生物柴油（主产品）、1.5万吨精甘油（副产品）和1.2万吨重质脂肪酸（副产品）；工业级混合油生产线以废弃动植物油脂为原料，白土和精甘油为辅料，主要经过水洗、脱水、脱色、过滤、酯化、蒸馏脱酸等工序，年产10万吨工业级混合油（主产品）。项目所使用的原料不在《中国（广西）自由贸易试验区钦州港片区管理委员会办公室关于印发&lt;钦州石化产业园禁限控目录（2024版）&gt;的通知》（自贸钦管办发〔2024〕23号）中的化学品禁止类和限制（控制）类物质名录内，符合《钦州石化产业园禁限控目录（2024版）》要求。</w:t>
      </w:r>
    </w:p>
    <w:p w14:paraId="0935C25A">
      <w:pPr>
        <w:pStyle w:val="9"/>
      </w:pPr>
      <w:bookmarkStart w:id="75" w:name="_Toc204062557"/>
      <w:r>
        <w:rPr>
          <w:rFonts w:hint="eastAsia"/>
        </w:rPr>
        <w:t>“三线一单”相符性分析</w:t>
      </w:r>
      <w:bookmarkEnd w:id="75"/>
    </w:p>
    <w:p w14:paraId="12CB404F">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（1）生态保护红线</w:t>
      </w:r>
    </w:p>
    <w:p w14:paraId="1A6ED9C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广西“生态云”平台建设项目智能研判报告，项目厂区和生物柴油及工业级混合油管道共涉及2个环境管控单元，其中优先保护类0个，重点管控类2个，一般管控类0个，涉及的管控单元为广西钦州石化产业园重点管控单元（</w:t>
      </w:r>
      <w:r>
        <w:rPr>
          <w:color w:val="0D0D0D" w:themeColor="text1" w:themeTint="F2"/>
          <w14:textFill>
            <w14:solidFill>
              <w14:schemeClr w14:val="tx1">
                <w14:lumMod w14:val="95000"/>
                <w14:lumOff w14:val="5000"/>
              </w14:schemeClr>
            </w14:solidFill>
          </w14:textFill>
        </w:rPr>
        <w:t>ZH45070220003</w:t>
      </w:r>
      <w:r>
        <w:rPr>
          <w:rFonts w:hint="eastAsia"/>
          <w:color w:val="0D0D0D" w:themeColor="text1" w:themeTint="F2"/>
          <w14:textFill>
            <w14:solidFill>
              <w14:schemeClr w14:val="tx1">
                <w14:lumMod w14:val="95000"/>
                <w14:lumOff w14:val="5000"/>
              </w14:schemeClr>
            </w14:solidFill>
          </w14:textFill>
        </w:rPr>
        <w:t>）和钦州港经济技术开发区重点管控单元（</w:t>
      </w:r>
      <w:r>
        <w:rPr>
          <w:color w:val="0D0D0D" w:themeColor="text1" w:themeTint="F2"/>
          <w14:textFill>
            <w14:solidFill>
              <w14:schemeClr w14:val="tx1">
                <w14:lumMod w14:val="95000"/>
                <w14:lumOff w14:val="5000"/>
              </w14:schemeClr>
            </w14:solidFill>
          </w14:textFill>
        </w:rPr>
        <w:t>ZH45070220005</w:t>
      </w:r>
      <w:r>
        <w:rPr>
          <w:rFonts w:hint="eastAsia"/>
          <w:color w:val="0D0D0D" w:themeColor="text1" w:themeTint="F2"/>
          <w14:textFill>
            <w14:solidFill>
              <w14:schemeClr w14:val="tx1">
                <w14:lumMod w14:val="95000"/>
                <w14:lumOff w14:val="5000"/>
              </w14:schemeClr>
            </w14:solidFill>
          </w14:textFill>
        </w:rPr>
        <w:t>），不涉及生态保护红线。</w:t>
      </w:r>
    </w:p>
    <w:p w14:paraId="5314E965">
      <w:pPr>
        <w:autoSpaceDE w:val="0"/>
        <w:autoSpaceDN w:val="0"/>
        <w:adjustRightInd w:val="0"/>
        <w:snapToGrid w:val="0"/>
        <w:ind w:firstLine="482" w:firstLineChars="200"/>
        <w:rPr>
          <w:rFonts w:cs="宋体"/>
          <w:b/>
          <w:bCs/>
          <w:color w:val="0D0D0D" w:themeColor="text1" w:themeTint="F2"/>
          <w:kern w:val="0"/>
          <w14:textFill>
            <w14:solidFill>
              <w14:schemeClr w14:val="tx1">
                <w14:lumMod w14:val="95000"/>
                <w14:lumOff w14:val="5000"/>
              </w14:schemeClr>
            </w14:solidFill>
          </w14:textFill>
        </w:rPr>
      </w:pPr>
      <w:r>
        <w:rPr>
          <w:rFonts w:hint="eastAsia" w:cs="宋体"/>
          <w:b/>
          <w:bCs/>
          <w:color w:val="0D0D0D" w:themeColor="text1" w:themeTint="F2"/>
          <w:kern w:val="0"/>
          <w14:textFill>
            <w14:solidFill>
              <w14:schemeClr w14:val="tx1">
                <w14:lumMod w14:val="95000"/>
                <w14:lumOff w14:val="5000"/>
              </w14:schemeClr>
            </w14:solidFill>
          </w14:textFill>
        </w:rPr>
        <w:t>（2）环境质量底线</w:t>
      </w:r>
    </w:p>
    <w:p w14:paraId="644A99A9">
      <w:pPr>
        <w:autoSpaceDE w:val="0"/>
        <w:autoSpaceDN w:val="0"/>
        <w:adjustRightInd w:val="0"/>
        <w:snapToGrid w:val="0"/>
        <w:ind w:firstLine="480" w:firstLineChars="200"/>
        <w:rPr>
          <w:snapToGrid w:val="0"/>
          <w:color w:val="0D0D0D" w:themeColor="text1" w:themeTint="F2"/>
          <w:kern w:val="0"/>
          <w14:textFill>
            <w14:solidFill>
              <w14:schemeClr w14:val="tx1">
                <w14:lumMod w14:val="95000"/>
                <w14:lumOff w14:val="5000"/>
              </w14:schemeClr>
            </w14:solidFill>
          </w14:textFill>
        </w:rPr>
      </w:pPr>
      <w:r>
        <w:rPr>
          <w:rFonts w:hint="eastAsia" w:cs="宋体"/>
          <w:color w:val="0D0D0D" w:themeColor="text1" w:themeTint="F2"/>
          <w:kern w:val="0"/>
          <w14:textFill>
            <w14:solidFill>
              <w14:schemeClr w14:val="tx1">
                <w14:lumMod w14:val="95000"/>
                <w14:lumOff w14:val="5000"/>
              </w14:schemeClr>
            </w14:solidFill>
          </w14:textFill>
        </w:rPr>
        <w:t>项目针对大气污染源采取切实可行的污染防治措施，能够做到大气污染物达标排放，因此，不触及大气环境质量底线。</w:t>
      </w:r>
      <w:r>
        <w:rPr>
          <w:rFonts w:hint="eastAsia"/>
          <w:snapToGrid w:val="0"/>
          <w:color w:val="0D0D0D" w:themeColor="text1" w:themeTint="F2"/>
          <w:kern w:val="0"/>
          <w14:textFill>
            <w14:solidFill>
              <w14:schemeClr w14:val="tx1">
                <w14:lumMod w14:val="95000"/>
                <w14:lumOff w14:val="5000"/>
              </w14:schemeClr>
            </w14:solidFill>
          </w14:textFill>
        </w:rPr>
        <w:t>项目实行雨污分流，废水在厂区预处理达标后排入市政污水管网，输送至钦州胜科水务有限公司污水处理厂进一步处理</w:t>
      </w:r>
      <w:r>
        <w:rPr>
          <w:rFonts w:hint="eastAsia" w:cs="宋体"/>
          <w:color w:val="0D0D0D" w:themeColor="text1" w:themeTint="F2"/>
          <w:kern w:val="0"/>
          <w14:textFill>
            <w14:solidFill>
              <w14:schemeClr w14:val="tx1">
                <w14:lumMod w14:val="95000"/>
                <w14:lumOff w14:val="5000"/>
              </w14:schemeClr>
            </w14:solidFill>
          </w14:textFill>
        </w:rPr>
        <w:t>，不触及水环境质量底线。根据《广西壮族自治区生态环境厅 广西壮族自治区自然资源厅关于公布广西壮族自治区建设用地土壤污染风险管控和修复名录（2025年7月1日更新）的通告》（桂环通告〔2025〕6号），项目选址不属于列入建设用地土壤污染风险管控和修复名录的地块。项目采取各项污染防治措施后，能够做到大气污染物达标排放，厂区采取分区防渗措施，对土壤环境质量影响较小，不触及土壤环境风险防控底线。</w:t>
      </w:r>
    </w:p>
    <w:p w14:paraId="1CF5DDA9">
      <w:pPr>
        <w:autoSpaceDE w:val="0"/>
        <w:autoSpaceDN w:val="0"/>
        <w:adjustRightInd w:val="0"/>
        <w:snapToGrid w:val="0"/>
        <w:ind w:firstLine="482" w:firstLineChars="200"/>
        <w:rPr>
          <w:rFonts w:cs="宋体"/>
          <w:b/>
          <w:bCs/>
          <w:color w:val="0D0D0D" w:themeColor="text1" w:themeTint="F2"/>
          <w:kern w:val="0"/>
          <w14:textFill>
            <w14:solidFill>
              <w14:schemeClr w14:val="tx1">
                <w14:lumMod w14:val="95000"/>
                <w14:lumOff w14:val="5000"/>
              </w14:schemeClr>
            </w14:solidFill>
          </w14:textFill>
        </w:rPr>
      </w:pPr>
      <w:r>
        <w:rPr>
          <w:rFonts w:hint="eastAsia" w:cs="宋体"/>
          <w:b/>
          <w:bCs/>
          <w:color w:val="0D0D0D" w:themeColor="text1" w:themeTint="F2"/>
          <w:kern w:val="0"/>
          <w14:textFill>
            <w14:solidFill>
              <w14:schemeClr w14:val="tx1">
                <w14:lumMod w14:val="95000"/>
                <w14:lumOff w14:val="5000"/>
              </w14:schemeClr>
            </w14:solidFill>
          </w14:textFill>
        </w:rPr>
        <w:t>（3）资源利用上线</w:t>
      </w:r>
    </w:p>
    <w:p w14:paraId="1F455A23">
      <w:pPr>
        <w:autoSpaceDE w:val="0"/>
        <w:autoSpaceDN w:val="0"/>
        <w:adjustRightInd w:val="0"/>
        <w:snapToGrid w:val="0"/>
        <w:ind w:firstLine="480" w:firstLineChars="200"/>
        <w:rPr>
          <w:rFonts w:cs="宋体"/>
          <w:color w:val="0D0D0D" w:themeColor="text1" w:themeTint="F2"/>
          <w:kern w:val="0"/>
          <w14:textFill>
            <w14:solidFill>
              <w14:schemeClr w14:val="tx1">
                <w14:lumMod w14:val="95000"/>
                <w14:lumOff w14:val="5000"/>
              </w14:schemeClr>
            </w14:solidFill>
          </w14:textFill>
        </w:rPr>
      </w:pPr>
      <w:r>
        <w:rPr>
          <w:rFonts w:hint="eastAsia" w:cs="宋体"/>
          <w:color w:val="0D0D0D" w:themeColor="text1" w:themeTint="F2"/>
          <w:kern w:val="0"/>
          <w14:textFill>
            <w14:solidFill>
              <w14:schemeClr w14:val="tx1">
                <w14:lumMod w14:val="95000"/>
                <w14:lumOff w14:val="5000"/>
              </w14:schemeClr>
            </w14:solidFill>
          </w14:textFill>
        </w:rPr>
        <w:t>项目运营过程中能源消耗主要为电能和水资源，并占用一定土地资源，电能、用水和土地等资源的消耗量相对区域利用总量较少，项目原料为废弃动植物油脂，项目建设能够促进社会资源节约和综合利用，符合资源利用上线要求。</w:t>
      </w:r>
    </w:p>
    <w:p w14:paraId="429FBDF7">
      <w:pPr>
        <w:autoSpaceDE w:val="0"/>
        <w:autoSpaceDN w:val="0"/>
        <w:adjustRightInd w:val="0"/>
        <w:snapToGrid w:val="0"/>
        <w:ind w:firstLine="482" w:firstLineChars="200"/>
        <w:rPr>
          <w:rFonts w:cs="宋体"/>
          <w:b/>
          <w:bCs/>
          <w:color w:val="0D0D0D" w:themeColor="text1" w:themeTint="F2"/>
          <w:kern w:val="0"/>
          <w14:textFill>
            <w14:solidFill>
              <w14:schemeClr w14:val="tx1">
                <w14:lumMod w14:val="95000"/>
                <w14:lumOff w14:val="5000"/>
              </w14:schemeClr>
            </w14:solidFill>
          </w14:textFill>
        </w:rPr>
      </w:pPr>
      <w:r>
        <w:rPr>
          <w:rFonts w:hint="eastAsia" w:cs="宋体"/>
          <w:b/>
          <w:bCs/>
          <w:color w:val="0D0D0D" w:themeColor="text1" w:themeTint="F2"/>
          <w:kern w:val="0"/>
          <w14:textFill>
            <w14:solidFill>
              <w14:schemeClr w14:val="tx1">
                <w14:lumMod w14:val="95000"/>
                <w14:lumOff w14:val="5000"/>
              </w14:schemeClr>
            </w14:solidFill>
          </w14:textFill>
        </w:rPr>
        <w:t>（4）环境准入负面清单</w:t>
      </w:r>
    </w:p>
    <w:p w14:paraId="054790FD">
      <w:pPr>
        <w:autoSpaceDE w:val="0"/>
        <w:autoSpaceDN w:val="0"/>
        <w:adjustRightInd w:val="0"/>
        <w:snapToGrid w:val="0"/>
        <w:ind w:firstLine="480" w:firstLineChars="200"/>
        <w:rPr>
          <w:rFonts w:cs="宋体"/>
          <w:color w:val="0D0D0D" w:themeColor="text1" w:themeTint="F2"/>
          <w:kern w:val="0"/>
          <w14:textFill>
            <w14:solidFill>
              <w14:schemeClr w14:val="tx1">
                <w14:lumMod w14:val="95000"/>
                <w14:lumOff w14:val="5000"/>
              </w14:schemeClr>
            </w14:solidFill>
          </w14:textFill>
        </w:rPr>
      </w:pPr>
      <w:r>
        <w:rPr>
          <w:rFonts w:hint="eastAsia" w:cs="宋体"/>
          <w:color w:val="0D0D0D" w:themeColor="text1" w:themeTint="F2"/>
          <w:kern w:val="0"/>
          <w14:textFill>
            <w14:solidFill>
              <w14:schemeClr w14:val="tx1">
                <w14:lumMod w14:val="95000"/>
                <w14:lumOff w14:val="5000"/>
              </w14:schemeClr>
            </w14:solidFill>
          </w14:textFill>
        </w:rPr>
        <w:t>根据《自治区落实主体功能区战略和制度厅际联席会议关于印发&lt;广西壮族自治区重点生态功能区县产业准入负面清单调整方案&gt;的通知》（2024年4月），项目所在地未划入产业准入负面清单。</w:t>
      </w:r>
    </w:p>
    <w:p w14:paraId="1F380E16">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（5）与《广西壮族自治区生态环境厅关于印发实施广西壮族自治区生态环境分区管控动态更新成果（2023年）的通知》（桂环规范〔2024〕3号）相符性分析</w:t>
      </w:r>
    </w:p>
    <w:p w14:paraId="29A4D71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w:t>
      </w:r>
      <w:bookmarkStart w:id="76" w:name="_Hlk198220119"/>
      <w:r>
        <w:rPr>
          <w:rFonts w:hint="eastAsia"/>
          <w:color w:val="0D0D0D" w:themeColor="text1" w:themeTint="F2"/>
          <w14:textFill>
            <w14:solidFill>
              <w14:schemeClr w14:val="tx1">
                <w14:lumMod w14:val="95000"/>
                <w14:lumOff w14:val="5000"/>
              </w14:schemeClr>
            </w14:solidFill>
          </w14:textFill>
        </w:rPr>
        <w:t>《广西壮族自治区生态环境厅关于印发实施广西壮族自治区</w:t>
      </w:r>
      <w:bookmarkStart w:id="77" w:name="_Hlk191590914"/>
      <w:r>
        <w:rPr>
          <w:rFonts w:hint="eastAsia"/>
          <w:color w:val="0D0D0D" w:themeColor="text1" w:themeTint="F2"/>
          <w14:textFill>
            <w14:solidFill>
              <w14:schemeClr w14:val="tx1">
                <w14:lumMod w14:val="95000"/>
                <w14:lumOff w14:val="5000"/>
              </w14:schemeClr>
            </w14:solidFill>
          </w14:textFill>
        </w:rPr>
        <w:t>生态环境分区管控动态更新成果（2023年）</w:t>
      </w:r>
      <w:bookmarkEnd w:id="77"/>
      <w:r>
        <w:rPr>
          <w:rFonts w:hint="eastAsia"/>
          <w:color w:val="0D0D0D" w:themeColor="text1" w:themeTint="F2"/>
          <w14:textFill>
            <w14:solidFill>
              <w14:schemeClr w14:val="tx1">
                <w14:lumMod w14:val="95000"/>
                <w14:lumOff w14:val="5000"/>
              </w14:schemeClr>
            </w14:solidFill>
          </w14:textFill>
        </w:rPr>
        <w:t>的通知》（桂环规范〔2024〕3号）</w:t>
      </w:r>
      <w:bookmarkEnd w:id="76"/>
      <w:r>
        <w:rPr>
          <w:rFonts w:hint="eastAsia"/>
          <w:color w:val="0D0D0D" w:themeColor="text1" w:themeTint="F2"/>
          <w14:textFill>
            <w14:solidFill>
              <w14:schemeClr w14:val="tx1">
                <w14:lumMod w14:val="95000"/>
                <w14:lumOff w14:val="5000"/>
              </w14:schemeClr>
            </w14:solidFill>
          </w14:textFill>
        </w:rPr>
        <w:t>，项目</w:t>
      </w:r>
      <w:bookmarkStart w:id="78" w:name="_Hlk191589927"/>
      <w:r>
        <w:rPr>
          <w:rFonts w:hint="eastAsia"/>
          <w:color w:val="0D0D0D" w:themeColor="text1" w:themeTint="F2"/>
          <w14:textFill>
            <w14:solidFill>
              <w14:schemeClr w14:val="tx1">
                <w14:lumMod w14:val="95000"/>
                <w14:lumOff w14:val="5000"/>
              </w14:schemeClr>
            </w14:solidFill>
          </w14:textFill>
        </w:rPr>
        <w:t>与</w:t>
      </w:r>
      <w:bookmarkEnd w:id="78"/>
      <w:r>
        <w:rPr>
          <w:rFonts w:hint="eastAsia"/>
          <w:color w:val="0D0D0D" w:themeColor="text1" w:themeTint="F2"/>
          <w14:textFill>
            <w14:solidFill>
              <w14:schemeClr w14:val="tx1">
                <w14:lumMod w14:val="95000"/>
                <w14:lumOff w14:val="5000"/>
              </w14:schemeClr>
            </w14:solidFill>
          </w14:textFill>
        </w:rPr>
        <w:t>陆域产业布局总体生态准入及管控要求、工业聚集区重点管控单元总体生态环境准入及管控要求、北部湾经济区生态环境准入及管控要求相符性分析详见表2.7-8。</w:t>
      </w:r>
    </w:p>
    <w:p w14:paraId="13AA7CAF">
      <w:pPr>
        <w:pStyle w:val="11"/>
      </w:pPr>
      <w:r>
        <w:rPr>
          <w:rFonts w:hint="eastAsia"/>
        </w:rPr>
        <w:t xml:space="preserve"> 与广西生态环境分区管控动态更新成果（2023年）相符性分析</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4723"/>
        <w:gridCol w:w="3425"/>
        <w:gridCol w:w="458"/>
      </w:tblGrid>
      <w:tr w14:paraId="0500D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899" w:type="pct"/>
            <w:gridSpan w:val="2"/>
            <w:vAlign w:val="center"/>
          </w:tcPr>
          <w:p w14:paraId="3A7C67B0">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生态环境准入清单要求</w:t>
            </w:r>
          </w:p>
        </w:tc>
        <w:tc>
          <w:tcPr>
            <w:tcW w:w="1853" w:type="pct"/>
            <w:vAlign w:val="center"/>
          </w:tcPr>
          <w:p w14:paraId="51A2A154">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项目情况</w:t>
            </w:r>
          </w:p>
        </w:tc>
        <w:tc>
          <w:tcPr>
            <w:tcW w:w="248" w:type="pct"/>
            <w:vAlign w:val="center"/>
          </w:tcPr>
          <w:p w14:paraId="6713FDE9">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结论</w:t>
            </w:r>
          </w:p>
        </w:tc>
      </w:tr>
      <w:tr w14:paraId="33398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vAlign w:val="center"/>
          </w:tcPr>
          <w:p w14:paraId="56812371">
            <w:pPr>
              <w:adjustRightInd w:val="0"/>
              <w:snapToGrid w:val="0"/>
              <w:spacing w:line="240" w:lineRule="auto"/>
              <w:jc w:val="center"/>
              <w:rPr>
                <w:b/>
                <w:bCs/>
                <w:snapToGrid w:val="0"/>
                <w:color w:val="0D0D0D" w:themeColor="text1" w:themeTint="F2"/>
                <w:kern w:val="0"/>
                <w:sz w:val="21"/>
                <w:szCs w:val="21"/>
                <w14:textFill>
                  <w14:solidFill>
                    <w14:schemeClr w14:val="tx1">
                      <w14:lumMod w14:val="95000"/>
                      <w14:lumOff w14:val="5000"/>
                    </w14:schemeClr>
                  </w14:solidFill>
                </w14:textFill>
              </w:rPr>
            </w:pPr>
            <w:r>
              <w:rPr>
                <w:rFonts w:hint="eastAsia"/>
                <w:b/>
                <w:bCs/>
                <w:snapToGrid w:val="0"/>
                <w:color w:val="0D0D0D" w:themeColor="text1" w:themeTint="F2"/>
                <w:kern w:val="0"/>
                <w:sz w:val="21"/>
                <w:szCs w:val="21"/>
                <w14:textFill>
                  <w14:solidFill>
                    <w14:schemeClr w14:val="tx1">
                      <w14:lumMod w14:val="95000"/>
                      <w14:lumOff w14:val="5000"/>
                    </w14:schemeClr>
                  </w14:solidFill>
                </w14:textFill>
              </w:rPr>
              <w:t>陆域产业布局总体生态准入及管控要求</w:t>
            </w:r>
          </w:p>
        </w:tc>
      </w:tr>
      <w:tr w14:paraId="02D00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restart"/>
            <w:vAlign w:val="center"/>
          </w:tcPr>
          <w:p w14:paraId="0B64822A">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空间布局约束</w:t>
            </w:r>
          </w:p>
        </w:tc>
        <w:tc>
          <w:tcPr>
            <w:tcW w:w="2555" w:type="pct"/>
            <w:vAlign w:val="center"/>
          </w:tcPr>
          <w:p w14:paraId="29E23331">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1．新建、改建、扩建工业项目应按照国家、自治区相关行业建设项目环境影响评价文件审批原则入园。新建企业应符合批准实施的国土空间规划、“十四五”规划纲要和相关专项规划。</w:t>
            </w:r>
          </w:p>
        </w:tc>
        <w:tc>
          <w:tcPr>
            <w:tcW w:w="1853" w:type="pct"/>
            <w:vAlign w:val="center"/>
          </w:tcPr>
          <w:p w14:paraId="65D29F89">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项目位于中国（广西）自由贸易试验区钦州港片区临海大道西面、勒沟东大街北面，用地为工业用地，符合国土空间规划等要求。</w:t>
            </w:r>
          </w:p>
        </w:tc>
        <w:tc>
          <w:tcPr>
            <w:tcW w:w="248" w:type="pct"/>
            <w:vAlign w:val="center"/>
          </w:tcPr>
          <w:p w14:paraId="5C3F4893">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4F3CB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01DA02E1">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555" w:type="pct"/>
            <w:vAlign w:val="center"/>
          </w:tcPr>
          <w:p w14:paraId="23AD33FB">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2．禁止新建、扩建现行《产业结构调整指导目录》《广西工业产业结构调整指导目录》明确的淘汰类、禁止类项目；禁止引入不符合现行《市场准入负面清单》禁止准入类事项。新建项目要严格落实国家有关产业重大生产力规划布局要求，并符合广西优化主导产业布局、新发展格局下广西重点产业布局规划、广西制造强区建设中长期规划及相关产业规划布局。</w:t>
            </w:r>
          </w:p>
        </w:tc>
        <w:tc>
          <w:tcPr>
            <w:tcW w:w="1853" w:type="pct"/>
            <w:vAlign w:val="center"/>
          </w:tcPr>
          <w:p w14:paraId="46AFDE2C">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属于《产业结构调整指导目录（2024年本）》、《市场准入负面清单（2025年版）》和《广西壮族自治区人民政府办公厅关于印发北钦防一体化产业协同发展限制布局清单（工业类2021年版）的通知》等文件中的禁止类、限制类和淘汰类。</w:t>
            </w:r>
          </w:p>
        </w:tc>
        <w:tc>
          <w:tcPr>
            <w:tcW w:w="248" w:type="pct"/>
            <w:vAlign w:val="center"/>
          </w:tcPr>
          <w:p w14:paraId="63EB26CF">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1DF8E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6670C2AC">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555" w:type="pct"/>
            <w:vAlign w:val="center"/>
          </w:tcPr>
          <w:p w14:paraId="0EE93347">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3．</w:t>
            </w:r>
            <w:r>
              <w:rPr>
                <w:rFonts w:hint="eastAsia"/>
                <w:snapToGrid w:val="0"/>
                <w:color w:val="0D0D0D" w:themeColor="text1" w:themeTint="F2"/>
                <w:kern w:val="0"/>
                <w:sz w:val="21"/>
                <w:szCs w:val="21"/>
                <w14:textFill>
                  <w14:solidFill>
                    <w14:schemeClr w14:val="tx1">
                      <w14:lumMod w14:val="95000"/>
                      <w14:lumOff w14:val="5000"/>
                    </w14:schemeClr>
                  </w14:solidFill>
                </w14:textFill>
              </w:rPr>
              <w:t>鼓励和引导新建涉挥发性有机物VOCs排放的工业企业入园区（含工业园区、工业集中区、工业集聚区）。未纳入《石化产业规划布局方案》的新建炼化项目一律不得建设</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853" w:type="pct"/>
            <w:vAlign w:val="center"/>
          </w:tcPr>
          <w:p w14:paraId="2360E8C3">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项目位于工业园区。</w:t>
            </w:r>
          </w:p>
        </w:tc>
        <w:tc>
          <w:tcPr>
            <w:tcW w:w="248" w:type="pct"/>
            <w:vAlign w:val="center"/>
          </w:tcPr>
          <w:p w14:paraId="57CE3CA2">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4FD5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71525755">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555" w:type="pct"/>
            <w:vAlign w:val="center"/>
          </w:tcPr>
          <w:p w14:paraId="7EED4FB0">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4．</w:t>
            </w:r>
            <w:r>
              <w:rPr>
                <w:rFonts w:hint="eastAsia"/>
                <w:snapToGrid w:val="0"/>
                <w:color w:val="0D0D0D" w:themeColor="text1" w:themeTint="F2"/>
                <w:kern w:val="0"/>
                <w:sz w:val="21"/>
                <w:szCs w:val="21"/>
                <w14:textFill>
                  <w14:solidFill>
                    <w14:schemeClr w14:val="tx1">
                      <w14:lumMod w14:val="95000"/>
                      <w14:lumOff w14:val="5000"/>
                    </w14:schemeClr>
                  </w14:solidFill>
                </w14:textFill>
              </w:rPr>
              <w:t>建设项目使用林地，应当按照《建设项目使用林地审核审批管理办法》审核和审批，严格保护和合理利用林地，促进生态林业和民生林业发展。公益林、天然林依据《中华人民共和国森林法》《中华人民共和国森林法实施条例》《国家级公益林管理办法》《国家级公益林区划界定办法》《天然林保护修复制度方案》等国家和自治区有关规定进行管理</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853" w:type="pct"/>
            <w:vAlign w:val="center"/>
          </w:tcPr>
          <w:p w14:paraId="7116FDDC">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项目不涉及林地。</w:t>
            </w:r>
          </w:p>
        </w:tc>
        <w:tc>
          <w:tcPr>
            <w:tcW w:w="248" w:type="pct"/>
            <w:vAlign w:val="center"/>
          </w:tcPr>
          <w:p w14:paraId="1A15C28E">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13D40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4EE10B7A">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555" w:type="pct"/>
            <w:vAlign w:val="center"/>
          </w:tcPr>
          <w:p w14:paraId="2A823864">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5．</w:t>
            </w:r>
            <w:r>
              <w:rPr>
                <w:rFonts w:hint="eastAsia"/>
                <w:snapToGrid w:val="0"/>
                <w:color w:val="0D0D0D" w:themeColor="text1" w:themeTint="F2"/>
                <w:kern w:val="0"/>
                <w:sz w:val="21"/>
                <w:szCs w:val="21"/>
                <w14:textFill>
                  <w14:solidFill>
                    <w14:schemeClr w14:val="tx1">
                      <w14:lumMod w14:val="95000"/>
                      <w14:lumOff w14:val="5000"/>
                    </w14:schemeClr>
                  </w14:solidFill>
                </w14:textFill>
              </w:rPr>
              <w:t>建设项目使用草地，应当按照《草原征占用审核审批管理规范》审核和审批，严格保护和合理利用草地</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853" w:type="pct"/>
            <w:vAlign w:val="center"/>
          </w:tcPr>
          <w:p w14:paraId="60BA0B79">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项目不涉及草地。</w:t>
            </w:r>
          </w:p>
        </w:tc>
        <w:tc>
          <w:tcPr>
            <w:tcW w:w="248" w:type="pct"/>
            <w:vAlign w:val="center"/>
          </w:tcPr>
          <w:p w14:paraId="5C57152B">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74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484DAC8F">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555" w:type="pct"/>
            <w:vAlign w:val="center"/>
          </w:tcPr>
          <w:p w14:paraId="66E1C8F5">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6．</w:t>
            </w:r>
            <w:r>
              <w:rPr>
                <w:rFonts w:hint="eastAsia"/>
                <w:snapToGrid w:val="0"/>
                <w:color w:val="0D0D0D" w:themeColor="text1" w:themeTint="F2"/>
                <w:kern w:val="0"/>
                <w:sz w:val="21"/>
                <w:szCs w:val="21"/>
                <w14:textFill>
                  <w14:solidFill>
                    <w14:schemeClr w14:val="tx1">
                      <w14:lumMod w14:val="95000"/>
                      <w14:lumOff w14:val="5000"/>
                    </w14:schemeClr>
                  </w14:solidFill>
                </w14:textFill>
              </w:rPr>
              <w:t>严格执行能耗“双控”、碳排放强度、碳达峰和碳中和目标要求，新建项目能源利用效率应达到国内先进水平</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853" w:type="pct"/>
            <w:vAlign w:val="center"/>
          </w:tcPr>
          <w:p w14:paraId="7EE74521">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在工艺设计、设备选型、节能管理等方面，均采用了一系列节能措施以保证生产中各个环节的节能降耗。通过使用节能技术，提高能源利用效率，提高清洁生产水平及降低碳排放。项目主要能源消耗品种为电、生物质和蒸汽，根据节能报告，年综合能源消耗量为</w:t>
            </w:r>
            <w:r>
              <w:rPr>
                <w:snapToGrid w:val="0"/>
                <w:color w:val="0D0D0D" w:themeColor="text1" w:themeTint="F2"/>
                <w:kern w:val="0"/>
                <w:sz w:val="21"/>
                <w:szCs w:val="21"/>
                <w14:textFill>
                  <w14:solidFill>
                    <w14:schemeClr w14:val="tx1">
                      <w14:lumMod w14:val="95000"/>
                      <w14:lumOff w14:val="5000"/>
                    </w14:schemeClr>
                  </w14:solidFill>
                </w14:textFill>
              </w:rPr>
              <w:t>26878.68tce</w:t>
            </w:r>
            <w:r>
              <w:rPr>
                <w:rFonts w:hint="eastAsia"/>
                <w:snapToGrid w:val="0"/>
                <w:color w:val="0D0D0D" w:themeColor="text1" w:themeTint="F2"/>
                <w:kern w:val="0"/>
                <w:sz w:val="21"/>
                <w:szCs w:val="21"/>
                <w14:textFill>
                  <w14:solidFill>
                    <w14:schemeClr w14:val="tx1">
                      <w14:lumMod w14:val="95000"/>
                      <w14:lumOff w14:val="5000"/>
                    </w14:schemeClr>
                  </w14:solidFill>
                </w14:textFill>
              </w:rPr>
              <w:t>，低于国内同类型相关企业单位产品综合能耗，能源利用效率达到国内先进水平不属于“两高”项目。</w:t>
            </w:r>
          </w:p>
        </w:tc>
        <w:tc>
          <w:tcPr>
            <w:tcW w:w="248" w:type="pct"/>
            <w:vAlign w:val="center"/>
          </w:tcPr>
          <w:p w14:paraId="0953F2EF">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4EE26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0C0B38D1">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555" w:type="pct"/>
            <w:vAlign w:val="center"/>
          </w:tcPr>
          <w:p w14:paraId="258F6B7D">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7．</w:t>
            </w:r>
            <w:r>
              <w:rPr>
                <w:rFonts w:hint="eastAsia"/>
                <w:snapToGrid w:val="0"/>
                <w:color w:val="0D0D0D" w:themeColor="text1" w:themeTint="F2"/>
                <w:kern w:val="0"/>
                <w:sz w:val="21"/>
                <w:szCs w:val="21"/>
                <w14:textFill>
                  <w14:solidFill>
                    <w14:schemeClr w14:val="tx1">
                      <w14:lumMod w14:val="95000"/>
                      <w14:lumOff w14:val="5000"/>
                    </w14:schemeClr>
                  </w14:solidFill>
                </w14:textFill>
              </w:rPr>
              <w:t>新建、改建、扩建“两高”项目须符合生态环境保护法律法规和相关法定规划，满足重点污染物排放总量控制、碳排放达峰目标、生态环境准入清单、相关规划环评和相应行业建设项目环境准入条件、环评文件审批原则要求。拟建、在建项目，应对照能效标杆水平建设实施；能效介于标杆水平和基准水平之间的存量项目，鼓励加强绿色低碳工艺技术装备应用，引导企业应改尽改、应提尽提；能效低于基准水平的存量项目，有序开展节能降碳技术改造或淘汰退出</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853" w:type="pct"/>
            <w:vAlign w:val="center"/>
          </w:tcPr>
          <w:p w14:paraId="0A1B71C8">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项目不属于“两高”项目，能源利用效率达到国内先进水平。根据分析，项目投产后在落实各项环保措施的前提下，对区域环境质量影响仍在可控范围内。</w:t>
            </w:r>
          </w:p>
        </w:tc>
        <w:tc>
          <w:tcPr>
            <w:tcW w:w="248" w:type="pct"/>
            <w:vAlign w:val="center"/>
          </w:tcPr>
          <w:p w14:paraId="59E8B130">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5A0B2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5F722A28">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555" w:type="pct"/>
            <w:vAlign w:val="center"/>
          </w:tcPr>
          <w:p w14:paraId="39C833C6">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8．石化、煤化工、燃煤发电（含热电）、钢铁、有色金属冶炼、制浆造纸行业新增主要污染物排放量的建设项目，应满足区域、流域控制单元环境质量改善目标管理要求，主要污染物实行区域倍量削减或等量削减；市级生态环境主管部门审批的编制环境影响报告书的重点行业建设项目可参照执行。</w:t>
            </w:r>
          </w:p>
        </w:tc>
        <w:tc>
          <w:tcPr>
            <w:tcW w:w="1853" w:type="pct"/>
            <w:vAlign w:val="center"/>
          </w:tcPr>
          <w:p w14:paraId="5076F457">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为石化行业项目，各项污染物经采取本报告提出的环保措施后，均能达标排放，符合区域、流域控制单元环境质量改善目标管理要求，项目环境影响评价报告书属市级生态环境主管部门审批，未强制要求主要污染物实行区域倍量削减或等量削减。</w:t>
            </w:r>
          </w:p>
        </w:tc>
        <w:tc>
          <w:tcPr>
            <w:tcW w:w="248" w:type="pct"/>
            <w:vAlign w:val="center"/>
          </w:tcPr>
          <w:p w14:paraId="7E889D65">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6D5C7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79AB416B">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555" w:type="pct"/>
            <w:vAlign w:val="center"/>
          </w:tcPr>
          <w:p w14:paraId="39F99C1C">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9．依据国土空间规划和“三区三线”，明确减污降碳重点管控区域和相关管控要求，将碳达峰碳中和要求纳入“三线一单”（生态保护红线、环境质量底线、资源利用上线和生态环境准入清单）分区管控体系。</w:t>
            </w:r>
          </w:p>
        </w:tc>
        <w:tc>
          <w:tcPr>
            <w:tcW w:w="1853" w:type="pct"/>
            <w:vAlign w:val="center"/>
          </w:tcPr>
          <w:p w14:paraId="37E6A9ED">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项目符合国土空间规划和“三区三线”的分区管控要求。</w:t>
            </w:r>
          </w:p>
        </w:tc>
        <w:tc>
          <w:tcPr>
            <w:tcW w:w="248" w:type="pct"/>
            <w:vAlign w:val="center"/>
          </w:tcPr>
          <w:p w14:paraId="2711B514">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7FA33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0FDF458B">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555" w:type="pct"/>
            <w:vAlign w:val="center"/>
          </w:tcPr>
          <w:p w14:paraId="037B94C8">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10．增强区域环境质量改善目标对能源和产业布局的引导作用。加大污染严重地区结构调整和布局优化力度，依法依规加快推动重点区域、重点流域落后和过剩产能退出。依法加快城市建成区重污染企业搬迁改造或关闭退出。</w:t>
            </w:r>
          </w:p>
        </w:tc>
        <w:tc>
          <w:tcPr>
            <w:tcW w:w="1853" w:type="pct"/>
            <w:vAlign w:val="center"/>
          </w:tcPr>
          <w:p w14:paraId="3707615F">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项目符合所在园区规划布局，运营期各污染物排放可满足相关排放要求。</w:t>
            </w:r>
          </w:p>
        </w:tc>
        <w:tc>
          <w:tcPr>
            <w:tcW w:w="248" w:type="pct"/>
            <w:vAlign w:val="center"/>
          </w:tcPr>
          <w:p w14:paraId="312F5380">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6C631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33394452">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555" w:type="pct"/>
            <w:vAlign w:val="center"/>
          </w:tcPr>
          <w:p w14:paraId="36FECCD7">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11．严格执行《广西生态保护正面清单（2022）》和《广西生态保护禁止事项清单（2022）》。</w:t>
            </w:r>
          </w:p>
        </w:tc>
        <w:tc>
          <w:tcPr>
            <w:tcW w:w="1853" w:type="pct"/>
            <w:vAlign w:val="center"/>
          </w:tcPr>
          <w:p w14:paraId="68051FC8">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项目不属于禁止类项目。</w:t>
            </w:r>
          </w:p>
        </w:tc>
        <w:tc>
          <w:tcPr>
            <w:tcW w:w="248" w:type="pct"/>
            <w:vAlign w:val="center"/>
          </w:tcPr>
          <w:p w14:paraId="27A12708">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4F444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314AFB01">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555" w:type="pct"/>
            <w:vAlign w:val="center"/>
          </w:tcPr>
          <w:p w14:paraId="248C2E9B">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12．“准入及管控要求”涉及跨省（市）界有协议或相关规定的，从其规定。</w:t>
            </w:r>
          </w:p>
        </w:tc>
        <w:tc>
          <w:tcPr>
            <w:tcW w:w="1853" w:type="pct"/>
            <w:vAlign w:val="center"/>
          </w:tcPr>
          <w:p w14:paraId="30E4B099">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项目不跨省。</w:t>
            </w:r>
          </w:p>
        </w:tc>
        <w:tc>
          <w:tcPr>
            <w:tcW w:w="248" w:type="pct"/>
            <w:vAlign w:val="center"/>
          </w:tcPr>
          <w:p w14:paraId="5057B193">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24352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093E0934">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555" w:type="pct"/>
            <w:vAlign w:val="center"/>
          </w:tcPr>
          <w:p w14:paraId="2BF3C0E5">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13．“准入及管控要求”规定依据的法规、规章等发生变更的，从其规定。</w:t>
            </w:r>
          </w:p>
        </w:tc>
        <w:tc>
          <w:tcPr>
            <w:tcW w:w="1853" w:type="pct"/>
            <w:vAlign w:val="center"/>
          </w:tcPr>
          <w:p w14:paraId="413BE317">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项目建设符合准入及管控要求。</w:t>
            </w:r>
          </w:p>
        </w:tc>
        <w:tc>
          <w:tcPr>
            <w:tcW w:w="248" w:type="pct"/>
            <w:vAlign w:val="center"/>
          </w:tcPr>
          <w:p w14:paraId="3183B14A">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7EB6E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vAlign w:val="center"/>
          </w:tcPr>
          <w:p w14:paraId="760D7E65">
            <w:pPr>
              <w:adjustRightInd w:val="0"/>
              <w:snapToGrid w:val="0"/>
              <w:spacing w:line="240" w:lineRule="auto"/>
              <w:jc w:val="center"/>
              <w:rPr>
                <w:b/>
                <w:bCs/>
                <w:snapToGrid w:val="0"/>
                <w:color w:val="0D0D0D" w:themeColor="text1" w:themeTint="F2"/>
                <w:kern w:val="0"/>
                <w:sz w:val="21"/>
                <w:szCs w:val="21"/>
                <w14:textFill>
                  <w14:solidFill>
                    <w14:schemeClr w14:val="tx1">
                      <w14:lumMod w14:val="95000"/>
                      <w14:lumOff w14:val="5000"/>
                    </w14:schemeClr>
                  </w14:solidFill>
                </w14:textFill>
              </w:rPr>
            </w:pPr>
            <w:r>
              <w:rPr>
                <w:rFonts w:hint="eastAsia"/>
                <w:b/>
                <w:bCs/>
                <w:snapToGrid w:val="0"/>
                <w:color w:val="0D0D0D" w:themeColor="text1" w:themeTint="F2"/>
                <w:kern w:val="0"/>
                <w:sz w:val="21"/>
                <w:szCs w:val="21"/>
                <w14:textFill>
                  <w14:solidFill>
                    <w14:schemeClr w14:val="tx1">
                      <w14:lumMod w14:val="95000"/>
                      <w14:lumOff w14:val="5000"/>
                    </w14:schemeClr>
                  </w14:solidFill>
                </w14:textFill>
              </w:rPr>
              <w:t>工业聚集区重点管控单元</w:t>
            </w:r>
          </w:p>
        </w:tc>
      </w:tr>
      <w:tr w14:paraId="5AA69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Align w:val="center"/>
          </w:tcPr>
          <w:p w14:paraId="4E1635E1">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空间布局约束</w:t>
            </w:r>
          </w:p>
        </w:tc>
        <w:tc>
          <w:tcPr>
            <w:tcW w:w="2555" w:type="pct"/>
            <w:vAlign w:val="center"/>
          </w:tcPr>
          <w:p w14:paraId="451DCEE8">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各类产业园区管理机构应将规划环评结论及审查意见落实到规划中。负责统筹区域内生态环境基础设施建设，不得引入不符合规划环评结论及审查意见的项目入园。</w:t>
            </w:r>
          </w:p>
        </w:tc>
        <w:tc>
          <w:tcPr>
            <w:tcW w:w="1853" w:type="pct"/>
            <w:vAlign w:val="center"/>
          </w:tcPr>
          <w:p w14:paraId="23976FC7">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项目属于石化产业，符合园区规划要求。</w:t>
            </w:r>
          </w:p>
        </w:tc>
        <w:tc>
          <w:tcPr>
            <w:tcW w:w="248" w:type="pct"/>
            <w:vAlign w:val="center"/>
          </w:tcPr>
          <w:p w14:paraId="03A7E270">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2BCE4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restart"/>
            <w:vAlign w:val="center"/>
          </w:tcPr>
          <w:p w14:paraId="5722C577">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污染物排放管控</w:t>
            </w:r>
          </w:p>
        </w:tc>
        <w:tc>
          <w:tcPr>
            <w:tcW w:w="2555" w:type="pct"/>
            <w:vAlign w:val="center"/>
          </w:tcPr>
          <w:p w14:paraId="6BFE4589">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1．逐步完成工业集聚区集中式污水处理设施建设，确保已建污水处理设施稳定运行及达标排放。园区集中式污水处理设施总排口安装自动监控系统、视频监控系统，并与生态环境主管部门联网。按照“清污分流、雨污分流”原则，实施废水分类收集、分质处理。</w:t>
            </w:r>
          </w:p>
        </w:tc>
        <w:tc>
          <w:tcPr>
            <w:tcW w:w="1853" w:type="pct"/>
            <w:vAlign w:val="center"/>
          </w:tcPr>
          <w:p w14:paraId="14BE9AC6">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项目实行雨污分流，废水在厂区处理达标后排入市政污水管网，输送至钦州胜科水务有限公司污水处理厂进一步处理。</w:t>
            </w:r>
          </w:p>
        </w:tc>
        <w:tc>
          <w:tcPr>
            <w:tcW w:w="248" w:type="pct"/>
            <w:vAlign w:val="center"/>
          </w:tcPr>
          <w:p w14:paraId="6F445719">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5AB0F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611C005F">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555" w:type="pct"/>
            <w:vAlign w:val="center"/>
          </w:tcPr>
          <w:p w14:paraId="0A4722CB">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2．新、改、扩建涉重金属重点行业建设项目必须以改善环境质量为核心，确保区域环境质量符合功能区定位，遵循重点重金属污染物排放“减量置换”或“等量置换”的原则，确保辖区完成重点行业重金属污染物排放总量控制目标。</w:t>
            </w:r>
          </w:p>
        </w:tc>
        <w:tc>
          <w:tcPr>
            <w:tcW w:w="1853" w:type="pct"/>
            <w:vAlign w:val="center"/>
          </w:tcPr>
          <w:p w14:paraId="660E76E6">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项目不属于《广西壮族自治区建设项目重金属污染物排放指标核定暂行办法》中涉重金属重点行业建设项目，项目的建设不会降低区域环境质量等级，项目将严格控制污染物排放总量。</w:t>
            </w:r>
          </w:p>
        </w:tc>
        <w:tc>
          <w:tcPr>
            <w:tcW w:w="248" w:type="pct"/>
            <w:vAlign w:val="center"/>
          </w:tcPr>
          <w:p w14:paraId="53F43563">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5FDC1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650044D9">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555" w:type="pct"/>
            <w:vAlign w:val="center"/>
          </w:tcPr>
          <w:p w14:paraId="565E1AD6">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3．对现有生态环境问题要组织整改，落实主要污染物总量控制和减排任务。</w:t>
            </w:r>
          </w:p>
        </w:tc>
        <w:tc>
          <w:tcPr>
            <w:tcW w:w="1853" w:type="pct"/>
            <w:vAlign w:val="center"/>
          </w:tcPr>
          <w:p w14:paraId="7338740F">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项目运营期各污染物排放可满足相关排放要求，可控制在区域环境承载能力范围内。</w:t>
            </w:r>
          </w:p>
        </w:tc>
        <w:tc>
          <w:tcPr>
            <w:tcW w:w="248" w:type="pct"/>
            <w:vAlign w:val="center"/>
          </w:tcPr>
          <w:p w14:paraId="57C94800">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0036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25B8B8D7">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555" w:type="pct"/>
            <w:vAlign w:val="center"/>
          </w:tcPr>
          <w:p w14:paraId="3A97D0C5">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4．对石化、煤化工、燃煤发电（含热电）、钢铁、有色金属、制浆造纸等重点行业建设项目采取区域削减、强化区域整治、行业减排。</w:t>
            </w:r>
          </w:p>
        </w:tc>
        <w:tc>
          <w:tcPr>
            <w:tcW w:w="1853" w:type="pct"/>
            <w:vAlign w:val="center"/>
          </w:tcPr>
          <w:p w14:paraId="6D30E609">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项目属于石化项目，采用先进生产工艺和设备，配套可靠的污染治理设备，各污染物均能达标排放。</w:t>
            </w:r>
          </w:p>
        </w:tc>
        <w:tc>
          <w:tcPr>
            <w:tcW w:w="248" w:type="pct"/>
            <w:vAlign w:val="center"/>
          </w:tcPr>
          <w:p w14:paraId="07F5EA9F">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40F5C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577F2500">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555" w:type="pct"/>
            <w:vAlign w:val="center"/>
          </w:tcPr>
          <w:p w14:paraId="43BB4692">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5．严格能效约束推动重点领域节能降碳，持续推进钢铁、有色、建材、电力、石化化工、造纸等行业企业节能改造和转型升级。</w:t>
            </w:r>
          </w:p>
        </w:tc>
        <w:tc>
          <w:tcPr>
            <w:tcW w:w="1853" w:type="pct"/>
            <w:vAlign w:val="center"/>
          </w:tcPr>
          <w:p w14:paraId="028F2A28">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项目在工艺设计、设备选型、节能管理等方面，均采用了一系列节能措施以保证生产中各个环节的节能降耗。通过使用节能技术，提高能源利用效率，提高清洁生产降低碳排放。</w:t>
            </w:r>
          </w:p>
        </w:tc>
        <w:tc>
          <w:tcPr>
            <w:tcW w:w="248" w:type="pct"/>
            <w:vAlign w:val="center"/>
          </w:tcPr>
          <w:p w14:paraId="4950EF36">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28CBE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Align w:val="center"/>
          </w:tcPr>
          <w:p w14:paraId="63728038">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环境风险防控</w:t>
            </w:r>
          </w:p>
        </w:tc>
        <w:tc>
          <w:tcPr>
            <w:tcW w:w="2555" w:type="pct"/>
            <w:vAlign w:val="center"/>
          </w:tcPr>
          <w:p w14:paraId="3AADC9B9">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加强产业园区环境风险防控体系建设并编制应急预案，细化明确产业园区及区内企业环境风险防范责任，与地方政府应急预案做好衔接联动，切实做好环境风险防范工作，督促污染企业做好退出地块的土壤、地下水等风险防控工作。</w:t>
            </w:r>
          </w:p>
        </w:tc>
        <w:tc>
          <w:tcPr>
            <w:tcW w:w="1853" w:type="pct"/>
            <w:vAlign w:val="center"/>
          </w:tcPr>
          <w:p w14:paraId="38208ED5">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项目后期按要求编制突发环境事件应急预案，厂区内做好环境风险防控措施，并于园区应急预案和地方政府应急预案做好衔接联动。</w:t>
            </w:r>
          </w:p>
        </w:tc>
        <w:tc>
          <w:tcPr>
            <w:tcW w:w="248" w:type="pct"/>
            <w:vAlign w:val="center"/>
          </w:tcPr>
          <w:p w14:paraId="541445F0">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10D44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vAlign w:val="center"/>
          </w:tcPr>
          <w:p w14:paraId="44EB4574">
            <w:pPr>
              <w:adjustRightInd w:val="0"/>
              <w:snapToGrid w:val="0"/>
              <w:spacing w:line="240" w:lineRule="auto"/>
              <w:jc w:val="center"/>
              <w:rPr>
                <w:b/>
                <w:bCs/>
                <w:snapToGrid w:val="0"/>
                <w:color w:val="0D0D0D" w:themeColor="text1" w:themeTint="F2"/>
                <w:kern w:val="0"/>
                <w:sz w:val="21"/>
                <w:szCs w:val="21"/>
                <w14:textFill>
                  <w14:solidFill>
                    <w14:schemeClr w14:val="tx1">
                      <w14:lumMod w14:val="95000"/>
                      <w14:lumOff w14:val="5000"/>
                    </w14:schemeClr>
                  </w14:solidFill>
                </w14:textFill>
              </w:rPr>
            </w:pPr>
            <w:r>
              <w:rPr>
                <w:rFonts w:hint="eastAsia"/>
                <w:b/>
                <w:bCs/>
                <w:snapToGrid w:val="0"/>
                <w:color w:val="0D0D0D" w:themeColor="text1" w:themeTint="F2"/>
                <w:kern w:val="0"/>
                <w:sz w:val="21"/>
                <w:szCs w:val="21"/>
                <w14:textFill>
                  <w14:solidFill>
                    <w14:schemeClr w14:val="tx1">
                      <w14:lumMod w14:val="95000"/>
                      <w14:lumOff w14:val="5000"/>
                    </w14:schemeClr>
                  </w14:solidFill>
                </w14:textFill>
              </w:rPr>
              <w:t>北部湾经济区生态环境准入及管控要求</w:t>
            </w:r>
          </w:p>
        </w:tc>
      </w:tr>
      <w:tr w14:paraId="6307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restart"/>
            <w:vAlign w:val="center"/>
          </w:tcPr>
          <w:p w14:paraId="4C1EE7AB">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空间布局约束</w:t>
            </w:r>
          </w:p>
        </w:tc>
        <w:tc>
          <w:tcPr>
            <w:tcW w:w="2555" w:type="pct"/>
            <w:vAlign w:val="center"/>
          </w:tcPr>
          <w:p w14:paraId="58AA790A">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1．坚持高质量发展和高水平保护并重，引领广西高质量发展的重要增长极和成为具有区域影响力和带动力的重要增长极，建设宜居宜业宜游蓝色生态湾区。</w:t>
            </w:r>
          </w:p>
        </w:tc>
        <w:tc>
          <w:tcPr>
            <w:tcW w:w="1853" w:type="pct"/>
            <w:vAlign w:val="center"/>
          </w:tcPr>
          <w:p w14:paraId="1EF26062">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项目“三废”经处理后达标排放，不会导致区域环境质量降级。</w:t>
            </w:r>
          </w:p>
        </w:tc>
        <w:tc>
          <w:tcPr>
            <w:tcW w:w="248" w:type="pct"/>
            <w:vAlign w:val="center"/>
          </w:tcPr>
          <w:p w14:paraId="53684AB8">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7994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576B6264">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555" w:type="pct"/>
            <w:vAlign w:val="center"/>
          </w:tcPr>
          <w:p w14:paraId="4DAA702B">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2．实行严格的资源环境生态红线管控，合理开发和节约资源，加强对水源林、防护林、湿地等生态系统的保护与修复。</w:t>
            </w:r>
          </w:p>
        </w:tc>
        <w:tc>
          <w:tcPr>
            <w:tcW w:w="1853" w:type="pct"/>
            <w:vAlign w:val="center"/>
          </w:tcPr>
          <w:p w14:paraId="1E9DF34C">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项目位于工业园区内，不涉及生态红线。</w:t>
            </w:r>
          </w:p>
        </w:tc>
        <w:tc>
          <w:tcPr>
            <w:tcW w:w="248" w:type="pct"/>
            <w:vAlign w:val="center"/>
          </w:tcPr>
          <w:p w14:paraId="2C8B5DA3">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7E1D5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49FA2C8F">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555" w:type="pct"/>
            <w:vAlign w:val="center"/>
          </w:tcPr>
          <w:p w14:paraId="1D8C3627">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3．</w:t>
            </w:r>
            <w:r>
              <w:rPr>
                <w:rFonts w:hint="eastAsia"/>
                <w:snapToGrid w:val="0"/>
                <w:color w:val="0D0D0D" w:themeColor="text1" w:themeTint="F2"/>
                <w:kern w:val="0"/>
                <w:sz w:val="21"/>
                <w:szCs w:val="21"/>
                <w14:textFill>
                  <w14:solidFill>
                    <w14:schemeClr w14:val="tx1">
                      <w14:lumMod w14:val="95000"/>
                      <w14:lumOff w14:val="5000"/>
                    </w14:schemeClr>
                  </w14:solidFill>
                </w14:textFill>
              </w:rPr>
              <w:t>加大滨海湿地保护和修复力度，对红树林、珊瑚礁、海草床等重要海洋生态系统实行最严格的保护措施，加强珍稀濒危物种及重要海洋生态系统的生境保护。加强沿海防护林体系建设，加强对防城江、北仑河、钦江等重要江河源头区、湖库型饮用水源地等区域水土流失预防。推进互花米草防治</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853" w:type="pct"/>
            <w:vAlign w:val="center"/>
          </w:tcPr>
          <w:p w14:paraId="27064598">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项目不涉及占用滨海湿地。</w:t>
            </w:r>
          </w:p>
        </w:tc>
        <w:tc>
          <w:tcPr>
            <w:tcW w:w="248" w:type="pct"/>
            <w:vAlign w:val="center"/>
          </w:tcPr>
          <w:p w14:paraId="36A8A060">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7E725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0C2EE7BD">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555" w:type="pct"/>
            <w:vAlign w:val="center"/>
          </w:tcPr>
          <w:p w14:paraId="7E7CE97D">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4．</w:t>
            </w:r>
            <w:r>
              <w:rPr>
                <w:rFonts w:hint="eastAsia"/>
                <w:snapToGrid w:val="0"/>
                <w:color w:val="0D0D0D" w:themeColor="text1" w:themeTint="F2"/>
                <w:kern w:val="0"/>
                <w:sz w:val="21"/>
                <w:szCs w:val="21"/>
                <w14:textFill>
                  <w14:solidFill>
                    <w14:schemeClr w14:val="tx1">
                      <w14:lumMod w14:val="95000"/>
                      <w14:lumOff w14:val="5000"/>
                    </w14:schemeClr>
                  </w14:solidFill>
                </w14:textFill>
              </w:rPr>
              <w:t>严格围填海管控，禁止在海域内实施连岛行动。保护北部湾自然岸线，严格控制岸线利用项目准入门槛。合理有序开发利用滩涂资源</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853" w:type="pct"/>
            <w:vAlign w:val="center"/>
          </w:tcPr>
          <w:p w14:paraId="19166A95">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项目不涉及占用海岸线。</w:t>
            </w:r>
          </w:p>
        </w:tc>
        <w:tc>
          <w:tcPr>
            <w:tcW w:w="248" w:type="pct"/>
            <w:vAlign w:val="center"/>
          </w:tcPr>
          <w:p w14:paraId="0C038783">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51255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5F360764">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555" w:type="pct"/>
            <w:vAlign w:val="center"/>
          </w:tcPr>
          <w:p w14:paraId="36C68309">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5．</w:t>
            </w:r>
            <w:r>
              <w:rPr>
                <w:rFonts w:hint="eastAsia"/>
                <w:snapToGrid w:val="0"/>
                <w:color w:val="0D0D0D" w:themeColor="text1" w:themeTint="F2"/>
                <w:kern w:val="0"/>
                <w:sz w:val="21"/>
                <w:szCs w:val="21"/>
                <w14:textFill>
                  <w14:solidFill>
                    <w14:schemeClr w14:val="tx1">
                      <w14:lumMod w14:val="95000"/>
                      <w14:lumOff w14:val="5000"/>
                    </w14:schemeClr>
                  </w14:solidFill>
                </w14:textFill>
              </w:rPr>
              <w:t>南流江流域、廉州湾海域超过环境承载力的县市区严格区域主要污染物管控要求，新改扩“两高”、重点行业建设项目实行主要污染物区域削减方案。廉州湾沿岸新设排污口选址必须符合《中华人民共和国海洋环境保护法》《</w:t>
            </w:r>
            <w:r>
              <w:rPr>
                <w:rFonts w:hint="eastAsia"/>
                <w:snapToGrid w:val="0"/>
                <w:color w:val="0D0D0D" w:themeColor="text1" w:themeTint="F2"/>
                <w:kern w:val="0"/>
                <w:sz w:val="21"/>
                <w:szCs w:val="21"/>
                <w:lang w:eastAsia="zh-CN"/>
                <w14:textFill>
                  <w14:solidFill>
                    <w14:schemeClr w14:val="tx1">
                      <w14:lumMod w14:val="95000"/>
                      <w14:lumOff w14:val="5000"/>
                    </w14:schemeClr>
                  </w14:solidFill>
                </w14:textFill>
              </w:rPr>
              <w:t>中华人民共和国防治陆源污染物污染损害海洋环境管理条例</w:t>
            </w:r>
            <w:r>
              <w:rPr>
                <w:rFonts w:hint="eastAsia"/>
                <w:snapToGrid w:val="0"/>
                <w:color w:val="0D0D0D" w:themeColor="text1" w:themeTint="F2"/>
                <w:kern w:val="0"/>
                <w:sz w:val="21"/>
                <w:szCs w:val="21"/>
                <w14:textFill>
                  <w14:solidFill>
                    <w14:schemeClr w14:val="tx1">
                      <w14:lumMod w14:val="95000"/>
                      <w14:lumOff w14:val="5000"/>
                    </w14:schemeClr>
                  </w14:solidFill>
                </w14:textFill>
              </w:rPr>
              <w:t>》等有关规定</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853" w:type="pct"/>
            <w:vAlign w:val="center"/>
          </w:tcPr>
          <w:p w14:paraId="789DC5D6">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项目不涉及南流江流域、廉州湾海域。</w:t>
            </w:r>
          </w:p>
        </w:tc>
        <w:tc>
          <w:tcPr>
            <w:tcW w:w="248" w:type="pct"/>
            <w:vAlign w:val="center"/>
          </w:tcPr>
          <w:p w14:paraId="57BB8D37">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4B1E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460A4A48">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555" w:type="pct"/>
            <w:vAlign w:val="center"/>
          </w:tcPr>
          <w:p w14:paraId="13D081BA">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6．</w:t>
            </w:r>
            <w:r>
              <w:rPr>
                <w:rFonts w:hint="eastAsia"/>
                <w:snapToGrid w:val="0"/>
                <w:color w:val="0D0D0D" w:themeColor="text1" w:themeTint="F2"/>
                <w:kern w:val="0"/>
                <w:sz w:val="21"/>
                <w:szCs w:val="21"/>
                <w14:textFill>
                  <w14:solidFill>
                    <w14:schemeClr w14:val="tx1">
                      <w14:lumMod w14:val="95000"/>
                      <w14:lumOff w14:val="5000"/>
                    </w14:schemeClr>
                  </w14:solidFill>
                </w14:textFill>
              </w:rPr>
              <w:t>依法依规推动落后产能有序退出</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853" w:type="pct"/>
            <w:vAlign w:val="center"/>
          </w:tcPr>
          <w:p w14:paraId="410D80AE">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项目不属于落后产能。</w:t>
            </w:r>
          </w:p>
        </w:tc>
        <w:tc>
          <w:tcPr>
            <w:tcW w:w="248" w:type="pct"/>
            <w:vAlign w:val="center"/>
          </w:tcPr>
          <w:p w14:paraId="3E0E7152">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07063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5FBBBD6E">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555" w:type="pct"/>
            <w:vAlign w:val="center"/>
          </w:tcPr>
          <w:p w14:paraId="405F0817">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7．</w:t>
            </w:r>
            <w:r>
              <w:rPr>
                <w:rFonts w:hint="eastAsia"/>
                <w:snapToGrid w:val="0"/>
                <w:color w:val="0D0D0D" w:themeColor="text1" w:themeTint="F2"/>
                <w:kern w:val="0"/>
                <w:sz w:val="21"/>
                <w:szCs w:val="21"/>
                <w14:textFill>
                  <w14:solidFill>
                    <w14:schemeClr w14:val="tx1">
                      <w14:lumMod w14:val="95000"/>
                      <w14:lumOff w14:val="5000"/>
                    </w14:schemeClr>
                  </w14:solidFill>
                </w14:textFill>
              </w:rPr>
              <w:t>严禁占用运河沿线两岸1公里范围内预留作为生态廊道的用地，科学规划平陆运河沿岸生态廊道空间和开发保护核心管制区</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853" w:type="pct"/>
            <w:vAlign w:val="center"/>
          </w:tcPr>
          <w:p w14:paraId="18C6401C">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项目用地位于钦州市石化产业园，不属于运河沿线的生态廊道范围。</w:t>
            </w:r>
          </w:p>
        </w:tc>
        <w:tc>
          <w:tcPr>
            <w:tcW w:w="248" w:type="pct"/>
            <w:vAlign w:val="center"/>
          </w:tcPr>
          <w:p w14:paraId="08963F47">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10104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3305A2CC">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555" w:type="pct"/>
            <w:vAlign w:val="center"/>
          </w:tcPr>
          <w:p w14:paraId="7A434D23">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8．执行平陆运河绿色工程防范管控重点清单、打造特色亮点清单，平陆运河绿色工程评估指标体系。</w:t>
            </w:r>
          </w:p>
        </w:tc>
        <w:tc>
          <w:tcPr>
            <w:tcW w:w="1853" w:type="pct"/>
            <w:vAlign w:val="center"/>
          </w:tcPr>
          <w:p w14:paraId="02F3408A">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项目不在平陆运河绿色工程防范管控重点清单、打造特色亮点清单范围。</w:t>
            </w:r>
          </w:p>
        </w:tc>
        <w:tc>
          <w:tcPr>
            <w:tcW w:w="248" w:type="pct"/>
            <w:vAlign w:val="center"/>
          </w:tcPr>
          <w:p w14:paraId="48FF9552">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6243C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restart"/>
            <w:vAlign w:val="center"/>
          </w:tcPr>
          <w:p w14:paraId="70EB9062">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污染物排放管控</w:t>
            </w:r>
          </w:p>
        </w:tc>
        <w:tc>
          <w:tcPr>
            <w:tcW w:w="2555" w:type="pct"/>
            <w:vAlign w:val="center"/>
          </w:tcPr>
          <w:p w14:paraId="180EFC83">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1．</w:t>
            </w:r>
            <w:r>
              <w:rPr>
                <w:rFonts w:hint="eastAsia"/>
                <w:snapToGrid w:val="0"/>
                <w:color w:val="0D0D0D" w:themeColor="text1" w:themeTint="F2"/>
                <w:kern w:val="0"/>
                <w:sz w:val="21"/>
                <w:szCs w:val="21"/>
                <w14:textFill>
                  <w14:solidFill>
                    <w14:schemeClr w14:val="tx1">
                      <w14:lumMod w14:val="95000"/>
                      <w14:lumOff w14:val="5000"/>
                    </w14:schemeClr>
                  </w14:solidFill>
                </w14:textFill>
              </w:rPr>
              <w:t>坚持陆海统筹，强化重大海域、入海河流、海岸带的生态环境统筹协同管控，开展北部湾沿海城市生态环境综合治理。推行河长制、湖长制，持续推进钦江、南流江、九洲江等流域综合治理，鼓励施行生态养殖和清洁生产，从源头控制生产、生活污水排放。推行湾长制，协同推进近岸海域污染治理，实施蓝色海湾整治行动和北部湾入海河流综合治理工程，严格控制水产养殖污染、港口码头船舶污染、采沙污染</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853" w:type="pct"/>
            <w:vAlign w:val="center"/>
          </w:tcPr>
          <w:p w14:paraId="11F9D947">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项目实行雨污分流，废水在厂区处理达标后排入市政污水管网，输送至钦州胜科水务有限公司污水处理厂进一步处理。</w:t>
            </w:r>
          </w:p>
        </w:tc>
        <w:tc>
          <w:tcPr>
            <w:tcW w:w="248" w:type="pct"/>
            <w:vAlign w:val="center"/>
          </w:tcPr>
          <w:p w14:paraId="3911284C">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5370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1E1EBF5A">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555" w:type="pct"/>
            <w:vAlign w:val="center"/>
          </w:tcPr>
          <w:p w14:paraId="1C9FB292">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2．</w:t>
            </w:r>
            <w:r>
              <w:rPr>
                <w:rFonts w:hint="eastAsia"/>
                <w:snapToGrid w:val="0"/>
                <w:color w:val="0D0D0D" w:themeColor="text1" w:themeTint="F2"/>
                <w:kern w:val="0"/>
                <w:sz w:val="21"/>
                <w:szCs w:val="21"/>
                <w14:textFill>
                  <w14:solidFill>
                    <w14:schemeClr w14:val="tx1">
                      <w14:lumMod w14:val="95000"/>
                      <w14:lumOff w14:val="5000"/>
                    </w14:schemeClr>
                  </w14:solidFill>
                </w14:textFill>
              </w:rPr>
              <w:t>围绕建设蓝色海湾城市群，深入推进北钦防生态环境基础设施一体化，统筹推进北钦防三市生态环境齐保共治。加强港口码头环境保护基础设施建设，重点加强有色矿产、硫磺、煤等堆场配套环保设施建设。建立生态环境联防联治平台和机制，推动建立北部湾城市群跨行政区生态环境保护和生态补偿机制</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853" w:type="pct"/>
            <w:vAlign w:val="center"/>
          </w:tcPr>
          <w:p w14:paraId="35923A78">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48" w:type="pct"/>
            <w:vAlign w:val="center"/>
          </w:tcPr>
          <w:p w14:paraId="45D9E69C">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24DEF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67AE2219">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555" w:type="pct"/>
            <w:vAlign w:val="center"/>
          </w:tcPr>
          <w:p w14:paraId="1E5EFD1D">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3</w:t>
            </w:r>
            <w:r>
              <w:rPr>
                <w:snapToGrid w:val="0"/>
                <w:color w:val="0D0D0D" w:themeColor="text1" w:themeTint="F2"/>
                <w:kern w:val="0"/>
                <w:sz w:val="21"/>
                <w:szCs w:val="21"/>
                <w14:textFill>
                  <w14:solidFill>
                    <w14:schemeClr w14:val="tx1">
                      <w14:lumMod w14:val="95000"/>
                      <w14:lumOff w14:val="5000"/>
                    </w14:schemeClr>
                  </w14:solidFill>
                </w14:textFill>
              </w:rPr>
              <w:t>．</w:t>
            </w:r>
            <w:r>
              <w:rPr>
                <w:rFonts w:hint="eastAsia"/>
                <w:snapToGrid w:val="0"/>
                <w:color w:val="0D0D0D" w:themeColor="text1" w:themeTint="F2"/>
                <w:kern w:val="0"/>
                <w:sz w:val="21"/>
                <w:szCs w:val="21"/>
                <w14:textFill>
                  <w14:solidFill>
                    <w14:schemeClr w14:val="tx1">
                      <w14:lumMod w14:val="95000"/>
                      <w14:lumOff w14:val="5000"/>
                    </w14:schemeClr>
                  </w14:solidFill>
                </w14:textFill>
              </w:rPr>
              <w:t>推进区域大气污染联防联控。共同开展重点行业污染整治和重污染天气联合应对，加强挥发性有机化合物（VOCs）和氮氧化物（NOx）协同控制，协同应对区域多污染物，联合开展空气污染综合治理，改善空气质量。严格城市空气质量达标管理，改善城市环境空气质量，对大气质量改善进度进行监督和考核。</w:t>
            </w:r>
          </w:p>
        </w:tc>
        <w:tc>
          <w:tcPr>
            <w:tcW w:w="1853" w:type="pct"/>
            <w:vAlign w:val="center"/>
          </w:tcPr>
          <w:p w14:paraId="3D2107D2">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48" w:type="pct"/>
            <w:vAlign w:val="center"/>
          </w:tcPr>
          <w:p w14:paraId="3735C54D">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72F0B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24280D1E">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555" w:type="pct"/>
            <w:vAlign w:val="center"/>
          </w:tcPr>
          <w:p w14:paraId="2F8BEAA0">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4．</w:t>
            </w:r>
            <w:r>
              <w:rPr>
                <w:rFonts w:hint="eastAsia"/>
                <w:snapToGrid w:val="0"/>
                <w:color w:val="0D0D0D" w:themeColor="text1" w:themeTint="F2"/>
                <w:kern w:val="0"/>
                <w:sz w:val="21"/>
                <w:szCs w:val="21"/>
                <w14:textFill>
                  <w14:solidFill>
                    <w14:schemeClr w14:val="tx1">
                      <w14:lumMod w14:val="95000"/>
                      <w14:lumOff w14:val="5000"/>
                    </w14:schemeClr>
                  </w14:solidFill>
                </w14:textFill>
              </w:rPr>
              <w:t>严格控制“两高”行业项目布局和建设，提升“两高”行业清洁生产和减污降碳水平。以碳达峰、碳中和愿景为导向，推动产业转型升级、能源结构优化。开展碳排放权、排污权交易试点。重点管控行业建设项目无主要污染物排放指标来源的，应提出有效的区域削减方案，确保项目投产后区域环境质量不恶化</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853" w:type="pct"/>
            <w:vAlign w:val="center"/>
          </w:tcPr>
          <w:p w14:paraId="25B4D4D8">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48" w:type="pct"/>
            <w:vAlign w:val="center"/>
          </w:tcPr>
          <w:p w14:paraId="25561858">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5CCE9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452CB8D4">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555" w:type="pct"/>
            <w:vAlign w:val="center"/>
          </w:tcPr>
          <w:p w14:paraId="5FBB8251">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5</w:t>
            </w:r>
            <w:r>
              <w:rPr>
                <w:snapToGrid w:val="0"/>
                <w:color w:val="0D0D0D" w:themeColor="text1" w:themeTint="F2"/>
                <w:kern w:val="0"/>
                <w:sz w:val="21"/>
                <w:szCs w:val="21"/>
                <w14:textFill>
                  <w14:solidFill>
                    <w14:schemeClr w14:val="tx1">
                      <w14:lumMod w14:val="95000"/>
                      <w14:lumOff w14:val="5000"/>
                    </w14:schemeClr>
                  </w14:solidFill>
                </w14:textFill>
              </w:rPr>
              <w:t>．</w:t>
            </w:r>
            <w:r>
              <w:rPr>
                <w:rFonts w:hint="eastAsia"/>
                <w:snapToGrid w:val="0"/>
                <w:color w:val="0D0D0D" w:themeColor="text1" w:themeTint="F2"/>
                <w:kern w:val="0"/>
                <w:sz w:val="21"/>
                <w:szCs w:val="21"/>
                <w14:textFill>
                  <w14:solidFill>
                    <w14:schemeClr w14:val="tx1">
                      <w14:lumMod w14:val="95000"/>
                      <w14:lumOff w14:val="5000"/>
                    </w14:schemeClr>
                  </w14:solidFill>
                </w14:textFill>
              </w:rPr>
              <w:t>以平陆运河、北部湾港为重点，加强船舶和港口污染防治，加快淘汰老旧船舶，鼓励引导高能耗船舶技术改造升级和提前退出。推动新能源、清洁能源动力船舶应用，加快港口供电设施建设，提高船舶岸电设施使用率</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853" w:type="pct"/>
            <w:vAlign w:val="center"/>
          </w:tcPr>
          <w:p w14:paraId="37834D72">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48" w:type="pct"/>
            <w:vAlign w:val="center"/>
          </w:tcPr>
          <w:p w14:paraId="433ED718">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06A5F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2D7A9439">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555" w:type="pct"/>
            <w:vAlign w:val="center"/>
          </w:tcPr>
          <w:p w14:paraId="529528EB">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6</w:t>
            </w:r>
            <w:r>
              <w:rPr>
                <w:snapToGrid w:val="0"/>
                <w:color w:val="0D0D0D" w:themeColor="text1" w:themeTint="F2"/>
                <w:kern w:val="0"/>
                <w:sz w:val="21"/>
                <w:szCs w:val="21"/>
                <w14:textFill>
                  <w14:solidFill>
                    <w14:schemeClr w14:val="tx1">
                      <w14:lumMod w14:val="95000"/>
                      <w14:lumOff w14:val="5000"/>
                    </w14:schemeClr>
                  </w14:solidFill>
                </w14:textFill>
              </w:rPr>
              <w:t>．</w:t>
            </w:r>
            <w:r>
              <w:rPr>
                <w:rFonts w:hint="eastAsia"/>
                <w:snapToGrid w:val="0"/>
                <w:color w:val="0D0D0D" w:themeColor="text1" w:themeTint="F2"/>
                <w:kern w:val="0"/>
                <w:sz w:val="21"/>
                <w:szCs w:val="21"/>
                <w14:textFill>
                  <w14:solidFill>
                    <w14:schemeClr w14:val="tx1">
                      <w14:lumMod w14:val="95000"/>
                      <w14:lumOff w14:val="5000"/>
                    </w14:schemeClr>
                  </w14:solidFill>
                </w14:textFill>
              </w:rPr>
              <w:t>平陆运河沿线城市实施生活污水集中处理设施能力提升全覆盖工程，开展城市污水处理设施差别化精准提标改造</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853" w:type="pct"/>
            <w:vAlign w:val="center"/>
          </w:tcPr>
          <w:p w14:paraId="3F4FB3E3">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48" w:type="pct"/>
            <w:vAlign w:val="center"/>
          </w:tcPr>
          <w:p w14:paraId="6FB4D03F">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60F3A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restart"/>
            <w:vAlign w:val="center"/>
          </w:tcPr>
          <w:p w14:paraId="39523A6D">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环境风险防控</w:t>
            </w:r>
          </w:p>
        </w:tc>
        <w:tc>
          <w:tcPr>
            <w:tcW w:w="2555" w:type="pct"/>
            <w:vAlign w:val="center"/>
          </w:tcPr>
          <w:p w14:paraId="229842CA">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1．</w:t>
            </w:r>
            <w:r>
              <w:rPr>
                <w:rFonts w:hint="eastAsia"/>
                <w:snapToGrid w:val="0"/>
                <w:color w:val="0D0D0D" w:themeColor="text1" w:themeTint="F2"/>
                <w:kern w:val="0"/>
                <w:sz w:val="21"/>
                <w:szCs w:val="21"/>
                <w14:textFill>
                  <w14:solidFill>
                    <w14:schemeClr w14:val="tx1">
                      <w14:lumMod w14:val="95000"/>
                      <w14:lumOff w14:val="5000"/>
                    </w14:schemeClr>
                  </w14:solidFill>
                </w14:textFill>
              </w:rPr>
              <w:t>强化沿海工业园区和沿海石油、石化、化工、冶炼及危化品储运等企业的环境风险防控</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853" w:type="pct"/>
            <w:vAlign w:val="center"/>
          </w:tcPr>
          <w:p w14:paraId="4646F508">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项目运营期间落实各项风险防控措施后，环境风险影响较小。</w:t>
            </w:r>
          </w:p>
        </w:tc>
        <w:tc>
          <w:tcPr>
            <w:tcW w:w="248" w:type="pct"/>
            <w:vAlign w:val="center"/>
          </w:tcPr>
          <w:p w14:paraId="2B330FD8">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60D1C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6D82D85E">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555" w:type="pct"/>
            <w:vAlign w:val="center"/>
          </w:tcPr>
          <w:p w14:paraId="4FB37300">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2．</w:t>
            </w:r>
            <w:r>
              <w:rPr>
                <w:rFonts w:hint="eastAsia"/>
                <w:snapToGrid w:val="0"/>
                <w:color w:val="0D0D0D" w:themeColor="text1" w:themeTint="F2"/>
                <w:kern w:val="0"/>
                <w:sz w:val="21"/>
                <w:szCs w:val="21"/>
                <w14:textFill>
                  <w14:solidFill>
                    <w14:schemeClr w14:val="tx1">
                      <w14:lumMod w14:val="95000"/>
                      <w14:lumOff w14:val="5000"/>
                    </w14:schemeClr>
                  </w14:solidFill>
                </w14:textFill>
              </w:rPr>
              <w:t>建立和完善海上溢油、危险化学品泄漏、赤潮应急反应预案，提升应对海洋突发环境事件能力，防范海上溢油、危险化学品泄漏等重大环境风险。加强海洋环境监测，实施海洋环境预警预报工程</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853" w:type="pct"/>
            <w:vAlign w:val="center"/>
          </w:tcPr>
          <w:p w14:paraId="324FB3B9">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项目运营期间落实各项风险防控措施后，环境风险影响较小。</w:t>
            </w:r>
          </w:p>
        </w:tc>
        <w:tc>
          <w:tcPr>
            <w:tcW w:w="248" w:type="pct"/>
            <w:vAlign w:val="center"/>
          </w:tcPr>
          <w:p w14:paraId="36AE8930">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5B943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2969E27F">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555" w:type="pct"/>
            <w:vAlign w:val="center"/>
          </w:tcPr>
          <w:p w14:paraId="5E22FBAD">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3．</w:t>
            </w:r>
            <w:r>
              <w:rPr>
                <w:rFonts w:hint="eastAsia"/>
                <w:snapToGrid w:val="0"/>
                <w:color w:val="0D0D0D" w:themeColor="text1" w:themeTint="F2"/>
                <w:kern w:val="0"/>
                <w:sz w:val="21"/>
                <w:szCs w:val="21"/>
                <w14:textFill>
                  <w14:solidFill>
                    <w14:schemeClr w14:val="tx1">
                      <w14:lumMod w14:val="95000"/>
                      <w14:lumOff w14:val="5000"/>
                    </w14:schemeClr>
                  </w14:solidFill>
                </w14:textFill>
              </w:rPr>
              <w:t>实行严格的核污染监控管理，提升核安全治理能力，提高核设施安全水平，降低核安全风险，推进放射性污染防治，确保辐射环境质量保持良好，强化核辐射安全监管体系，消除核安全隐患</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853" w:type="pct"/>
            <w:vAlign w:val="center"/>
          </w:tcPr>
          <w:p w14:paraId="7F1DF802">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48" w:type="pct"/>
            <w:vAlign w:val="center"/>
          </w:tcPr>
          <w:p w14:paraId="3BC04E9A">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56672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restart"/>
            <w:vAlign w:val="center"/>
          </w:tcPr>
          <w:p w14:paraId="6BA489D7">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资源开发利用效率要求</w:t>
            </w:r>
          </w:p>
        </w:tc>
        <w:tc>
          <w:tcPr>
            <w:tcW w:w="2555" w:type="pct"/>
            <w:vAlign w:val="center"/>
          </w:tcPr>
          <w:p w14:paraId="2248E21C">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1．严格执行能耗“双控”，新建项目能源利用效率应达到国内先进水平。</w:t>
            </w:r>
          </w:p>
        </w:tc>
        <w:tc>
          <w:tcPr>
            <w:tcW w:w="1853" w:type="pct"/>
            <w:vAlign w:val="center"/>
          </w:tcPr>
          <w:p w14:paraId="61172051">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项目运行后将按要求严格执行能耗“双控”，提高能源利用效率。</w:t>
            </w:r>
          </w:p>
        </w:tc>
        <w:tc>
          <w:tcPr>
            <w:tcW w:w="248" w:type="pct"/>
            <w:vAlign w:val="center"/>
          </w:tcPr>
          <w:p w14:paraId="4F3F9C97">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2FAA4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2C9F641F">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555" w:type="pct"/>
            <w:vAlign w:val="center"/>
          </w:tcPr>
          <w:p w14:paraId="79D0D0DA">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2．</w:t>
            </w:r>
            <w:r>
              <w:rPr>
                <w:rFonts w:hint="eastAsia"/>
                <w:snapToGrid w:val="0"/>
                <w:color w:val="0D0D0D" w:themeColor="text1" w:themeTint="F2"/>
                <w:kern w:val="0"/>
                <w:sz w:val="21"/>
                <w:szCs w:val="21"/>
                <w14:textFill>
                  <w14:solidFill>
                    <w14:schemeClr w14:val="tx1">
                      <w14:lumMod w14:val="95000"/>
                      <w14:lumOff w14:val="5000"/>
                    </w14:schemeClr>
                  </w14:solidFill>
                </w14:textFill>
              </w:rPr>
              <w:t>实施水资源消耗总量和强度“双控”</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853" w:type="pct"/>
            <w:vAlign w:val="center"/>
          </w:tcPr>
          <w:p w14:paraId="5AE921FF">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项目用水未超过区域水资源上限。</w:t>
            </w:r>
          </w:p>
        </w:tc>
        <w:tc>
          <w:tcPr>
            <w:tcW w:w="248" w:type="pct"/>
            <w:vAlign w:val="center"/>
          </w:tcPr>
          <w:p w14:paraId="3CCA1592">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bl>
    <w:p w14:paraId="0AE5D63E">
      <w:pPr>
        <w:pStyle w:val="2"/>
        <w:ind w:firstLine="240"/>
      </w:pPr>
      <w:r>
        <w:br w:type="page"/>
      </w:r>
    </w:p>
    <w:p w14:paraId="14F97F70">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（6）与《钦州市生态环境局关于印发&lt;钦州市生态环境分区管控动态更新成果（2023版）&gt;的通知》相符性分析</w:t>
      </w:r>
    </w:p>
    <w:p w14:paraId="25EBAB4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钦州市生态环境局关于印发&lt;钦州市生态环境分区管控动态更新成果（2023版）&gt;的通知》，项目与钦州市生态环境准入及管控要求、广西钦州石化产业园重点管控单元准入要求、钦州港经济技术开发区重点管控单元准入要求相符性分析详见表2.7-9。</w:t>
      </w:r>
    </w:p>
    <w:p w14:paraId="629E21FC">
      <w:pPr>
        <w:pStyle w:val="11"/>
      </w:pPr>
      <w:r>
        <w:rPr>
          <w:rFonts w:hint="eastAsia"/>
        </w:rPr>
        <w:t xml:space="preserve"> 与钦州市生态环境分区管控动态更新成果（2023版）分析</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5096"/>
        <w:gridCol w:w="3026"/>
        <w:gridCol w:w="460"/>
      </w:tblGrid>
      <w:tr w14:paraId="12AC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114" w:type="pct"/>
            <w:gridSpan w:val="2"/>
            <w:vAlign w:val="center"/>
          </w:tcPr>
          <w:p w14:paraId="08D32AA0">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生态环境准入清单要求</w:t>
            </w:r>
          </w:p>
        </w:tc>
        <w:tc>
          <w:tcPr>
            <w:tcW w:w="1637" w:type="pct"/>
            <w:vAlign w:val="center"/>
          </w:tcPr>
          <w:p w14:paraId="2816E543">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项目情况</w:t>
            </w:r>
          </w:p>
        </w:tc>
        <w:tc>
          <w:tcPr>
            <w:tcW w:w="250" w:type="pct"/>
            <w:vAlign w:val="center"/>
          </w:tcPr>
          <w:p w14:paraId="11660A78">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结论</w:t>
            </w:r>
          </w:p>
        </w:tc>
      </w:tr>
      <w:tr w14:paraId="6DBCE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vAlign w:val="center"/>
          </w:tcPr>
          <w:p w14:paraId="54C03BA4">
            <w:pPr>
              <w:adjustRightInd w:val="0"/>
              <w:snapToGrid w:val="0"/>
              <w:spacing w:line="240" w:lineRule="auto"/>
              <w:jc w:val="center"/>
              <w:rPr>
                <w:b/>
                <w:bCs/>
                <w:snapToGrid w:val="0"/>
                <w:color w:val="0D0D0D" w:themeColor="text1" w:themeTint="F2"/>
                <w:kern w:val="0"/>
                <w:sz w:val="21"/>
                <w:szCs w:val="21"/>
                <w14:textFill>
                  <w14:solidFill>
                    <w14:schemeClr w14:val="tx1">
                      <w14:lumMod w14:val="95000"/>
                      <w14:lumOff w14:val="5000"/>
                    </w14:schemeClr>
                  </w14:solidFill>
                </w14:textFill>
              </w:rPr>
            </w:pPr>
            <w:r>
              <w:rPr>
                <w:rFonts w:hint="eastAsia"/>
                <w:b/>
                <w:bCs/>
                <w:snapToGrid w:val="0"/>
                <w:color w:val="0D0D0D" w:themeColor="text1" w:themeTint="F2"/>
                <w:kern w:val="0"/>
                <w:sz w:val="21"/>
                <w:szCs w:val="21"/>
                <w14:textFill>
                  <w14:solidFill>
                    <w14:schemeClr w14:val="tx1">
                      <w14:lumMod w14:val="95000"/>
                      <w14:lumOff w14:val="5000"/>
                    </w14:schemeClr>
                  </w14:solidFill>
                </w14:textFill>
              </w:rPr>
              <w:t>钦州市生态环境准入及管控要求</w:t>
            </w:r>
          </w:p>
        </w:tc>
      </w:tr>
      <w:tr w14:paraId="26958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restart"/>
            <w:vAlign w:val="center"/>
          </w:tcPr>
          <w:p w14:paraId="769AFDA0">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空间布局约束</w:t>
            </w:r>
          </w:p>
        </w:tc>
        <w:tc>
          <w:tcPr>
            <w:tcW w:w="2757" w:type="pct"/>
            <w:vAlign w:val="center"/>
          </w:tcPr>
          <w:p w14:paraId="3300C881">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1．自然保护地、水源保护区、公益林、天然林等具有法律地位，有管理条例、规定、办法的各类保护地，其管控要求原则上按照各类保护地的现行规定进行管理，重叠区域以最严格的要求进行管理。纳入生态保护红线管理的各类自然保护地，还应执行国家、自治区有关生态保护红线内各类开发活动的准入及管控规定和要求。</w:t>
            </w:r>
          </w:p>
        </w:tc>
        <w:tc>
          <w:tcPr>
            <w:tcW w:w="1637" w:type="pct"/>
            <w:vAlign w:val="center"/>
          </w:tcPr>
          <w:p w14:paraId="4018CD90">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项目不涉及生态保护红线、自然保护地等各类保护区域。</w:t>
            </w:r>
          </w:p>
        </w:tc>
        <w:tc>
          <w:tcPr>
            <w:tcW w:w="250" w:type="pct"/>
            <w:vAlign w:val="center"/>
          </w:tcPr>
          <w:p w14:paraId="1292D8D8">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2EC2E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5263D461">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5AD760A2">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2．红树林依据《广西壮族自治区红树林资源保护条例》进行管理。开展红树林修复要依法依规进行，并符合红树林资源保护规划等相关要求。</w:t>
            </w:r>
          </w:p>
        </w:tc>
        <w:tc>
          <w:tcPr>
            <w:tcW w:w="1637" w:type="pct"/>
            <w:vAlign w:val="center"/>
          </w:tcPr>
          <w:p w14:paraId="13A30710">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项目不涉及红树林。</w:t>
            </w:r>
          </w:p>
        </w:tc>
        <w:tc>
          <w:tcPr>
            <w:tcW w:w="250" w:type="pct"/>
            <w:vAlign w:val="center"/>
          </w:tcPr>
          <w:p w14:paraId="7052ACFA">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6E7ED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07202872">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77BC584E">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3．</w:t>
            </w:r>
            <w:r>
              <w:rPr>
                <w:rFonts w:hint="eastAsia"/>
                <w:snapToGrid w:val="0"/>
                <w:color w:val="0D0D0D" w:themeColor="text1" w:themeTint="F2"/>
                <w:kern w:val="0"/>
                <w:sz w:val="21"/>
                <w:szCs w:val="21"/>
                <w14:textFill>
                  <w14:solidFill>
                    <w14:schemeClr w14:val="tx1">
                      <w14:lumMod w14:val="95000"/>
                      <w14:lumOff w14:val="5000"/>
                    </w14:schemeClr>
                  </w14:solidFill>
                </w14:textFill>
              </w:rPr>
              <w:t>重要湿地依据《中华人民共和国湿地保护法》《国家湿地公园管理办法》《广西壮族自治区湿地保护条例》进行管理</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637" w:type="pct"/>
            <w:vAlign w:val="center"/>
          </w:tcPr>
          <w:p w14:paraId="0F949FB3">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项目不涉及湿地。</w:t>
            </w:r>
          </w:p>
        </w:tc>
        <w:tc>
          <w:tcPr>
            <w:tcW w:w="250" w:type="pct"/>
            <w:vAlign w:val="center"/>
          </w:tcPr>
          <w:p w14:paraId="53BF5724">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454BF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1297C843">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63EA7819">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4．</w:t>
            </w:r>
            <w:r>
              <w:rPr>
                <w:rFonts w:hint="eastAsia"/>
                <w:snapToGrid w:val="0"/>
                <w:color w:val="0D0D0D" w:themeColor="text1" w:themeTint="F2"/>
                <w:kern w:val="0"/>
                <w:sz w:val="21"/>
                <w:szCs w:val="21"/>
                <w14:textFill>
                  <w14:solidFill>
                    <w14:schemeClr w14:val="tx1">
                      <w14:lumMod w14:val="95000"/>
                      <w14:lumOff w14:val="5000"/>
                    </w14:schemeClr>
                  </w14:solidFill>
                </w14:textFill>
              </w:rPr>
              <w:t>禁止城镇和工业发展占用自然保护区、湿地保护区及生态环境极为敏感地区，对已有的工业企业逐步搬迁，减缓城镇空间和生态空间叠加布局对生态空间的破坏和侵占程度。禁止在水源保护区、湿地、永久基本农田、陡坡区、地质灾害高易发区等地区建设和开发，严格限制自然保护区和湿地保护核心区人类活动；严格限制“两高”产业在十万大山、五皇山、六万大山、茅尾海等生物多样性保护区及水源涵养区等重点生态功能区的布局，鼓励发展生态保护型旅游业、生态农业，统筹推进特色农业和旅游业融合发展</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637" w:type="pct"/>
            <w:vAlign w:val="center"/>
          </w:tcPr>
          <w:p w14:paraId="350E350B">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项目不涉及生态环境敏感地区，不属于“两高”项目。</w:t>
            </w:r>
          </w:p>
        </w:tc>
        <w:tc>
          <w:tcPr>
            <w:tcW w:w="250" w:type="pct"/>
            <w:vAlign w:val="center"/>
          </w:tcPr>
          <w:p w14:paraId="7D15B84A">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77912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0D95CB5D">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46A778AA">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5．</w:t>
            </w:r>
            <w:r>
              <w:rPr>
                <w:rFonts w:hint="eastAsia"/>
                <w:snapToGrid w:val="0"/>
                <w:color w:val="0D0D0D" w:themeColor="text1" w:themeTint="F2"/>
                <w:kern w:val="0"/>
                <w:sz w:val="21"/>
                <w:szCs w:val="21"/>
                <w14:textFill>
                  <w14:solidFill>
                    <w14:schemeClr w14:val="tx1">
                      <w14:lumMod w14:val="95000"/>
                      <w14:lumOff w14:val="5000"/>
                    </w14:schemeClr>
                  </w14:solidFill>
                </w14:textFill>
              </w:rPr>
              <w:t>以供给侧结构性改革为导向，坚持培育新增产能与淘汰落后产能相结合，严格审批，防止新增落后产能。严格控制“两高”和产能过剩行业新上项目，遏制高耗能产业无序发展和低水平扩张</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637" w:type="pct"/>
            <w:vAlign w:val="center"/>
          </w:tcPr>
          <w:p w14:paraId="21CCEF58">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项目不属于“两高”和产能过剩行业。</w:t>
            </w:r>
          </w:p>
        </w:tc>
        <w:tc>
          <w:tcPr>
            <w:tcW w:w="250" w:type="pct"/>
            <w:vAlign w:val="center"/>
          </w:tcPr>
          <w:p w14:paraId="4E06D7C9">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599C1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174007BB">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0E754636">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6．</w:t>
            </w:r>
            <w:r>
              <w:rPr>
                <w:rFonts w:hint="eastAsia"/>
                <w:snapToGrid w:val="0"/>
                <w:color w:val="0D0D0D" w:themeColor="text1" w:themeTint="F2"/>
                <w:kern w:val="0"/>
                <w:sz w:val="21"/>
                <w:szCs w:val="21"/>
                <w14:textFill>
                  <w14:solidFill>
                    <w14:schemeClr w14:val="tx1">
                      <w14:lumMod w14:val="95000"/>
                      <w14:lumOff w14:val="5000"/>
                    </w14:schemeClr>
                  </w14:solidFill>
                </w14:textFill>
              </w:rPr>
              <w:t>全市产业准入执行《广西壮族自治区人民政府办公厅关于印发北钦防一体化产业协同发展限制布局清单（工业类2021年版）的通知》（桂政办函〔2021〕4号）要求，限制布局炼铁、炼钢、铝冶炼、平板玻璃制造</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637" w:type="pct"/>
            <w:vAlign w:val="center"/>
          </w:tcPr>
          <w:p w14:paraId="44133EB6">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项目不属于炼铁、炼钢、铝冶炼、平板玻璃制造项目。</w:t>
            </w:r>
          </w:p>
        </w:tc>
        <w:tc>
          <w:tcPr>
            <w:tcW w:w="250" w:type="pct"/>
            <w:vAlign w:val="center"/>
          </w:tcPr>
          <w:p w14:paraId="3159B5B1">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3FB9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554B9847">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501DABF7">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7．</w:t>
            </w:r>
            <w:r>
              <w:rPr>
                <w:rFonts w:hint="eastAsia"/>
                <w:snapToGrid w:val="0"/>
                <w:color w:val="0D0D0D" w:themeColor="text1" w:themeTint="F2"/>
                <w:kern w:val="0"/>
                <w:sz w:val="21"/>
                <w:szCs w:val="21"/>
                <w14:textFill>
                  <w14:solidFill>
                    <w14:schemeClr w14:val="tx1">
                      <w14:lumMod w14:val="95000"/>
                      <w14:lumOff w14:val="5000"/>
                    </w14:schemeClr>
                  </w14:solidFill>
                </w14:textFill>
              </w:rPr>
              <w:t>新建、扩建的石化、化工、焦化项目应按照《关于加强高耗能、高排放建设项目生态环境源头防控的指导意见》布设在依法合规设立并经规划环评的产业园区</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637" w:type="pct"/>
            <w:vAlign w:val="center"/>
          </w:tcPr>
          <w:p w14:paraId="1D5B0A35">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项目选址位于工业园区。</w:t>
            </w:r>
          </w:p>
        </w:tc>
        <w:tc>
          <w:tcPr>
            <w:tcW w:w="250" w:type="pct"/>
            <w:vAlign w:val="center"/>
          </w:tcPr>
          <w:p w14:paraId="48A3672C">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5E7CE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5ADD3F5B">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74D45D0C">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8．禁止违法占用、损害自然岸线。海洋开发和海岸开发各类活动，大陆自然岸线保有率标准不低于35%、无居民海岛岸线长度保有率标准不低于85%。</w:t>
            </w:r>
          </w:p>
        </w:tc>
        <w:tc>
          <w:tcPr>
            <w:tcW w:w="1637" w:type="pct"/>
            <w:vAlign w:val="center"/>
          </w:tcPr>
          <w:p w14:paraId="12029125">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50" w:type="pct"/>
            <w:vAlign w:val="center"/>
          </w:tcPr>
          <w:p w14:paraId="0786EE9E">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2BB10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782C2B72">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518BB67D">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9．推进海域资源市场化配置，严控新增围填海造地，完善围填海总量管控，除国家重大战略项目外，全面停止新增围填海项目审批，全面清理非法占用海洋生态保护红线区域的围填海项目。</w:t>
            </w:r>
          </w:p>
        </w:tc>
        <w:tc>
          <w:tcPr>
            <w:tcW w:w="1637" w:type="pct"/>
            <w:vAlign w:val="center"/>
          </w:tcPr>
          <w:p w14:paraId="77E4BFD6">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50" w:type="pct"/>
            <w:vAlign w:val="center"/>
          </w:tcPr>
          <w:p w14:paraId="1DA05A33">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7619A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57" w:type="pct"/>
            <w:vMerge w:val="continue"/>
            <w:vAlign w:val="center"/>
          </w:tcPr>
          <w:p w14:paraId="41891DA8">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44438FB8">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10．科学论证在三娘湾海洋保护区、茅尾海中部海洋保护区及周边区域的开发利用活动，严格落实保护区管理要求。</w:t>
            </w:r>
          </w:p>
        </w:tc>
        <w:tc>
          <w:tcPr>
            <w:tcW w:w="1637" w:type="pct"/>
            <w:vAlign w:val="center"/>
          </w:tcPr>
          <w:p w14:paraId="6EED6FF1">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50" w:type="pct"/>
            <w:vAlign w:val="center"/>
          </w:tcPr>
          <w:p w14:paraId="25EC522F">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01BE3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57" w:type="pct"/>
            <w:vMerge w:val="continue"/>
            <w:vAlign w:val="center"/>
          </w:tcPr>
          <w:p w14:paraId="5080ADE3">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739BCEAE">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11．严格按照相关法律法规及国土空间规划等要求，规范设置和监管入海排污口。禁止采挖海砂、设置直排排污口及其他破坏河口生态功能的开发活动。</w:t>
            </w:r>
          </w:p>
        </w:tc>
        <w:tc>
          <w:tcPr>
            <w:tcW w:w="1637" w:type="pct"/>
            <w:vAlign w:val="center"/>
          </w:tcPr>
          <w:p w14:paraId="3B54D4A9">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50" w:type="pct"/>
            <w:vAlign w:val="center"/>
          </w:tcPr>
          <w:p w14:paraId="406F1D27">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05D9D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7A88A648">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67601B6E">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12．严禁圈占沙滩和红树林，禁止红树林海岸带内陆采石等破坏性活动。对红树林、海草床、滨海湿地等重要海洋生态系统实行最严格的保护措施，加强珍稀濒危物种及重要海洋生态系统的生境保护，加大滨海湿地的保护和修复力度。禁止红树林海岸带内陆采石等破坏性活动。禁止毁坏海岸防护设施、沿海防护林、沿海城镇园林和绿地。</w:t>
            </w:r>
          </w:p>
        </w:tc>
        <w:tc>
          <w:tcPr>
            <w:tcW w:w="1637" w:type="pct"/>
            <w:vAlign w:val="center"/>
          </w:tcPr>
          <w:p w14:paraId="6D0944DE">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50" w:type="pct"/>
            <w:vAlign w:val="center"/>
          </w:tcPr>
          <w:p w14:paraId="17A3E6CC">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688D1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10ADF222">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7C2EBAC5">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13．严格用途管制，坚持陆海统筹，严禁国家产业政策淘汰类、限制类项目在滨海湿地布局，实现山水林田湖草整体保护、系统修复、综合治理。</w:t>
            </w:r>
          </w:p>
        </w:tc>
        <w:tc>
          <w:tcPr>
            <w:tcW w:w="1637" w:type="pct"/>
            <w:vAlign w:val="center"/>
          </w:tcPr>
          <w:p w14:paraId="27C00F27">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50" w:type="pct"/>
            <w:vAlign w:val="center"/>
          </w:tcPr>
          <w:p w14:paraId="0E12211D">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1B7D3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07969322">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36973A19">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14．禁止在氮磷浓度严重超标的近岸海域新增或者扩大投饵、投肥海水养殖规模。</w:t>
            </w:r>
          </w:p>
        </w:tc>
        <w:tc>
          <w:tcPr>
            <w:tcW w:w="1637" w:type="pct"/>
            <w:vAlign w:val="center"/>
          </w:tcPr>
          <w:p w14:paraId="629C9424">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50" w:type="pct"/>
            <w:vAlign w:val="center"/>
          </w:tcPr>
          <w:p w14:paraId="2BEC18B9">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68EBA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2EA9B492">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3F810D32">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15．平陆运河沿线两岸原则上预留1公里作为生态廊道构建用地，将平陆运河沿线建设成为维护当地自然与文化特色的区域生物廊道、生境走廊、休闲绿道、风景廊道和绿色运河经济带等。</w:t>
            </w:r>
          </w:p>
        </w:tc>
        <w:tc>
          <w:tcPr>
            <w:tcW w:w="1637" w:type="pct"/>
            <w:vAlign w:val="center"/>
          </w:tcPr>
          <w:p w14:paraId="54E40DEE">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50" w:type="pct"/>
            <w:vAlign w:val="center"/>
          </w:tcPr>
          <w:p w14:paraId="4BF74A56">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55E22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3484804F">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5A3B1962">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16．禁止平陆运河建设违规占用环评批复范围之外的红树林，严格落实红树林生态恢复和管护要求。</w:t>
            </w:r>
          </w:p>
        </w:tc>
        <w:tc>
          <w:tcPr>
            <w:tcW w:w="1637" w:type="pct"/>
            <w:vAlign w:val="center"/>
          </w:tcPr>
          <w:p w14:paraId="2849B7C5">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50" w:type="pct"/>
            <w:vAlign w:val="center"/>
          </w:tcPr>
          <w:p w14:paraId="2F1BBB03">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4C117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614A8057">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022A7AAD">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17．除上述空间布局约束外，还应遵循国土空间规划管控要求。</w:t>
            </w:r>
          </w:p>
        </w:tc>
        <w:tc>
          <w:tcPr>
            <w:tcW w:w="1637" w:type="pct"/>
            <w:vAlign w:val="center"/>
          </w:tcPr>
          <w:p w14:paraId="32B0F5FF">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项目符合国土空间规划要求。</w:t>
            </w:r>
          </w:p>
        </w:tc>
        <w:tc>
          <w:tcPr>
            <w:tcW w:w="250" w:type="pct"/>
            <w:vAlign w:val="center"/>
          </w:tcPr>
          <w:p w14:paraId="49DA057D">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4263C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restart"/>
            <w:vAlign w:val="center"/>
          </w:tcPr>
          <w:p w14:paraId="5469A174">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污染物排放管控</w:t>
            </w:r>
          </w:p>
        </w:tc>
        <w:tc>
          <w:tcPr>
            <w:tcW w:w="2757" w:type="pct"/>
            <w:vAlign w:val="center"/>
          </w:tcPr>
          <w:p w14:paraId="7363BEF9">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1．</w:t>
            </w:r>
            <w:r>
              <w:rPr>
                <w:rFonts w:hint="eastAsia"/>
                <w:snapToGrid w:val="0"/>
                <w:color w:val="0D0D0D" w:themeColor="text1" w:themeTint="F2"/>
                <w:kern w:val="0"/>
                <w:sz w:val="21"/>
                <w:szCs w:val="21"/>
                <w14:textFill>
                  <w14:solidFill>
                    <w14:schemeClr w14:val="tx1">
                      <w14:lumMod w14:val="95000"/>
                      <w14:lumOff w14:val="5000"/>
                    </w14:schemeClr>
                  </w14:solidFill>
                </w14:textFill>
              </w:rPr>
              <w:t>以有色金属、建材、制糖、石化化工、造纸等行业为重点，推进节能改造和污染物深度治理；新建、改建、扩建的制浆造纸、印染、纺织、煤化工、石化、煤电等建设项目新增主要污染物排放应控制在区域总量的要求，确保环境质量达标</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637" w:type="pct"/>
            <w:vAlign w:val="center"/>
          </w:tcPr>
          <w:p w14:paraId="54A23C82">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项目实施清洁生产，新增主要污染物排放控制在区域总量的要求，确保环境质量达标。</w:t>
            </w:r>
          </w:p>
        </w:tc>
        <w:tc>
          <w:tcPr>
            <w:tcW w:w="250" w:type="pct"/>
            <w:vAlign w:val="center"/>
          </w:tcPr>
          <w:p w14:paraId="6EF83059">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788BE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07DB7212">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08B3D20B">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2．</w:t>
            </w:r>
            <w:r>
              <w:rPr>
                <w:rFonts w:hint="eastAsia"/>
                <w:snapToGrid w:val="0"/>
                <w:color w:val="0D0D0D" w:themeColor="text1" w:themeTint="F2"/>
                <w:kern w:val="0"/>
                <w:sz w:val="21"/>
                <w:szCs w:val="21"/>
                <w14:textFill>
                  <w14:solidFill>
                    <w14:schemeClr w14:val="tx1">
                      <w14:lumMod w14:val="95000"/>
                      <w14:lumOff w14:val="5000"/>
                    </w14:schemeClr>
                  </w14:solidFill>
                </w14:textFill>
              </w:rPr>
              <w:t>持续加强工业集聚区污水集中处理设施建设，提高工业企业水循环利用率、污染物预处理能力及污染集中治理能力，补齐基础设施短板，按照“清污分流、雨污分流”原则，实施废水分类收集、分质处理，入园企业在达到国家或地方规定的排放标准后接入园区集中式污水处理设施稳定达标排放；加快推进深海排放基础设施建设</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637" w:type="pct"/>
            <w:vAlign w:val="center"/>
          </w:tcPr>
          <w:p w14:paraId="758D97A1">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项目实行雨污分流，废水在厂区处理达标后排入市政污水管网，输送至钦州胜科水务有限公司污水处理厂进一步处理。</w:t>
            </w:r>
          </w:p>
        </w:tc>
        <w:tc>
          <w:tcPr>
            <w:tcW w:w="250" w:type="pct"/>
            <w:vAlign w:val="center"/>
          </w:tcPr>
          <w:p w14:paraId="53FEFF10">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046CE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294974EE">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02178756">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3</w:t>
            </w:r>
            <w:r>
              <w:rPr>
                <w:snapToGrid w:val="0"/>
                <w:color w:val="0D0D0D" w:themeColor="text1" w:themeTint="F2"/>
                <w:kern w:val="0"/>
                <w:sz w:val="21"/>
                <w:szCs w:val="21"/>
                <w14:textFill>
                  <w14:solidFill>
                    <w14:schemeClr w14:val="tx1">
                      <w14:lumMod w14:val="95000"/>
                      <w14:lumOff w14:val="5000"/>
                    </w14:schemeClr>
                  </w14:solidFill>
                </w14:textFill>
              </w:rPr>
              <w:t>．</w:t>
            </w:r>
            <w:r>
              <w:rPr>
                <w:rFonts w:hint="eastAsia"/>
                <w:snapToGrid w:val="0"/>
                <w:color w:val="0D0D0D" w:themeColor="text1" w:themeTint="F2"/>
                <w:kern w:val="0"/>
                <w:sz w:val="21"/>
                <w:szCs w:val="21"/>
                <w14:textFill>
                  <w14:solidFill>
                    <w14:schemeClr w14:val="tx1">
                      <w14:lumMod w14:val="95000"/>
                      <w14:lumOff w14:val="5000"/>
                    </w14:schemeClr>
                  </w14:solidFill>
                </w14:textFill>
              </w:rPr>
              <w:t>开展陆海统筹流域治理，深化钦江、大风江、茅岭江、南流江等流域水环境综合整治，钦江、南流江流域切实开展截污、拔污、清污、治污专项行动，以“控磷除氮”为重点，抓好养殖、生活、工业、农业面源等污染综合治理和河道生态修复，推进河流入海断面水质持续改善，进一步削减入海河流总氮、总磷等的排海量。全面开展茅尾海、钦州湾等重点海域综合整治。严厉打击非法用海抽砂行为，优化茅尾海等海域养殖规划布局，整治非法养殖。完善钦州港区污水截流及雨污分流、海上水产养殖尾水整治。</w:t>
            </w:r>
          </w:p>
        </w:tc>
        <w:tc>
          <w:tcPr>
            <w:tcW w:w="1637" w:type="pct"/>
            <w:vAlign w:val="center"/>
          </w:tcPr>
          <w:p w14:paraId="5BAF9C8C">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50" w:type="pct"/>
            <w:vAlign w:val="center"/>
          </w:tcPr>
          <w:p w14:paraId="7B158A70">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044C9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617BFE93">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6CE22DC2">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4．</w:t>
            </w:r>
            <w:r>
              <w:rPr>
                <w:rFonts w:hint="eastAsia"/>
                <w:snapToGrid w:val="0"/>
                <w:color w:val="0D0D0D" w:themeColor="text1" w:themeTint="F2"/>
                <w:kern w:val="0"/>
                <w:sz w:val="21"/>
                <w:szCs w:val="21"/>
                <w14:textFill>
                  <w14:solidFill>
                    <w14:schemeClr w14:val="tx1">
                      <w14:lumMod w14:val="95000"/>
                      <w14:lumOff w14:val="5000"/>
                    </w14:schemeClr>
                  </w14:solidFill>
                </w14:textFill>
              </w:rPr>
              <w:t>完善城镇污水处理厂配套管网建设，加强乡镇级污水处理设施及配套管网建设和改造，实施雨污分流改造，持续开展入河排污口整治，强化城镇生活污染源治理，建立健全生活污水收集、处理体系，推进城镇污水处理设施和服务向农村延伸，提高污水收集处理率，污水处理设施应增加脱氮、除磷工序。持续推进市、县级城市黑臭水体整治</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637" w:type="pct"/>
            <w:vAlign w:val="center"/>
          </w:tcPr>
          <w:p w14:paraId="3C025BF2">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50" w:type="pct"/>
            <w:vAlign w:val="center"/>
          </w:tcPr>
          <w:p w14:paraId="418E1F1E">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22969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086FE550">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47BCDE77">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5</w:t>
            </w:r>
            <w:r>
              <w:rPr>
                <w:snapToGrid w:val="0"/>
                <w:color w:val="0D0D0D" w:themeColor="text1" w:themeTint="F2"/>
                <w:kern w:val="0"/>
                <w:sz w:val="21"/>
                <w:szCs w:val="21"/>
                <w14:textFill>
                  <w14:solidFill>
                    <w14:schemeClr w14:val="tx1">
                      <w14:lumMod w14:val="95000"/>
                      <w14:lumOff w14:val="5000"/>
                    </w14:schemeClr>
                  </w14:solidFill>
                </w14:textFill>
              </w:rPr>
              <w:t>．</w:t>
            </w:r>
            <w:r>
              <w:rPr>
                <w:rFonts w:hint="eastAsia"/>
                <w:snapToGrid w:val="0"/>
                <w:color w:val="0D0D0D" w:themeColor="text1" w:themeTint="F2"/>
                <w:kern w:val="0"/>
                <w:sz w:val="21"/>
                <w:szCs w:val="21"/>
                <w14:textFill>
                  <w14:solidFill>
                    <w14:schemeClr w14:val="tx1">
                      <w14:lumMod w14:val="95000"/>
                      <w14:lumOff w14:val="5000"/>
                    </w14:schemeClr>
                  </w14:solidFill>
                </w14:textFill>
              </w:rPr>
              <w:t>加强工业企业无组织废气排放控制，加强挥发性有机物（VOCs）排放企业综合防治，加快高效VOCs收集治理设施建设，大力提升VOCs排放收集率、去除率和治理设施运行率。推进工业涂装、石化、包装印刷、木材加工、汽修等行业和油品储运销的VOCs综合治理</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637" w:type="pct"/>
            <w:vAlign w:val="center"/>
          </w:tcPr>
          <w:p w14:paraId="33AF621C">
            <w:pPr>
              <w:adjustRightInd w:val="0"/>
              <w:snapToGrid w:val="0"/>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snapToGrid w:val="0"/>
                <w:color w:val="0D0D0D" w:themeColor="text1" w:themeTint="F2"/>
                <w:kern w:val="0"/>
                <w:sz w:val="21"/>
                <w:szCs w:val="21"/>
                <w:u w:val="single"/>
                <w14:textFill>
                  <w14:solidFill>
                    <w14:schemeClr w14:val="tx1">
                      <w14:lumMod w14:val="95000"/>
                      <w14:lumOff w14:val="5000"/>
                    </w14:schemeClr>
                  </w14:solidFill>
                </w14:textFill>
              </w:rPr>
              <w:t>项目</w:t>
            </w:r>
            <w:r>
              <w:rPr>
                <w:rFonts w:hint="eastAsia"/>
                <w:color w:val="0D0D0D" w:themeColor="text1" w:themeTint="F2"/>
                <w:sz w:val="21"/>
                <w:szCs w:val="21"/>
                <w:u w:val="single"/>
                <w14:textFill>
                  <w14:solidFill>
                    <w14:schemeClr w14:val="tx1">
                      <w14:lumMod w14:val="95000"/>
                      <w14:lumOff w14:val="5000"/>
                    </w14:schemeClr>
                  </w14:solidFill>
                </w14:textFill>
              </w:rPr>
              <w:t>生产线工艺废气和储罐大小呼吸废气经RCO催化燃烧装置处理后，通过30m高排气筒（DA001）排放</w:t>
            </w: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c>
          <w:tcPr>
            <w:tcW w:w="250" w:type="pct"/>
            <w:vAlign w:val="center"/>
          </w:tcPr>
          <w:p w14:paraId="6A538EB5">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223A3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06C4783D">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3A456299">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6</w:t>
            </w:r>
            <w:r>
              <w:rPr>
                <w:snapToGrid w:val="0"/>
                <w:color w:val="0D0D0D" w:themeColor="text1" w:themeTint="F2"/>
                <w:kern w:val="0"/>
                <w:sz w:val="21"/>
                <w:szCs w:val="21"/>
                <w14:textFill>
                  <w14:solidFill>
                    <w14:schemeClr w14:val="tx1">
                      <w14:lumMod w14:val="95000"/>
                      <w14:lumOff w14:val="5000"/>
                    </w14:schemeClr>
                  </w14:solidFill>
                </w14:textFill>
              </w:rPr>
              <w:t>．</w:t>
            </w:r>
            <w:r>
              <w:rPr>
                <w:rFonts w:hint="eastAsia"/>
                <w:snapToGrid w:val="0"/>
                <w:color w:val="0D0D0D" w:themeColor="text1" w:themeTint="F2"/>
                <w:kern w:val="0"/>
                <w:sz w:val="21"/>
                <w:szCs w:val="21"/>
                <w14:textFill>
                  <w14:solidFill>
                    <w14:schemeClr w14:val="tx1">
                      <w14:lumMod w14:val="95000"/>
                      <w14:lumOff w14:val="5000"/>
                    </w14:schemeClr>
                  </w14:solidFill>
                </w14:textFill>
              </w:rPr>
              <w:t>完善园区集中供热设施，积极推广集中供热，有条件的工业聚集区建设集中喷涂工程中心，配备高效治污设施，替代企业独立喷涂工序</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637" w:type="pct"/>
            <w:vAlign w:val="center"/>
          </w:tcPr>
          <w:p w14:paraId="12E46864">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50" w:type="pct"/>
            <w:vAlign w:val="center"/>
          </w:tcPr>
          <w:p w14:paraId="5F8591E1">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276E5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2F7CA591">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5BE8892F">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7</w:t>
            </w:r>
            <w:r>
              <w:rPr>
                <w:snapToGrid w:val="0"/>
                <w:color w:val="0D0D0D" w:themeColor="text1" w:themeTint="F2"/>
                <w:kern w:val="0"/>
                <w:sz w:val="21"/>
                <w:szCs w:val="21"/>
                <w14:textFill>
                  <w14:solidFill>
                    <w14:schemeClr w14:val="tx1">
                      <w14:lumMod w14:val="95000"/>
                      <w14:lumOff w14:val="5000"/>
                    </w14:schemeClr>
                  </w14:solidFill>
                </w14:textFill>
              </w:rPr>
              <w:t>．</w:t>
            </w:r>
            <w:r>
              <w:rPr>
                <w:rFonts w:hint="eastAsia"/>
                <w:snapToGrid w:val="0"/>
                <w:color w:val="0D0D0D" w:themeColor="text1" w:themeTint="F2"/>
                <w:kern w:val="0"/>
                <w:sz w:val="21"/>
                <w:szCs w:val="21"/>
                <w14:textFill>
                  <w14:solidFill>
                    <w14:schemeClr w14:val="tx1">
                      <w14:lumMod w14:val="95000"/>
                      <w14:lumOff w14:val="5000"/>
                    </w14:schemeClr>
                  </w14:solidFill>
                </w14:textFill>
              </w:rPr>
              <w:t>推进城镇生活垃圾处理基础设施扩能建设，强化渗滤液处理设施运营管理，防止渗滤液积存或违规倾倒垃圾渗滤液至市政管网；加强农村生活垃圾收运、处理体系建设，降低农村垃圾焚烧污染</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637" w:type="pct"/>
            <w:vAlign w:val="center"/>
          </w:tcPr>
          <w:p w14:paraId="02E3C44B">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50" w:type="pct"/>
            <w:vAlign w:val="center"/>
          </w:tcPr>
          <w:p w14:paraId="76EE1A27">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6F7C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4E2ABB8C">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5869C6EB">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8</w:t>
            </w:r>
            <w:r>
              <w:rPr>
                <w:snapToGrid w:val="0"/>
                <w:color w:val="0D0D0D" w:themeColor="text1" w:themeTint="F2"/>
                <w:kern w:val="0"/>
                <w:sz w:val="21"/>
                <w:szCs w:val="21"/>
                <w14:textFill>
                  <w14:solidFill>
                    <w14:schemeClr w14:val="tx1">
                      <w14:lumMod w14:val="95000"/>
                      <w14:lumOff w14:val="5000"/>
                    </w14:schemeClr>
                  </w14:solidFill>
                </w14:textFill>
              </w:rPr>
              <w:t>．</w:t>
            </w:r>
            <w:r>
              <w:rPr>
                <w:rFonts w:hint="eastAsia"/>
                <w:snapToGrid w:val="0"/>
                <w:color w:val="0D0D0D" w:themeColor="text1" w:themeTint="F2"/>
                <w:kern w:val="0"/>
                <w:sz w:val="21"/>
                <w:szCs w:val="21"/>
                <w14:textFill>
                  <w14:solidFill>
                    <w14:schemeClr w14:val="tx1">
                      <w14:lumMod w14:val="95000"/>
                      <w14:lumOff w14:val="5000"/>
                    </w14:schemeClr>
                  </w14:solidFill>
                </w14:textFill>
              </w:rPr>
              <w:t>新建、改建、扩建涉及重点重金属排放建设项目依照相关规定实行总量控制</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637" w:type="pct"/>
            <w:vAlign w:val="center"/>
          </w:tcPr>
          <w:p w14:paraId="6D011623">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项目不属于涉重项目。</w:t>
            </w:r>
          </w:p>
        </w:tc>
        <w:tc>
          <w:tcPr>
            <w:tcW w:w="250" w:type="pct"/>
            <w:vAlign w:val="center"/>
          </w:tcPr>
          <w:p w14:paraId="5DBB24B7">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1A1C3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114E45B4">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02D4D2DA">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9．新建“两高”项目应采用先进适用的工艺技术和装备，单位产品物耗、能耗、水耗等达到清洁生产先进水平，依法制定并严格落实防治土壤与地下水污染的措施。按照《关于加强重点行业建设项目区域削减措施监督管理的通知》要求，依据区域环境质量改善目标，制定配套区域污染物削减方案，采取有效的污染物区域削减措施，腾出足够的环境容量。</w:t>
            </w:r>
          </w:p>
        </w:tc>
        <w:tc>
          <w:tcPr>
            <w:tcW w:w="1637" w:type="pct"/>
            <w:vAlign w:val="center"/>
          </w:tcPr>
          <w:p w14:paraId="39A99B1C">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项目不属于“两高”项目。</w:t>
            </w:r>
          </w:p>
        </w:tc>
        <w:tc>
          <w:tcPr>
            <w:tcW w:w="250" w:type="pct"/>
            <w:vAlign w:val="center"/>
          </w:tcPr>
          <w:p w14:paraId="3AB05791">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12751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4685AA8E">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10ECEDC5">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10．加强海陆联动，严格控制陆源污染物排放。规范入海排污口设置，全面清理非法或设置不合理的入海排污口。加快推进钦州港三墩作业区配套深海排放管道工程。</w:t>
            </w:r>
          </w:p>
        </w:tc>
        <w:tc>
          <w:tcPr>
            <w:tcW w:w="1637" w:type="pct"/>
            <w:vAlign w:val="center"/>
          </w:tcPr>
          <w:p w14:paraId="6C6A4C6C">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项目不设置入海排污口。</w:t>
            </w:r>
          </w:p>
        </w:tc>
        <w:tc>
          <w:tcPr>
            <w:tcW w:w="250" w:type="pct"/>
            <w:vAlign w:val="center"/>
          </w:tcPr>
          <w:p w14:paraId="4502AB5E">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2148E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3011CE7B">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362B07E5">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11．积极治理船舶污染，推进与城市公共转运及处置设施的有效衔接，全面贯彻落实《广西北部湾港船舶污染物接收、转运、处置能力评估及相应设施建设方案》，建设完善船舶污染物接收处理设施，提高含油污水、化学品洗舱水、船舶垃圾等接收处置能力及污染事故应急能力。加强钦州港码头和船舶修造厂等绿色岸电、环卫设施、污水处理设施建设使用。</w:t>
            </w:r>
          </w:p>
        </w:tc>
        <w:tc>
          <w:tcPr>
            <w:tcW w:w="1637" w:type="pct"/>
            <w:vAlign w:val="center"/>
          </w:tcPr>
          <w:p w14:paraId="2BDAB369">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50" w:type="pct"/>
            <w:vAlign w:val="center"/>
          </w:tcPr>
          <w:p w14:paraId="0021871C">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73251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04D212AA">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0A22BFB4">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12．加强港口码头环保基础设施处理和建设。完善堆场防风抑尘设施，降低扬尘污染。港区实行雨污分流和污水分质处理，防止堆场废水通过雨水沟直排入海，完善配套污水处理设施和管网建设，实现污水集中处理、回用或达标排放。</w:t>
            </w:r>
          </w:p>
        </w:tc>
        <w:tc>
          <w:tcPr>
            <w:tcW w:w="1637" w:type="pct"/>
            <w:vAlign w:val="center"/>
          </w:tcPr>
          <w:p w14:paraId="72211BDA">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50" w:type="pct"/>
            <w:vAlign w:val="center"/>
          </w:tcPr>
          <w:p w14:paraId="7B3674A0">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5A582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70E9DB31">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568AE3B5">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13．污水离岸排放不得超过国家或者地方规定的排放标准。禁止向海域排放油类、酸液、碱液、剧毒废液和高、中水平放射性废水，严格控制向海域排放含有不易降解的有机物和重金属的废水，排放低水平放射性废水应当符合国家放射性污染防治标准，其他污染物的排放应当符合国家或者地方标准。含病原体的医疗污水、生活污水和工业废水必须经过处理，符合国家有关排放标准后，方能排入海域。含有机物和营养物质的工业废水、生活污水，应当严格控制向海湾、半封闭海及其他自净能力较差的海域排放。向海域排放含热废水，必须采取有效措施，保证邻近渔业水域的水温符合国家海洋环境质量标准，避免热污染对水产资源的危害。</w:t>
            </w:r>
          </w:p>
        </w:tc>
        <w:tc>
          <w:tcPr>
            <w:tcW w:w="1637" w:type="pct"/>
            <w:vAlign w:val="center"/>
          </w:tcPr>
          <w:p w14:paraId="294E68CD">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项目实行雨污分流，废水在厂区处理达标后排入市政污水管网，输送至钦州胜科水务有限公司污水处理厂进一步处理。</w:t>
            </w:r>
          </w:p>
        </w:tc>
        <w:tc>
          <w:tcPr>
            <w:tcW w:w="250" w:type="pct"/>
            <w:vAlign w:val="center"/>
          </w:tcPr>
          <w:p w14:paraId="40175657">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1B32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02F3997C">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5653E46A">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14．按照养殖容量控制养殖规模和养殖密度，发展健康、生态养殖方式，推动海水养殖环保设施建设，规范海水养殖尾水排放，加强对蓝圆鲹和二长棘鲷产卵场的保护。旅游休闲娱乐区的污水和垃圾应科学处置、达标排放，禁止直接排入海域</w:t>
            </w:r>
          </w:p>
        </w:tc>
        <w:tc>
          <w:tcPr>
            <w:tcW w:w="1637" w:type="pct"/>
            <w:vAlign w:val="center"/>
          </w:tcPr>
          <w:p w14:paraId="6B6EA374">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50" w:type="pct"/>
            <w:vAlign w:val="center"/>
          </w:tcPr>
          <w:p w14:paraId="0E818E08">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02D67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7CEB7579">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7006ABB3">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15．推动造纸行业节能改造，加大有机废液、有机废物、生物质气体的回收利用，固体废物近零排放。</w:t>
            </w:r>
          </w:p>
        </w:tc>
        <w:tc>
          <w:tcPr>
            <w:tcW w:w="1637" w:type="pct"/>
            <w:vAlign w:val="center"/>
          </w:tcPr>
          <w:p w14:paraId="4AF5DEE6">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50" w:type="pct"/>
            <w:vAlign w:val="center"/>
          </w:tcPr>
          <w:p w14:paraId="5574F48C">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785D2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restart"/>
            <w:vAlign w:val="center"/>
          </w:tcPr>
          <w:p w14:paraId="7837A454">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环境风险防控</w:t>
            </w:r>
          </w:p>
        </w:tc>
        <w:tc>
          <w:tcPr>
            <w:tcW w:w="2757" w:type="pct"/>
            <w:vAlign w:val="center"/>
          </w:tcPr>
          <w:p w14:paraId="09A810E0">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1．</w:t>
            </w:r>
            <w:r>
              <w:rPr>
                <w:rFonts w:hint="eastAsia"/>
                <w:snapToGrid w:val="0"/>
                <w:color w:val="0D0D0D" w:themeColor="text1" w:themeTint="F2"/>
                <w:kern w:val="0"/>
                <w:sz w:val="21"/>
                <w:szCs w:val="21"/>
                <w14:textFill>
                  <w14:solidFill>
                    <w14:schemeClr w14:val="tx1">
                      <w14:lumMod w14:val="95000"/>
                      <w14:lumOff w14:val="5000"/>
                    </w14:schemeClr>
                  </w14:solidFill>
                </w14:textFill>
              </w:rPr>
              <w:t>强化环境风险源精准化管理，健全企业突发环境事件风险评估制度，动态更新重点环境风险源管理目录清单，建立信息齐全、数据准确的风险源及敏感保护目标的数据库，准确掌握重点环境风险源分布情况，重点加强较大及以上风险等级风险源的环境风险防范和应急预警管理</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637" w:type="pct"/>
            <w:vAlign w:val="center"/>
          </w:tcPr>
          <w:p w14:paraId="0F9C0A37">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项目在落实风险防范措施后，环境风险影响较小。</w:t>
            </w:r>
          </w:p>
        </w:tc>
        <w:tc>
          <w:tcPr>
            <w:tcW w:w="250" w:type="pct"/>
            <w:vAlign w:val="center"/>
          </w:tcPr>
          <w:p w14:paraId="7040933B">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0A6E2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27DD7724">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76307438">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2．</w:t>
            </w:r>
            <w:r>
              <w:rPr>
                <w:rFonts w:hint="eastAsia"/>
                <w:snapToGrid w:val="0"/>
                <w:color w:val="0D0D0D" w:themeColor="text1" w:themeTint="F2"/>
                <w:kern w:val="0"/>
                <w:sz w:val="21"/>
                <w:szCs w:val="21"/>
                <w14:textFill>
                  <w14:solidFill>
                    <w14:schemeClr w14:val="tx1">
                      <w14:lumMod w14:val="95000"/>
                      <w14:lumOff w14:val="5000"/>
                    </w14:schemeClr>
                  </w14:solidFill>
                </w14:textFill>
              </w:rPr>
              <w:t>选择涉重涉危企业、化工园区、集中式饮用水水源地等重要区域开展突发环境事件风险、环境健康风险评估，实施分类分级风险管控</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637" w:type="pct"/>
            <w:vAlign w:val="center"/>
          </w:tcPr>
          <w:p w14:paraId="3BE787DF">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50" w:type="pct"/>
            <w:vAlign w:val="center"/>
          </w:tcPr>
          <w:p w14:paraId="3C5455D8">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3BB0E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3EA2484B">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72BC2B14">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3．</w:t>
            </w:r>
            <w:r>
              <w:rPr>
                <w:rFonts w:hint="eastAsia"/>
                <w:snapToGrid w:val="0"/>
                <w:color w:val="0D0D0D" w:themeColor="text1" w:themeTint="F2"/>
                <w:kern w:val="0"/>
                <w:sz w:val="21"/>
                <w:szCs w:val="21"/>
                <w14:textFill>
                  <w14:solidFill>
                    <w14:schemeClr w14:val="tx1">
                      <w14:lumMod w14:val="95000"/>
                      <w14:lumOff w14:val="5000"/>
                    </w14:schemeClr>
                  </w14:solidFill>
                </w14:textFill>
              </w:rPr>
              <w:t>强化饮用水水源地环境风险排查，加强环境风险源管理，建立健全饮用水水源地应急预案。推进县级及以上饮用水水源地自动监测预警能力建设，实施水源地应急防护工程。加强大气污染防治协作和部门联动，建立健全大气污染联防联控机制。建立健全用地土壤环境联动监督管理机制，实行联动监管</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637" w:type="pct"/>
            <w:vAlign w:val="center"/>
          </w:tcPr>
          <w:p w14:paraId="37CD8332">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项目评价范围不涉及饮用水水源地。</w:t>
            </w:r>
          </w:p>
        </w:tc>
        <w:tc>
          <w:tcPr>
            <w:tcW w:w="250" w:type="pct"/>
            <w:vAlign w:val="center"/>
          </w:tcPr>
          <w:p w14:paraId="622EE26A">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16801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0BAB7408">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4B8F0C8E">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4．</w:t>
            </w:r>
            <w:r>
              <w:rPr>
                <w:rFonts w:hint="eastAsia"/>
                <w:snapToGrid w:val="0"/>
                <w:color w:val="0D0D0D" w:themeColor="text1" w:themeTint="F2"/>
                <w:kern w:val="0"/>
                <w:sz w:val="21"/>
                <w:szCs w:val="21"/>
                <w14:textFill>
                  <w14:solidFill>
                    <w14:schemeClr w14:val="tx1">
                      <w14:lumMod w14:val="95000"/>
                      <w14:lumOff w14:val="5000"/>
                    </w14:schemeClr>
                  </w14:solidFill>
                </w14:textFill>
              </w:rPr>
              <w:t>严格建设项目环境准入，永久基本农田集中区域禁止规划新建可能造成土壤污染的建设项目；新（改、扩）建涉有毒有害物质可能造成土壤污染的建设项目，提出并落实污染防治要求</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637" w:type="pct"/>
            <w:vAlign w:val="center"/>
          </w:tcPr>
          <w:p w14:paraId="49E17F86">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项目不涉及基本农田和有毒有害物质。</w:t>
            </w:r>
          </w:p>
        </w:tc>
        <w:tc>
          <w:tcPr>
            <w:tcW w:w="250" w:type="pct"/>
            <w:vAlign w:val="center"/>
          </w:tcPr>
          <w:p w14:paraId="6AE60CA5">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66FBE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4AC19C7B">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009CFDE5">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5．强化全域矿产资源开发监管，建立矿石生态环境动态监测网络，禁止矿山废水、废气、废渣的无序排放。</w:t>
            </w:r>
          </w:p>
        </w:tc>
        <w:tc>
          <w:tcPr>
            <w:tcW w:w="1637" w:type="pct"/>
            <w:vAlign w:val="center"/>
          </w:tcPr>
          <w:p w14:paraId="21C4DA30">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项目不属于矿山类项目。</w:t>
            </w:r>
          </w:p>
        </w:tc>
        <w:tc>
          <w:tcPr>
            <w:tcW w:w="250" w:type="pct"/>
            <w:vAlign w:val="center"/>
          </w:tcPr>
          <w:p w14:paraId="17F32C6C">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08AEC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68DC3F5E">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6477E68B">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6</w:t>
            </w:r>
            <w:r>
              <w:rPr>
                <w:snapToGrid w:val="0"/>
                <w:color w:val="0D0D0D" w:themeColor="text1" w:themeTint="F2"/>
                <w:kern w:val="0"/>
                <w:sz w:val="21"/>
                <w:szCs w:val="21"/>
                <w14:textFill>
                  <w14:solidFill>
                    <w14:schemeClr w14:val="tx1">
                      <w14:lumMod w14:val="95000"/>
                      <w14:lumOff w14:val="5000"/>
                    </w14:schemeClr>
                  </w14:solidFill>
                </w14:textFill>
              </w:rPr>
              <w:t>．</w:t>
            </w:r>
            <w:r>
              <w:rPr>
                <w:rFonts w:hint="eastAsia"/>
                <w:snapToGrid w:val="0"/>
                <w:color w:val="0D0D0D" w:themeColor="text1" w:themeTint="F2"/>
                <w:kern w:val="0"/>
                <w:sz w:val="21"/>
                <w:szCs w:val="21"/>
                <w14:textFill>
                  <w14:solidFill>
                    <w14:schemeClr w14:val="tx1">
                      <w14:lumMod w14:val="95000"/>
                      <w14:lumOff w14:val="5000"/>
                    </w14:schemeClr>
                  </w14:solidFill>
                </w14:textFill>
              </w:rPr>
              <w:t>严格管控涉海重大工程环境风险，全面排查陆域环境风险源、海上溢油、危险化学品泄漏等环境风险隐患，健全完善海上溢油及危化品泄漏污染环境应急响应机制，完善分类分级的海上应急监测及处置预案，在石化基地、危化品储存区等邻近海域部署快速监测能力和应急处置物资设备。建立健全海洋生态补偿和生态损害赔偿制度</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637" w:type="pct"/>
            <w:vAlign w:val="center"/>
          </w:tcPr>
          <w:p w14:paraId="66D443D3">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50" w:type="pct"/>
            <w:vAlign w:val="center"/>
          </w:tcPr>
          <w:p w14:paraId="783AF3FA">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11B80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3426EDA2">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54772BAE">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7</w:t>
            </w:r>
            <w:r>
              <w:rPr>
                <w:snapToGrid w:val="0"/>
                <w:color w:val="0D0D0D" w:themeColor="text1" w:themeTint="F2"/>
                <w:kern w:val="0"/>
                <w:sz w:val="21"/>
                <w:szCs w:val="21"/>
                <w14:textFill>
                  <w14:solidFill>
                    <w14:schemeClr w14:val="tx1">
                      <w14:lumMod w14:val="95000"/>
                      <w14:lumOff w14:val="5000"/>
                    </w14:schemeClr>
                  </w14:solidFill>
                </w14:textFill>
              </w:rPr>
              <w:t>．</w:t>
            </w:r>
            <w:r>
              <w:rPr>
                <w:rFonts w:hint="eastAsia"/>
                <w:snapToGrid w:val="0"/>
                <w:color w:val="0D0D0D" w:themeColor="text1" w:themeTint="F2"/>
                <w:kern w:val="0"/>
                <w:sz w:val="21"/>
                <w:szCs w:val="21"/>
                <w14:textFill>
                  <w14:solidFill>
                    <w14:schemeClr w14:val="tx1">
                      <w14:lumMod w14:val="95000"/>
                      <w14:lumOff w14:val="5000"/>
                    </w14:schemeClr>
                  </w14:solidFill>
                </w14:textFill>
              </w:rPr>
              <w:t>强化沿海工业园区和沿海石油、石化、化工、冶炼及危化品储运等企业的环境风险防控，加强企业和园区环境应急物资储备</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637" w:type="pct"/>
            <w:vAlign w:val="center"/>
          </w:tcPr>
          <w:p w14:paraId="7AD38527">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项目配备有环境应急物资。</w:t>
            </w:r>
          </w:p>
        </w:tc>
        <w:tc>
          <w:tcPr>
            <w:tcW w:w="250" w:type="pct"/>
            <w:vAlign w:val="center"/>
          </w:tcPr>
          <w:p w14:paraId="1FA82C4B">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682D0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5D090CF0">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3F424E25">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8</w:t>
            </w:r>
            <w:r>
              <w:rPr>
                <w:snapToGrid w:val="0"/>
                <w:color w:val="0D0D0D" w:themeColor="text1" w:themeTint="F2"/>
                <w:kern w:val="0"/>
                <w:sz w:val="21"/>
                <w:szCs w:val="21"/>
                <w14:textFill>
                  <w14:solidFill>
                    <w14:schemeClr w14:val="tx1">
                      <w14:lumMod w14:val="95000"/>
                      <w14:lumOff w14:val="5000"/>
                    </w14:schemeClr>
                  </w14:solidFill>
                </w14:textFill>
              </w:rPr>
              <w:t>．</w:t>
            </w:r>
            <w:r>
              <w:rPr>
                <w:rFonts w:hint="eastAsia"/>
                <w:snapToGrid w:val="0"/>
                <w:color w:val="0D0D0D" w:themeColor="text1" w:themeTint="F2"/>
                <w:kern w:val="0"/>
                <w:sz w:val="21"/>
                <w:szCs w:val="21"/>
                <w14:textFill>
                  <w14:solidFill>
                    <w14:schemeClr w14:val="tx1">
                      <w14:lumMod w14:val="95000"/>
                      <w14:lumOff w14:val="5000"/>
                    </w14:schemeClr>
                  </w14:solidFill>
                </w14:textFill>
              </w:rPr>
              <w:t>加强海洋生态灾害应急体系建设，强化海水浴场、电厂取排水口等海洋生态灾害高风险区域的联防联控。</w:t>
            </w:r>
          </w:p>
        </w:tc>
        <w:tc>
          <w:tcPr>
            <w:tcW w:w="1637" w:type="pct"/>
            <w:vAlign w:val="center"/>
          </w:tcPr>
          <w:p w14:paraId="6DBCBE0D">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50" w:type="pct"/>
            <w:vAlign w:val="center"/>
          </w:tcPr>
          <w:p w14:paraId="7CD3E60A">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6C81D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238F9B75">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574B96E4">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9</w:t>
            </w:r>
            <w:r>
              <w:rPr>
                <w:snapToGrid w:val="0"/>
                <w:color w:val="0D0D0D" w:themeColor="text1" w:themeTint="F2"/>
                <w:kern w:val="0"/>
                <w:sz w:val="21"/>
                <w:szCs w:val="21"/>
                <w14:textFill>
                  <w14:solidFill>
                    <w14:schemeClr w14:val="tx1">
                      <w14:lumMod w14:val="95000"/>
                      <w14:lumOff w14:val="5000"/>
                    </w14:schemeClr>
                  </w14:solidFill>
                </w14:textFill>
              </w:rPr>
              <w:t>．</w:t>
            </w:r>
            <w:r>
              <w:rPr>
                <w:rFonts w:hint="eastAsia"/>
                <w:snapToGrid w:val="0"/>
                <w:color w:val="0D0D0D" w:themeColor="text1" w:themeTint="F2"/>
                <w:kern w:val="0"/>
                <w:sz w:val="21"/>
                <w:szCs w:val="21"/>
                <w14:textFill>
                  <w14:solidFill>
                    <w14:schemeClr w14:val="tx1">
                      <w14:lumMod w14:val="95000"/>
                      <w14:lumOff w14:val="5000"/>
                    </w14:schemeClr>
                  </w14:solidFill>
                </w14:textFill>
              </w:rPr>
              <w:t>加强倾倒区使用状况监督管理工作，做好废弃物向海洋倾倒活动的风险管控</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637" w:type="pct"/>
            <w:vAlign w:val="center"/>
          </w:tcPr>
          <w:p w14:paraId="09E89C4C">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50" w:type="pct"/>
            <w:vAlign w:val="center"/>
          </w:tcPr>
          <w:p w14:paraId="3BC0BF90">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705F4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restart"/>
            <w:vAlign w:val="center"/>
          </w:tcPr>
          <w:p w14:paraId="4CB18649">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资源开发利用效率要求</w:t>
            </w:r>
          </w:p>
        </w:tc>
        <w:tc>
          <w:tcPr>
            <w:tcW w:w="2757" w:type="pct"/>
            <w:vAlign w:val="center"/>
          </w:tcPr>
          <w:p w14:paraId="517981A6">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1．能源：强化和完善能耗双控制度，严格落实《石化化工重点行业严格能效约束推动节能降碳行动方案（2021-2025年）》等有关要求。推进绿色清洁能源生产，推进重点行业和重要领域绿色化改造，打造绿色园区和绿色企业，促进工业园区、产业集聚区低碳循环化发展。推动能源多元清洁发展，培育发展清洁能源和可再生能源产业，锂电池制造及风电、光伏发电、生物质发电等清洁能源产业发展要符合相应能源规划和国土空间规划的要求；推动能源清洁低碳安全高效利用，合理控制煤炭消费。落实国家碳排放达峰行动方案，降低碳排放强度。海洋石油勘探开发严格执行《中华人民共和国海洋石油勘探开发环境保护管理条例》要求。</w:t>
            </w:r>
          </w:p>
        </w:tc>
        <w:tc>
          <w:tcPr>
            <w:tcW w:w="1637" w:type="pct"/>
            <w:vAlign w:val="center"/>
          </w:tcPr>
          <w:p w14:paraId="3D6FA30F">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项目所用能源主要为电能。</w:t>
            </w:r>
          </w:p>
        </w:tc>
        <w:tc>
          <w:tcPr>
            <w:tcW w:w="250" w:type="pct"/>
            <w:vAlign w:val="center"/>
          </w:tcPr>
          <w:p w14:paraId="7ECF438C">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7544B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1354E791">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3B445AA7">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2．</w:t>
            </w:r>
            <w:r>
              <w:rPr>
                <w:rFonts w:hint="eastAsia"/>
                <w:snapToGrid w:val="0"/>
                <w:color w:val="0D0D0D" w:themeColor="text1" w:themeTint="F2"/>
                <w:kern w:val="0"/>
                <w:sz w:val="21"/>
                <w:szCs w:val="21"/>
                <w14:textFill>
                  <w14:solidFill>
                    <w14:schemeClr w14:val="tx1">
                      <w14:lumMod w14:val="95000"/>
                      <w14:lumOff w14:val="5000"/>
                    </w14:schemeClr>
                  </w14:solidFill>
                </w14:textFill>
              </w:rPr>
              <w:t>土地资源：严格执行自治区下达的土地资源利用总量及效率管控指标要求。突出节约集约用海原则，合理控制规模，优化空间布局，提高海域空间资源的整体使用效能</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637" w:type="pct"/>
            <w:vAlign w:val="center"/>
          </w:tcPr>
          <w:p w14:paraId="48567C41">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项目土地资源消耗量相对区域资源利用总量较少。</w:t>
            </w:r>
          </w:p>
        </w:tc>
        <w:tc>
          <w:tcPr>
            <w:tcW w:w="250" w:type="pct"/>
            <w:vAlign w:val="center"/>
          </w:tcPr>
          <w:p w14:paraId="38E99D4F">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015D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67F09BEA">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149A5C51">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3．</w:t>
            </w:r>
            <w:r>
              <w:rPr>
                <w:rFonts w:hint="eastAsia"/>
                <w:snapToGrid w:val="0"/>
                <w:color w:val="0D0D0D" w:themeColor="text1" w:themeTint="F2"/>
                <w:kern w:val="0"/>
                <w:sz w:val="21"/>
                <w:szCs w:val="21"/>
                <w14:textFill>
                  <w14:solidFill>
                    <w14:schemeClr w14:val="tx1">
                      <w14:lumMod w14:val="95000"/>
                      <w14:lumOff w14:val="5000"/>
                    </w14:schemeClr>
                  </w14:solidFill>
                </w14:textFill>
              </w:rPr>
              <w:t>水资源：实行水资源消耗总量和强度“双控”。严格用水总量指标管理，健全市、县（区、市）行政区域的用水总量控制指标体系，统筹生活、生产、生态用水，大力推进农业、工业、城镇等领域节水。严格按照地下水开发利用控制目标控制地下水资源开采</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637" w:type="pct"/>
            <w:vAlign w:val="center"/>
          </w:tcPr>
          <w:p w14:paraId="00D45005">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项目用水由市政管网供给，占用区域水资源总量较少，不会对区域水资源造成冲击。</w:t>
            </w:r>
          </w:p>
        </w:tc>
        <w:tc>
          <w:tcPr>
            <w:tcW w:w="250" w:type="pct"/>
            <w:vAlign w:val="center"/>
          </w:tcPr>
          <w:p w14:paraId="6C0E72F5">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130D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6826E122">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3697C3F3">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4．</w:t>
            </w:r>
            <w:r>
              <w:rPr>
                <w:rFonts w:hint="eastAsia"/>
                <w:snapToGrid w:val="0"/>
                <w:color w:val="0D0D0D" w:themeColor="text1" w:themeTint="F2"/>
                <w:kern w:val="0"/>
                <w:sz w:val="21"/>
                <w:szCs w:val="21"/>
                <w14:textFill>
                  <w14:solidFill>
                    <w14:schemeClr w14:val="tx1">
                      <w14:lumMod w14:val="95000"/>
                      <w14:lumOff w14:val="5000"/>
                    </w14:schemeClr>
                  </w14:solidFill>
                </w14:textFill>
              </w:rPr>
              <w:t>矿产资源：严格执行自治区、市、县矿产资源总体规划中关于矿产资源开发管控和矿产资源高效利用的目标要求。着力提高资源开发利用效率和水平，加快发展绿色矿业；严格控制海岸线的开发建设、海砂开采活动，规范海砂资源开发秩序，加强海岸沙滩保护和矿产开发监管</w:t>
            </w:r>
            <w:r>
              <w:rPr>
                <w:snapToGrid w:val="0"/>
                <w:color w:val="0D0D0D" w:themeColor="text1" w:themeTint="F2"/>
                <w:kern w:val="0"/>
                <w:sz w:val="21"/>
                <w:szCs w:val="21"/>
                <w14:textFill>
                  <w14:solidFill>
                    <w14:schemeClr w14:val="tx1">
                      <w14:lumMod w14:val="95000"/>
                      <w14:lumOff w14:val="5000"/>
                    </w14:schemeClr>
                  </w14:solidFill>
                </w14:textFill>
              </w:rPr>
              <w:t>。</w:t>
            </w:r>
          </w:p>
        </w:tc>
        <w:tc>
          <w:tcPr>
            <w:tcW w:w="1637" w:type="pct"/>
            <w:vAlign w:val="center"/>
          </w:tcPr>
          <w:p w14:paraId="7745041C">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项目不涉及矿产资源开发。</w:t>
            </w:r>
          </w:p>
        </w:tc>
        <w:tc>
          <w:tcPr>
            <w:tcW w:w="250" w:type="pct"/>
            <w:vAlign w:val="center"/>
          </w:tcPr>
          <w:p w14:paraId="2DBBA746">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05D9F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57" w:type="pct"/>
            <w:vMerge w:val="continue"/>
            <w:vAlign w:val="center"/>
          </w:tcPr>
          <w:p w14:paraId="74EEE4CE">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0BCCA7CD">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5．</w:t>
            </w:r>
            <w:r>
              <w:rPr>
                <w:rFonts w:hint="eastAsia"/>
                <w:snapToGrid w:val="0"/>
                <w:color w:val="0D0D0D" w:themeColor="text1" w:themeTint="F2"/>
                <w:kern w:val="0"/>
                <w:sz w:val="21"/>
                <w:szCs w:val="21"/>
                <w14:textFill>
                  <w14:solidFill>
                    <w14:schemeClr w14:val="tx1">
                      <w14:lumMod w14:val="95000"/>
                      <w14:lumOff w14:val="5000"/>
                    </w14:schemeClr>
                  </w14:solidFill>
                </w14:textFill>
              </w:rPr>
              <w:t>岸线资源：涉及岸线开发的工业区和港区，应严格按照相关规划实施，控制占用岸线长度，提高岸线利用效率，加强污染防治。建设海岸生态隔离带；有效保护自然岸线和典型海洋生态系统，提高海洋生态服务功能，增强海洋碳汇功能。合理控制滨海旅游开发强度，科学有序发展海洋生态旅游。规范海岛资源开发，科学规划海岛岸线开发，保护海岛自然岸线。</w:t>
            </w:r>
          </w:p>
        </w:tc>
        <w:tc>
          <w:tcPr>
            <w:tcW w:w="1637" w:type="pct"/>
            <w:vAlign w:val="center"/>
          </w:tcPr>
          <w:p w14:paraId="454E2BC7">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项目不涉及岸线资源。</w:t>
            </w:r>
          </w:p>
        </w:tc>
        <w:tc>
          <w:tcPr>
            <w:tcW w:w="250" w:type="pct"/>
            <w:vAlign w:val="center"/>
          </w:tcPr>
          <w:p w14:paraId="62F255FF">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09F2D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15C99EB8">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72DAB0AA">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6</w:t>
            </w:r>
            <w:r>
              <w:rPr>
                <w:snapToGrid w:val="0"/>
                <w:color w:val="0D0D0D" w:themeColor="text1" w:themeTint="F2"/>
                <w:kern w:val="0"/>
                <w:sz w:val="21"/>
                <w:szCs w:val="21"/>
                <w14:textFill>
                  <w14:solidFill>
                    <w14:schemeClr w14:val="tx1">
                      <w14:lumMod w14:val="95000"/>
                      <w14:lumOff w14:val="5000"/>
                    </w14:schemeClr>
                  </w14:solidFill>
                </w14:textFill>
              </w:rPr>
              <w:t>．</w:t>
            </w:r>
            <w:r>
              <w:rPr>
                <w:rFonts w:hint="eastAsia"/>
                <w:snapToGrid w:val="0"/>
                <w:color w:val="0D0D0D" w:themeColor="text1" w:themeTint="F2"/>
                <w:kern w:val="0"/>
                <w:sz w:val="21"/>
                <w:szCs w:val="21"/>
                <w14:textFill>
                  <w14:solidFill>
                    <w14:schemeClr w14:val="tx1">
                      <w14:lumMod w14:val="95000"/>
                      <w14:lumOff w14:val="5000"/>
                    </w14:schemeClr>
                  </w14:solidFill>
                </w14:textFill>
              </w:rPr>
              <w:t>高污染燃料禁燃区：禁止新建、扩建燃用高污染燃料的项目和设施，已经建成的应逐步或依法限期改用天然气、电或其他清洁能源。</w:t>
            </w:r>
          </w:p>
        </w:tc>
        <w:tc>
          <w:tcPr>
            <w:tcW w:w="1637" w:type="pct"/>
            <w:vAlign w:val="center"/>
          </w:tcPr>
          <w:p w14:paraId="4AB84FF6">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50" w:type="pct"/>
            <w:vAlign w:val="center"/>
          </w:tcPr>
          <w:p w14:paraId="1BE060EB">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3F428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vAlign w:val="center"/>
          </w:tcPr>
          <w:p w14:paraId="537B60EF">
            <w:pPr>
              <w:adjustRightInd w:val="0"/>
              <w:snapToGrid w:val="0"/>
              <w:spacing w:line="240" w:lineRule="auto"/>
              <w:jc w:val="center"/>
              <w:rPr>
                <w:b/>
                <w:bCs/>
                <w:snapToGrid w:val="0"/>
                <w:color w:val="0D0D0D" w:themeColor="text1" w:themeTint="F2"/>
                <w:kern w:val="0"/>
                <w:sz w:val="21"/>
                <w:szCs w:val="21"/>
                <w14:textFill>
                  <w14:solidFill>
                    <w14:schemeClr w14:val="tx1">
                      <w14:lumMod w14:val="95000"/>
                      <w14:lumOff w14:val="5000"/>
                    </w14:schemeClr>
                  </w14:solidFill>
                </w14:textFill>
              </w:rPr>
            </w:pPr>
            <w:r>
              <w:rPr>
                <w:rFonts w:hint="eastAsia"/>
                <w:b/>
                <w:bCs/>
                <w:snapToGrid w:val="0"/>
                <w:color w:val="0D0D0D" w:themeColor="text1" w:themeTint="F2"/>
                <w:kern w:val="0"/>
                <w:sz w:val="21"/>
                <w:szCs w:val="21"/>
                <w14:textFill>
                  <w14:solidFill>
                    <w14:schemeClr w14:val="tx1">
                      <w14:lumMod w14:val="95000"/>
                      <w14:lumOff w14:val="5000"/>
                    </w14:schemeClr>
                  </w14:solidFill>
                </w14:textFill>
              </w:rPr>
              <w:t>广西钦州石化产业园重点管控单元</w:t>
            </w:r>
          </w:p>
        </w:tc>
      </w:tr>
      <w:tr w14:paraId="3A07E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restart"/>
            <w:vAlign w:val="center"/>
          </w:tcPr>
          <w:p w14:paraId="65D81A5A">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空间布局约束</w:t>
            </w:r>
          </w:p>
        </w:tc>
        <w:tc>
          <w:tcPr>
            <w:tcW w:w="2757" w:type="pct"/>
            <w:vAlign w:val="center"/>
          </w:tcPr>
          <w:p w14:paraId="2E77DB1E">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1．依据《国务院关于加强滨海湿地保护严格管控围填海的通知》，除国家重大战略项目外，原则上禁止新增围填海项目。三墩片区布局国家重大项目确需新增围填海的，须严格论证对中华白海豚等重点保护动物及其生境的影响，审慎决策，最大限度减轻不良环境影响。</w:t>
            </w:r>
          </w:p>
        </w:tc>
        <w:tc>
          <w:tcPr>
            <w:tcW w:w="1637" w:type="pct"/>
            <w:vAlign w:val="center"/>
          </w:tcPr>
          <w:p w14:paraId="471DE15E">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项目不涉及三墩片区。</w:t>
            </w:r>
          </w:p>
        </w:tc>
        <w:tc>
          <w:tcPr>
            <w:tcW w:w="250" w:type="pct"/>
            <w:vAlign w:val="center"/>
          </w:tcPr>
          <w:p w14:paraId="605BBA53">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3A5D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21331873">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403DAD79">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2．加强行业源头管控，严格执行《广西工业产业结构调整指导目录（2021年本）》，入园项目需符合国家产业政策、行业规范、地方发展规划和绿色发展等要求；建设项目应为石化产业园区产业链范围内的项目，选址应符合石化产业园区规划的功能分区。禁止引进不符合国家产业政策和相关行业准入条件，清洁生产水平不达标、装置单位产品能源消耗限额不达标、污染物排放不达标的项目。</w:t>
            </w:r>
          </w:p>
        </w:tc>
        <w:tc>
          <w:tcPr>
            <w:tcW w:w="1637" w:type="pct"/>
            <w:vAlign w:val="center"/>
          </w:tcPr>
          <w:p w14:paraId="1934CF8E">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项目生物柴油生产和工业级混合油生产均属于《产业结构调整指导目录（2024年本）》的鼓励类项目，属于石化产业，与园区规划产业不冲突，符合园区规划要求。</w:t>
            </w:r>
          </w:p>
        </w:tc>
        <w:tc>
          <w:tcPr>
            <w:tcW w:w="250" w:type="pct"/>
            <w:vAlign w:val="center"/>
          </w:tcPr>
          <w:p w14:paraId="1A0B30D6">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03A3A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1F207D97">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3C7EC8A5">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3．优化园区规划空间布局，对丙烯腈、苯乙烯、环氧丙烷等新引进项目加强源头风险管控；丙烯腈装置原则上应配套MMA装置同步建设，及时消耗丙烯腈装置产生的氢氰酸和废酸，降低环境风险。</w:t>
            </w:r>
          </w:p>
        </w:tc>
        <w:tc>
          <w:tcPr>
            <w:tcW w:w="1637" w:type="pct"/>
            <w:vAlign w:val="center"/>
          </w:tcPr>
          <w:p w14:paraId="66E44405">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50" w:type="pct"/>
            <w:vAlign w:val="center"/>
          </w:tcPr>
          <w:p w14:paraId="5E126B1A">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7D567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527B61C5">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6262B31B">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4．严格控制炼油规模，禁止建设未列入国家批准的相关规划的新建炼油及扩建一次炼油项目；新建石化和化工生产项目应符合《广西新建石化和化工生产项目准入管理办法（试行）》《化工园区开发建设导则》（GB/T42078-2022）相关要求。</w:t>
            </w:r>
          </w:p>
        </w:tc>
        <w:tc>
          <w:tcPr>
            <w:tcW w:w="1637" w:type="pct"/>
            <w:vAlign w:val="center"/>
          </w:tcPr>
          <w:p w14:paraId="7F7E0C44">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50" w:type="pct"/>
            <w:vAlign w:val="center"/>
          </w:tcPr>
          <w:p w14:paraId="21A97767">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3C547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4501E8DE">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754F7672">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5．严格“两高”建设项目环境准入，新建、改建、扩建“两高”项目须符合生态环境保护法律法规和相关法定规划，满足重点污染物总量控制、相关规划环评和相应行业建设项目环境准入条件等要求。</w:t>
            </w:r>
          </w:p>
        </w:tc>
        <w:tc>
          <w:tcPr>
            <w:tcW w:w="1637" w:type="pct"/>
            <w:vAlign w:val="center"/>
          </w:tcPr>
          <w:p w14:paraId="047FDF8A">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50" w:type="pct"/>
            <w:vAlign w:val="center"/>
          </w:tcPr>
          <w:p w14:paraId="38AF68CE">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3AFCF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136D0986">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59130D74">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6．园区周边1公里范围内临近生态保护红线（广西茅尾海红树林自治区级自然保护区）生态环境敏感区域，应优化产业布局，控制开发强度，新建、改建、扩建项目要采取切实可行的环保措施，降低对周边生态环境敏感区域的影响。</w:t>
            </w:r>
          </w:p>
        </w:tc>
        <w:tc>
          <w:tcPr>
            <w:tcW w:w="1637" w:type="pct"/>
            <w:vAlign w:val="center"/>
          </w:tcPr>
          <w:p w14:paraId="4AF808AF">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50" w:type="pct"/>
            <w:vAlign w:val="center"/>
          </w:tcPr>
          <w:p w14:paraId="287210D8">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5E9A4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57" w:type="pct"/>
            <w:vMerge w:val="restart"/>
            <w:vAlign w:val="center"/>
          </w:tcPr>
          <w:p w14:paraId="7CA0A07C">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污染物排放管控</w:t>
            </w:r>
          </w:p>
        </w:tc>
        <w:tc>
          <w:tcPr>
            <w:tcW w:w="2757" w:type="pct"/>
            <w:vAlign w:val="center"/>
          </w:tcPr>
          <w:p w14:paraId="3939B267">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1．大力推进低氮燃烧和烟气脱硝，有序推进园区集中供热。</w:t>
            </w:r>
          </w:p>
        </w:tc>
        <w:tc>
          <w:tcPr>
            <w:tcW w:w="1637" w:type="pct"/>
            <w:vAlign w:val="center"/>
          </w:tcPr>
          <w:p w14:paraId="757DEEE9">
            <w:pPr>
              <w:adjustRightInd w:val="0"/>
              <w:snapToGrid w:val="0"/>
              <w:spacing w:line="240" w:lineRule="auto"/>
              <w:rPr>
                <w:snapToGrid w:val="0"/>
                <w:color w:val="0D0D0D" w:themeColor="text1" w:themeTint="F2"/>
                <w:kern w:val="0"/>
                <w:sz w:val="21"/>
                <w:szCs w:val="21"/>
                <w:u w:val="single"/>
                <w14:textFill>
                  <w14:solidFill>
                    <w14:schemeClr w14:val="tx1">
                      <w14:lumMod w14:val="95000"/>
                      <w14:lumOff w14:val="5000"/>
                    </w14:schemeClr>
                  </w14:solidFill>
                </w14:textFill>
              </w:rPr>
            </w:pPr>
            <w:r>
              <w:rPr>
                <w:rFonts w:hint="eastAsia"/>
                <w:snapToGrid w:val="0"/>
                <w:color w:val="0D0D0D" w:themeColor="text1" w:themeTint="F2"/>
                <w:kern w:val="0"/>
                <w:sz w:val="21"/>
                <w:szCs w:val="21"/>
                <w:u w:val="single"/>
                <w14:textFill>
                  <w14:solidFill>
                    <w14:schemeClr w14:val="tx1">
                      <w14:lumMod w14:val="95000"/>
                      <w14:lumOff w14:val="5000"/>
                    </w14:schemeClr>
                  </w14:solidFill>
                </w14:textFill>
              </w:rPr>
              <w:t>导热油炉燃烧废气经各自配套的“旋风除尘器+布袋除尘器”处理后，通过40m高排气筒（DA002）排放。</w:t>
            </w:r>
          </w:p>
        </w:tc>
        <w:tc>
          <w:tcPr>
            <w:tcW w:w="250" w:type="pct"/>
            <w:vAlign w:val="center"/>
          </w:tcPr>
          <w:p w14:paraId="7B434425">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3894F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2045CCB8">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30CB74AE">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2．持续推进石化、化工等行业节能降碳改造；推动石化、化工等重点行业挥发性有机物（VOCs）污染防治。推动石化行业VOCs泄漏检测与修复行动、VOCs削减和有毒有害原料替代。</w:t>
            </w:r>
          </w:p>
        </w:tc>
        <w:tc>
          <w:tcPr>
            <w:tcW w:w="1637" w:type="pct"/>
            <w:vAlign w:val="center"/>
          </w:tcPr>
          <w:p w14:paraId="0847F5C8">
            <w:pPr>
              <w:adjustRightInd w:val="0"/>
              <w:snapToGrid w:val="0"/>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snapToGrid w:val="0"/>
                <w:color w:val="0D0D0D" w:themeColor="text1" w:themeTint="F2"/>
                <w:kern w:val="0"/>
                <w:sz w:val="21"/>
                <w:szCs w:val="21"/>
                <w:u w:val="single"/>
                <w14:textFill>
                  <w14:solidFill>
                    <w14:schemeClr w14:val="tx1">
                      <w14:lumMod w14:val="95000"/>
                      <w14:lumOff w14:val="5000"/>
                    </w14:schemeClr>
                  </w14:solidFill>
                </w14:textFill>
              </w:rPr>
              <w:t>项目</w:t>
            </w:r>
            <w:r>
              <w:rPr>
                <w:rFonts w:hint="eastAsia"/>
                <w:color w:val="0D0D0D" w:themeColor="text1" w:themeTint="F2"/>
                <w:sz w:val="21"/>
                <w:szCs w:val="21"/>
                <w:u w:val="single"/>
                <w14:textFill>
                  <w14:solidFill>
                    <w14:schemeClr w14:val="tx1">
                      <w14:lumMod w14:val="95000"/>
                      <w14:lumOff w14:val="5000"/>
                    </w14:schemeClr>
                  </w14:solidFill>
                </w14:textFill>
              </w:rPr>
              <w:t>生产线工艺废气和储罐大小呼吸废气经RCO催化燃烧装置处理后，通过30m高排气筒（DA001）排放</w:t>
            </w: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c>
          <w:tcPr>
            <w:tcW w:w="250" w:type="pct"/>
            <w:vAlign w:val="center"/>
          </w:tcPr>
          <w:p w14:paraId="4BACA078">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4B71C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0E38D26E">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34ED7F95">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3．石化、化工行业全面推进行业达标排放改造，鼓励采用先进的清洁生产技术，提高原油的转化和利用效率；新建石化和化工生产项目污染物排放必须同时满足污染物排放标准和主要污染物总量控制要求，必须配套固废综合利用或无害化处理设施，危险废物必须按照国家及自治区相关危险废物的管理规定进行贮存、转移、安全处置。</w:t>
            </w:r>
          </w:p>
        </w:tc>
        <w:tc>
          <w:tcPr>
            <w:tcW w:w="1637" w:type="pct"/>
            <w:vAlign w:val="center"/>
          </w:tcPr>
          <w:p w14:paraId="164444C2">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项目各污染物可达标排放，固体废物均得到妥善处置。</w:t>
            </w:r>
          </w:p>
        </w:tc>
        <w:tc>
          <w:tcPr>
            <w:tcW w:w="250" w:type="pct"/>
            <w:vAlign w:val="center"/>
          </w:tcPr>
          <w:p w14:paraId="540E80D8">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5D871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61F4E818">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0B78CF04">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4．逐步完成工业集聚区集中式污水处理设施建设，确保已建污水处理设施稳定运行及达标排放。园区集中式污水处理设施总排口安装自动监控系统、视频监控系统，并与生态环境主管部门联网。按照“清污分流、雨污分流”原则，实施废水分类收集、分质处理。</w:t>
            </w:r>
          </w:p>
        </w:tc>
        <w:tc>
          <w:tcPr>
            <w:tcW w:w="1637" w:type="pct"/>
            <w:vAlign w:val="center"/>
          </w:tcPr>
          <w:p w14:paraId="34AA8E51">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项目实行雨污分流，废水在厂区处理达标后排入市政污水管网，输送至钦州胜科水务有限公司污水处理厂进一步处理。</w:t>
            </w:r>
          </w:p>
        </w:tc>
        <w:tc>
          <w:tcPr>
            <w:tcW w:w="250" w:type="pct"/>
            <w:vAlign w:val="center"/>
          </w:tcPr>
          <w:p w14:paraId="0E22864E">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0E987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7C61E819">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5311F154">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5．园区及园区企业排放水污染物，要满足国家或者地方规定的水污染物排放标准和重点水污染物排放总量控制指标。直接外排水环境的，执行国家或者地方规定的标准要求；经城镇污水集中处理设施处理后排放的，执行市政部门管理要求；经园区污水集中处理设施处理后排放的，执行园区管理部门相关要求。</w:t>
            </w:r>
          </w:p>
        </w:tc>
        <w:tc>
          <w:tcPr>
            <w:tcW w:w="1637" w:type="pct"/>
            <w:vAlign w:val="center"/>
          </w:tcPr>
          <w:p w14:paraId="7264133B">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项目实行雨污分流，废水在厂区处理达标后排入市政污水管网，输送至钦州胜科水务有限公司污水处理厂进一步处理。</w:t>
            </w:r>
          </w:p>
        </w:tc>
        <w:tc>
          <w:tcPr>
            <w:tcW w:w="250" w:type="pct"/>
            <w:vAlign w:val="center"/>
          </w:tcPr>
          <w:p w14:paraId="0442B7F9">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539D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0680CE3C">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16747FEF">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6．鼓励建设高盐废水集中处理设施，回收固体盐类，降低外排水量和含盐浓度。</w:t>
            </w:r>
          </w:p>
        </w:tc>
        <w:tc>
          <w:tcPr>
            <w:tcW w:w="1637" w:type="pct"/>
            <w:vAlign w:val="center"/>
          </w:tcPr>
          <w:p w14:paraId="0E5CA6C7">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项目实行雨污分流，废水在厂区处理达标后排入市政污水管网，输送至钦州胜科水务有限公司污水处理厂进一步处理。</w:t>
            </w:r>
          </w:p>
        </w:tc>
        <w:tc>
          <w:tcPr>
            <w:tcW w:w="250" w:type="pct"/>
            <w:vAlign w:val="center"/>
          </w:tcPr>
          <w:p w14:paraId="1376E78E">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52C13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16CB5B07">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126FD16B">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7．严格控制石油类、氨氮、总磷等污染物排放浓度及排放量，采取有效措施减少挥发性有机化合物（VOCs）、氮氧化物（NOx）等污染物排放量。</w:t>
            </w:r>
          </w:p>
        </w:tc>
        <w:tc>
          <w:tcPr>
            <w:tcW w:w="1637" w:type="pct"/>
            <w:vAlign w:val="center"/>
          </w:tcPr>
          <w:p w14:paraId="66C1C059">
            <w:pPr>
              <w:adjustRightInd w:val="0"/>
              <w:snapToGrid w:val="0"/>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snapToGrid w:val="0"/>
                <w:color w:val="0D0D0D" w:themeColor="text1" w:themeTint="F2"/>
                <w:kern w:val="0"/>
                <w:sz w:val="21"/>
                <w:szCs w:val="21"/>
                <w:u w:val="single"/>
                <w14:textFill>
                  <w14:solidFill>
                    <w14:schemeClr w14:val="tx1">
                      <w14:lumMod w14:val="95000"/>
                      <w14:lumOff w14:val="5000"/>
                    </w14:schemeClr>
                  </w14:solidFill>
                </w14:textFill>
              </w:rPr>
              <w:t>项目</w:t>
            </w:r>
            <w:r>
              <w:rPr>
                <w:rFonts w:hint="eastAsia"/>
                <w:color w:val="0D0D0D" w:themeColor="text1" w:themeTint="F2"/>
                <w:sz w:val="21"/>
                <w:szCs w:val="21"/>
                <w:u w:val="single"/>
                <w14:textFill>
                  <w14:solidFill>
                    <w14:schemeClr w14:val="tx1">
                      <w14:lumMod w14:val="95000"/>
                      <w14:lumOff w14:val="5000"/>
                    </w14:schemeClr>
                  </w14:solidFill>
                </w14:textFill>
              </w:rPr>
              <w:t>生产线工艺废气和储罐大小呼吸废气经RCO催化燃烧装置处理后，通过30m高排气筒（DA001）排放</w:t>
            </w:r>
            <w:r>
              <w:rPr>
                <w:rFonts w:hint="eastAsia"/>
                <w:snapToGrid w:val="0"/>
                <w:color w:val="0D0D0D" w:themeColor="text1" w:themeTint="F2"/>
                <w:kern w:val="0"/>
                <w:sz w:val="21"/>
                <w:szCs w:val="21"/>
                <w:u w:val="single"/>
                <w14:textFill>
                  <w14:solidFill>
                    <w14:schemeClr w14:val="tx1">
                      <w14:lumMod w14:val="95000"/>
                      <w14:lumOff w14:val="5000"/>
                    </w14:schemeClr>
                  </w14:solidFill>
                </w14:textFill>
              </w:rPr>
              <w:t>。</w:t>
            </w:r>
          </w:p>
        </w:tc>
        <w:tc>
          <w:tcPr>
            <w:tcW w:w="250" w:type="pct"/>
            <w:vAlign w:val="center"/>
          </w:tcPr>
          <w:p w14:paraId="31FD054D">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6C851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restart"/>
            <w:vAlign w:val="center"/>
          </w:tcPr>
          <w:p w14:paraId="2D29FF96">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环境风险防控</w:t>
            </w:r>
          </w:p>
        </w:tc>
        <w:tc>
          <w:tcPr>
            <w:tcW w:w="2757" w:type="pct"/>
            <w:vAlign w:val="center"/>
          </w:tcPr>
          <w:p w14:paraId="3F3EF648">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1．建设项目应严格落实环境保护措施和环境风险防范措施，减缓对周边海域和陆域生态环境敏感区的不良环境影响。</w:t>
            </w:r>
          </w:p>
        </w:tc>
        <w:tc>
          <w:tcPr>
            <w:tcW w:w="1637" w:type="pct"/>
            <w:vAlign w:val="center"/>
          </w:tcPr>
          <w:p w14:paraId="6D7B0B5C">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项目严格落实环境保护措施和环境风险防范措施，减缓对周边海域和陆域生态环境敏感区的不良环境影响。</w:t>
            </w:r>
          </w:p>
        </w:tc>
        <w:tc>
          <w:tcPr>
            <w:tcW w:w="250" w:type="pct"/>
            <w:vAlign w:val="center"/>
          </w:tcPr>
          <w:p w14:paraId="246FB525">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32906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070F4D93">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711FB453">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2．三墩片区实行封闭式管理。开展环境风险评估，制定突发环境事件应急预案并备案，配备应急能力和物资，建设环境应急队伍，并定期演练。企业、园区与地方人民政府环境应急预案应当有机衔接。</w:t>
            </w:r>
          </w:p>
        </w:tc>
        <w:tc>
          <w:tcPr>
            <w:tcW w:w="1637" w:type="pct"/>
            <w:vAlign w:val="center"/>
          </w:tcPr>
          <w:p w14:paraId="6855CFA2">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项目不属于三墩片区。</w:t>
            </w:r>
          </w:p>
        </w:tc>
        <w:tc>
          <w:tcPr>
            <w:tcW w:w="250" w:type="pct"/>
            <w:vAlign w:val="center"/>
          </w:tcPr>
          <w:p w14:paraId="3F0B60E1">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1A149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2A2E8EE8">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572D3611">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3．土壤环境监管重点单位应当严格控制有毒有害物质排放，并按年度向所在地设区的市人民政府生态环境主管部门报告排放情况；建立土壤污染隐患排查制度，保证持续有效防止有毒有害物质渗漏、流失、扬散。</w:t>
            </w:r>
          </w:p>
        </w:tc>
        <w:tc>
          <w:tcPr>
            <w:tcW w:w="1637" w:type="pct"/>
            <w:vAlign w:val="center"/>
          </w:tcPr>
          <w:p w14:paraId="7C801791">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项目不排放有毒有害物质。</w:t>
            </w:r>
          </w:p>
        </w:tc>
        <w:tc>
          <w:tcPr>
            <w:tcW w:w="250" w:type="pct"/>
            <w:vAlign w:val="center"/>
          </w:tcPr>
          <w:p w14:paraId="59151D5F">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48102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restart"/>
            <w:vAlign w:val="center"/>
          </w:tcPr>
          <w:p w14:paraId="2B8F1F28">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资源开发利用效率要求</w:t>
            </w:r>
          </w:p>
        </w:tc>
        <w:tc>
          <w:tcPr>
            <w:tcW w:w="2757" w:type="pct"/>
            <w:vAlign w:val="center"/>
          </w:tcPr>
          <w:p w14:paraId="2CAB093D">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1．在禁燃区内，禁止销售、燃用高污染燃料；禁止新建、扩建燃用高污染燃料的设施，已建成的，应当在城市人民政府规定的期限内改用天然气、页岩气、液化石油气、电或者其他清洁能源。其余按照《钦州市人民政府关于划定高污染燃料禁燃区的通告》要求实施管理。</w:t>
            </w:r>
          </w:p>
        </w:tc>
        <w:tc>
          <w:tcPr>
            <w:tcW w:w="1637" w:type="pct"/>
            <w:vAlign w:val="center"/>
          </w:tcPr>
          <w:p w14:paraId="388E3C7B">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项目不在高污染燃料禁燃区。</w:t>
            </w:r>
          </w:p>
        </w:tc>
        <w:tc>
          <w:tcPr>
            <w:tcW w:w="250" w:type="pct"/>
            <w:vAlign w:val="center"/>
          </w:tcPr>
          <w:p w14:paraId="43B313EC">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0817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2652B677">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4E2EB731">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2．加强水资源消耗总量与强度控制，推进节水减排，提升水资源利用效率和效益。</w:t>
            </w:r>
          </w:p>
        </w:tc>
        <w:tc>
          <w:tcPr>
            <w:tcW w:w="1637" w:type="pct"/>
            <w:vAlign w:val="center"/>
          </w:tcPr>
          <w:p w14:paraId="7136A2F9">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项目用水未超过区域水资源上限。</w:t>
            </w:r>
          </w:p>
        </w:tc>
        <w:tc>
          <w:tcPr>
            <w:tcW w:w="250" w:type="pct"/>
            <w:vAlign w:val="center"/>
          </w:tcPr>
          <w:p w14:paraId="581711EF">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2C1B0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43077811">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1095E9DD">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3．坚持节约集约用地，提高土地利用效率。</w:t>
            </w:r>
          </w:p>
        </w:tc>
        <w:tc>
          <w:tcPr>
            <w:tcW w:w="1637" w:type="pct"/>
            <w:vAlign w:val="center"/>
          </w:tcPr>
          <w:p w14:paraId="62398AEA">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项目土地利用严格按照红线实行。</w:t>
            </w:r>
          </w:p>
        </w:tc>
        <w:tc>
          <w:tcPr>
            <w:tcW w:w="250" w:type="pct"/>
            <w:vAlign w:val="center"/>
          </w:tcPr>
          <w:p w14:paraId="549325B9">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526E6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vAlign w:val="center"/>
          </w:tcPr>
          <w:p w14:paraId="2342BD8C">
            <w:pPr>
              <w:adjustRightInd w:val="0"/>
              <w:snapToGrid w:val="0"/>
              <w:spacing w:line="240" w:lineRule="auto"/>
              <w:jc w:val="center"/>
              <w:rPr>
                <w:b/>
                <w:bCs/>
                <w:snapToGrid w:val="0"/>
                <w:color w:val="0D0D0D" w:themeColor="text1" w:themeTint="F2"/>
                <w:kern w:val="0"/>
                <w:sz w:val="21"/>
                <w:szCs w:val="21"/>
                <w14:textFill>
                  <w14:solidFill>
                    <w14:schemeClr w14:val="tx1">
                      <w14:lumMod w14:val="95000"/>
                      <w14:lumOff w14:val="5000"/>
                    </w14:schemeClr>
                  </w14:solidFill>
                </w14:textFill>
              </w:rPr>
            </w:pPr>
            <w:r>
              <w:rPr>
                <w:rFonts w:hint="eastAsia"/>
                <w:b/>
                <w:bCs/>
                <w:snapToGrid w:val="0"/>
                <w:color w:val="0D0D0D" w:themeColor="text1" w:themeTint="F2"/>
                <w:kern w:val="0"/>
                <w:sz w:val="21"/>
                <w:szCs w:val="21"/>
                <w14:textFill>
                  <w14:solidFill>
                    <w14:schemeClr w14:val="tx1">
                      <w14:lumMod w14:val="95000"/>
                      <w14:lumOff w14:val="5000"/>
                    </w14:schemeClr>
                  </w14:solidFill>
                </w14:textFill>
              </w:rPr>
              <w:t>钦州港经济技术开发区重点管控单元</w:t>
            </w:r>
          </w:p>
        </w:tc>
      </w:tr>
      <w:tr w14:paraId="359B2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restart"/>
            <w:vAlign w:val="center"/>
          </w:tcPr>
          <w:p w14:paraId="3A2C716A">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空间布局约束</w:t>
            </w:r>
          </w:p>
        </w:tc>
        <w:tc>
          <w:tcPr>
            <w:tcW w:w="2757" w:type="pct"/>
            <w:vAlign w:val="center"/>
          </w:tcPr>
          <w:p w14:paraId="5607B4E4">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1．引进项目清洁生产水平须达到国内同行业先进水平。不得引进与园区产业定位不符的产业。</w:t>
            </w:r>
          </w:p>
        </w:tc>
        <w:tc>
          <w:tcPr>
            <w:tcW w:w="1637" w:type="pct"/>
            <w:vAlign w:val="center"/>
          </w:tcPr>
          <w:p w14:paraId="00B37050">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项目符合园区产业定位。</w:t>
            </w:r>
          </w:p>
        </w:tc>
        <w:tc>
          <w:tcPr>
            <w:tcW w:w="250" w:type="pct"/>
            <w:vAlign w:val="center"/>
          </w:tcPr>
          <w:p w14:paraId="7EE86C99">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5B495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6C238646">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29E3244A">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2．禁止新建不符合国家产业政策的生产项目以及其他不符合园区产业规划的严重污染水环境的生产项目。</w:t>
            </w:r>
          </w:p>
        </w:tc>
        <w:tc>
          <w:tcPr>
            <w:tcW w:w="1637" w:type="pct"/>
            <w:vAlign w:val="center"/>
          </w:tcPr>
          <w:p w14:paraId="09F40447">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项目符合国家和园区的产业政策要求。</w:t>
            </w:r>
          </w:p>
        </w:tc>
        <w:tc>
          <w:tcPr>
            <w:tcW w:w="250" w:type="pct"/>
            <w:vAlign w:val="center"/>
          </w:tcPr>
          <w:p w14:paraId="7154BFA7">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6ED16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57" w:type="pct"/>
            <w:vMerge w:val="continue"/>
            <w:vAlign w:val="center"/>
          </w:tcPr>
          <w:p w14:paraId="44535A2E">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4CB77006">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3．严格“两高”建设项目环境准入，新建、改建、扩建“两高”项目须符合生态环境保护法律法规和相关法定规划，满足重点污染物总量控制、相关规划环评和相应行业建设项目环境准入条件等要求。</w:t>
            </w:r>
          </w:p>
        </w:tc>
        <w:tc>
          <w:tcPr>
            <w:tcW w:w="1637" w:type="pct"/>
            <w:vAlign w:val="center"/>
          </w:tcPr>
          <w:p w14:paraId="345183CD">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项目不属于“两高”项目。</w:t>
            </w:r>
          </w:p>
        </w:tc>
        <w:tc>
          <w:tcPr>
            <w:tcW w:w="250" w:type="pct"/>
            <w:vAlign w:val="center"/>
          </w:tcPr>
          <w:p w14:paraId="363A1F59">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08BBB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5DACA381">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4309675A">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4．园区产业准入执行《广西壮族自治区人民政府办公厅关于印发北钦防一体化产业协同发展限制布局清单（工业类2021年版）的通知》（桂政办函〔2021〕4号）要求，限制新建水泥制造、建筑陶瓷制品制造、制革及毛皮加工等工业项目。</w:t>
            </w:r>
          </w:p>
        </w:tc>
        <w:tc>
          <w:tcPr>
            <w:tcW w:w="1637" w:type="pct"/>
            <w:vAlign w:val="center"/>
          </w:tcPr>
          <w:p w14:paraId="5ACEB937">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项目不属于所列行业。</w:t>
            </w:r>
          </w:p>
        </w:tc>
        <w:tc>
          <w:tcPr>
            <w:tcW w:w="250" w:type="pct"/>
            <w:vAlign w:val="center"/>
          </w:tcPr>
          <w:p w14:paraId="47A464CC">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55F3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42353224">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0DD163E6">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5．严格执行危险化学品“禁限控”目录，新建危险化学品生产项目必须进入一般或较低安全风险等级的化工园区。</w:t>
            </w:r>
          </w:p>
        </w:tc>
        <w:tc>
          <w:tcPr>
            <w:tcW w:w="1637" w:type="pct"/>
            <w:vAlign w:val="center"/>
          </w:tcPr>
          <w:p w14:paraId="34F239B5">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项目不涉及危险化学品生产。</w:t>
            </w:r>
          </w:p>
        </w:tc>
        <w:tc>
          <w:tcPr>
            <w:tcW w:w="250" w:type="pct"/>
            <w:vAlign w:val="center"/>
          </w:tcPr>
          <w:p w14:paraId="4B9CB5B6">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1F46D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1C9293CB">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3E3C833A">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6．园区周边1公里范围内临近生态保护红线（广西茅尾海红树林自治区级自然保护区）以及金窝水库饮用水水源保护区生态环境敏感区域，应优化产业布局，控制开发强度，新建、改建、扩建项目要采取切实可行的环保措施，降低对周边生态环境敏感区域的影响。</w:t>
            </w:r>
          </w:p>
        </w:tc>
        <w:tc>
          <w:tcPr>
            <w:tcW w:w="1637" w:type="pct"/>
            <w:vAlign w:val="center"/>
          </w:tcPr>
          <w:p w14:paraId="32830F8E">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50" w:type="pct"/>
            <w:vAlign w:val="center"/>
          </w:tcPr>
          <w:p w14:paraId="68F87900">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5D293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restart"/>
            <w:vAlign w:val="center"/>
          </w:tcPr>
          <w:p w14:paraId="02BAC8C6">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污染物排放管控</w:t>
            </w:r>
          </w:p>
        </w:tc>
        <w:tc>
          <w:tcPr>
            <w:tcW w:w="2757" w:type="pct"/>
            <w:vAlign w:val="center"/>
          </w:tcPr>
          <w:p w14:paraId="52B4FBB7">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1．持续推进石化、化工等行业节能降碳改造；推动石化、化工等重点行业挥发性有机物（VOCs）污染防治。推动石化行业VOCs泄漏检测与修复行动、VOCs削减和有毒有害原料替代。</w:t>
            </w:r>
          </w:p>
        </w:tc>
        <w:tc>
          <w:tcPr>
            <w:tcW w:w="1637" w:type="pct"/>
            <w:vAlign w:val="center"/>
          </w:tcPr>
          <w:p w14:paraId="042986A2">
            <w:pPr>
              <w:adjustRightInd w:val="0"/>
              <w:snapToGrid w:val="0"/>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snapToGrid w:val="0"/>
                <w:color w:val="0D0D0D" w:themeColor="text1" w:themeTint="F2"/>
                <w:kern w:val="0"/>
                <w:sz w:val="21"/>
                <w:szCs w:val="21"/>
                <w:u w:val="single"/>
                <w14:textFill>
                  <w14:solidFill>
                    <w14:schemeClr w14:val="tx1">
                      <w14:lumMod w14:val="95000"/>
                      <w14:lumOff w14:val="5000"/>
                    </w14:schemeClr>
                  </w14:solidFill>
                </w14:textFill>
              </w:rPr>
              <w:t>项目</w:t>
            </w:r>
            <w:r>
              <w:rPr>
                <w:rFonts w:hint="eastAsia"/>
                <w:color w:val="0D0D0D" w:themeColor="text1" w:themeTint="F2"/>
                <w:sz w:val="21"/>
                <w:szCs w:val="21"/>
                <w:u w:val="single"/>
                <w14:textFill>
                  <w14:solidFill>
                    <w14:schemeClr w14:val="tx1">
                      <w14:lumMod w14:val="95000"/>
                      <w14:lumOff w14:val="5000"/>
                    </w14:schemeClr>
                  </w14:solidFill>
                </w14:textFill>
              </w:rPr>
              <w:t>生产线工艺废气和储罐大小呼吸废气经RCO催化燃烧装置处理后，通过30m高排气筒（DA001）排放</w:t>
            </w:r>
            <w:r>
              <w:rPr>
                <w:rFonts w:hint="eastAsia"/>
                <w:snapToGrid w:val="0"/>
                <w:color w:val="0D0D0D" w:themeColor="text1" w:themeTint="F2"/>
                <w:kern w:val="0"/>
                <w:sz w:val="21"/>
                <w:szCs w:val="21"/>
                <w:u w:val="single"/>
                <w14:textFill>
                  <w14:solidFill>
                    <w14:schemeClr w14:val="tx1">
                      <w14:lumMod w14:val="95000"/>
                      <w14:lumOff w14:val="5000"/>
                    </w14:schemeClr>
                  </w14:solidFill>
                </w14:textFill>
              </w:rPr>
              <w:t>。</w:t>
            </w:r>
          </w:p>
        </w:tc>
        <w:tc>
          <w:tcPr>
            <w:tcW w:w="250" w:type="pct"/>
            <w:vAlign w:val="center"/>
          </w:tcPr>
          <w:p w14:paraId="481EB597">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660C3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2B6191C0">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59213BBB">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2．石化行业全面推进行业达标排放改造，新建、改建、扩建涉及重点重金属排放建设项目依照相关规定实行总量控制。</w:t>
            </w:r>
          </w:p>
        </w:tc>
        <w:tc>
          <w:tcPr>
            <w:tcW w:w="1637" w:type="pct"/>
            <w:vAlign w:val="center"/>
          </w:tcPr>
          <w:p w14:paraId="6AFD4BA0">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50" w:type="pct"/>
            <w:vAlign w:val="center"/>
          </w:tcPr>
          <w:p w14:paraId="124B1909">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2E454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50B160EA">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3FDFC8D4">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3．完善工业园区污水集中处理设施和配套管网。实行“清污分流、雨污分流”，实现废水分类收集、分质处理，入园企业应在达到国家或地方规定的排放标准后接入集中式污水处理设施处理，园区集中式污水处理设施总排口应安装自动监控系统、视频监控系统，并与生态环境主管部门联网。加快推进深海排放基础设施建设。</w:t>
            </w:r>
          </w:p>
        </w:tc>
        <w:tc>
          <w:tcPr>
            <w:tcW w:w="1637" w:type="pct"/>
            <w:vAlign w:val="center"/>
          </w:tcPr>
          <w:p w14:paraId="07283301">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项目实行雨污分流，废水在厂区处理达标后排入市政污水管网，输送至钦州胜科水务有限公司污水处理厂进一步处理。</w:t>
            </w:r>
          </w:p>
        </w:tc>
        <w:tc>
          <w:tcPr>
            <w:tcW w:w="250" w:type="pct"/>
            <w:vAlign w:val="center"/>
          </w:tcPr>
          <w:p w14:paraId="2C395381">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1A787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15415FA5">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07FF0C25">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4．加强园区无组织废气排放管理。</w:t>
            </w:r>
          </w:p>
        </w:tc>
        <w:tc>
          <w:tcPr>
            <w:tcW w:w="1637" w:type="pct"/>
            <w:vAlign w:val="center"/>
          </w:tcPr>
          <w:p w14:paraId="5E819AB1">
            <w:pPr>
              <w:adjustRightInd w:val="0"/>
              <w:snapToGrid w:val="0"/>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运营期生产线工艺废气和储罐大小呼吸废气经RCO催化燃烧装置处理后，通过30m高排气筒（DA001）排放；污水处理站废气经“二级碱液喷淋+除雾器”预处理后排入RCO催化燃烧装置处理，最后通过30m高排气筒（DA001）排放；沼气脱硫净化后引至1＃导热油炉燃烧处理；白土投料粉尘产生量较少，无组织排放；导热油炉燃烧废气经各自配套的“旋风除尘器+布袋除尘器”处理后，通过40m高排气筒（DA002）排放</w:t>
            </w:r>
            <w:r>
              <w:rPr>
                <w:rFonts w:hint="eastAsia"/>
                <w:snapToGrid w:val="0"/>
                <w:color w:val="0D0D0D" w:themeColor="text1" w:themeTint="F2"/>
                <w:kern w:val="0"/>
                <w:sz w:val="21"/>
                <w:szCs w:val="21"/>
                <w:u w:val="single"/>
                <w14:textFill>
                  <w14:solidFill>
                    <w14:schemeClr w14:val="tx1">
                      <w14:lumMod w14:val="95000"/>
                      <w14:lumOff w14:val="5000"/>
                    </w14:schemeClr>
                  </w14:solidFill>
                </w14:textFill>
              </w:rPr>
              <w:t>。</w:t>
            </w:r>
          </w:p>
        </w:tc>
        <w:tc>
          <w:tcPr>
            <w:tcW w:w="250" w:type="pct"/>
            <w:vAlign w:val="center"/>
          </w:tcPr>
          <w:p w14:paraId="2D185B6F">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194D3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0F4A131D">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27CBEE71">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5．强化固体废物减量化、资源化和无害化控制原则处置，尽量实现废物的综合利用，危险废物应交由有危废处理资质的单位进行安全处置。</w:t>
            </w:r>
          </w:p>
        </w:tc>
        <w:tc>
          <w:tcPr>
            <w:tcW w:w="1637" w:type="pct"/>
            <w:vAlign w:val="center"/>
          </w:tcPr>
          <w:p w14:paraId="558733A6">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项目各类固废处置去向明确，处置措施可行。</w:t>
            </w:r>
          </w:p>
        </w:tc>
        <w:tc>
          <w:tcPr>
            <w:tcW w:w="250" w:type="pct"/>
            <w:vAlign w:val="center"/>
          </w:tcPr>
          <w:p w14:paraId="3ED555E6">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104F2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343CF685">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21CA2DCD">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6．持续推进工业污染源全面达标排放，推进园区技术、工艺、设备等实施能效提升、清洁生产、循环利用等专项技术改造。</w:t>
            </w:r>
          </w:p>
        </w:tc>
        <w:tc>
          <w:tcPr>
            <w:tcW w:w="1637" w:type="pct"/>
            <w:vAlign w:val="center"/>
          </w:tcPr>
          <w:p w14:paraId="644BD103">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项目落实各项环保措施要求后，各污染均可达标排放。</w:t>
            </w:r>
          </w:p>
        </w:tc>
        <w:tc>
          <w:tcPr>
            <w:tcW w:w="250" w:type="pct"/>
            <w:vAlign w:val="center"/>
          </w:tcPr>
          <w:p w14:paraId="4B9E3B21">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46308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7912E3BE">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64B7DCF8">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7．2025年，PM</w:t>
            </w:r>
            <w:r>
              <w:rPr>
                <w:rFonts w:hint="eastAsia"/>
                <w:snapToGrid w:val="0"/>
                <w:color w:val="0D0D0D" w:themeColor="text1" w:themeTint="F2"/>
                <w:kern w:val="0"/>
                <w:sz w:val="21"/>
                <w:szCs w:val="21"/>
                <w:vertAlign w:val="subscript"/>
                <w14:textFill>
                  <w14:solidFill>
                    <w14:schemeClr w14:val="tx1">
                      <w14:lumMod w14:val="95000"/>
                      <w14:lumOff w14:val="5000"/>
                    </w14:schemeClr>
                  </w14:solidFill>
                </w14:textFill>
              </w:rPr>
              <w:t>2.5</w:t>
            </w:r>
            <w:r>
              <w:rPr>
                <w:rFonts w:hint="eastAsia"/>
                <w:snapToGrid w:val="0"/>
                <w:color w:val="0D0D0D" w:themeColor="text1" w:themeTint="F2"/>
                <w:kern w:val="0"/>
                <w:sz w:val="21"/>
                <w:szCs w:val="21"/>
                <w14:textFill>
                  <w14:solidFill>
                    <w14:schemeClr w14:val="tx1">
                      <w14:lumMod w14:val="95000"/>
                      <w14:lumOff w14:val="5000"/>
                    </w14:schemeClr>
                  </w14:solidFill>
                </w14:textFill>
              </w:rPr>
              <w:t>浓度不高于26.5微克/立方米，实际考核目标以国家、自治区下达为准。</w:t>
            </w:r>
          </w:p>
        </w:tc>
        <w:tc>
          <w:tcPr>
            <w:tcW w:w="1637" w:type="pct"/>
            <w:vAlign w:val="center"/>
          </w:tcPr>
          <w:p w14:paraId="7CA4F420">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50" w:type="pct"/>
            <w:vAlign w:val="center"/>
          </w:tcPr>
          <w:p w14:paraId="5F366E41">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55C8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restart"/>
            <w:vAlign w:val="center"/>
          </w:tcPr>
          <w:p w14:paraId="6C9ABAA9">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环境风险防控</w:t>
            </w:r>
          </w:p>
        </w:tc>
        <w:tc>
          <w:tcPr>
            <w:tcW w:w="2757" w:type="pct"/>
            <w:vAlign w:val="center"/>
          </w:tcPr>
          <w:p w14:paraId="06F7CD79">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1．开展环境风险评估，制定突发环境事件应急预案并备案，配备应急能力和物资，建设环境应急队伍，并定期演练。企业、园区与地方人民政府环境应急预案应当有机衔接。</w:t>
            </w:r>
          </w:p>
        </w:tc>
        <w:tc>
          <w:tcPr>
            <w:tcW w:w="1637" w:type="pct"/>
            <w:vAlign w:val="center"/>
          </w:tcPr>
          <w:p w14:paraId="6B9259F8">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项目后期按要求编制突发环境事件应急预案，并备案。</w:t>
            </w:r>
          </w:p>
        </w:tc>
        <w:tc>
          <w:tcPr>
            <w:tcW w:w="250" w:type="pct"/>
            <w:vAlign w:val="center"/>
          </w:tcPr>
          <w:p w14:paraId="68927614">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7494C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28D8733A">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12C940AE">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2．土壤环境监管重点单位应当严格控制有毒有害物质排放，并按年度向生态环境主管部门报告排放情况；建立土壤污染隐患排查制度，保证持续有效防止有毒有害物质渗漏、流失、扬散；制定、实施自行监测方案，并将监测数据报生态环境主管部门。</w:t>
            </w:r>
          </w:p>
        </w:tc>
        <w:tc>
          <w:tcPr>
            <w:tcW w:w="1637" w:type="pct"/>
            <w:vAlign w:val="center"/>
          </w:tcPr>
          <w:p w14:paraId="4DC30710">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snapToGrid w:val="0"/>
                <w:color w:val="0D0D0D" w:themeColor="text1" w:themeTint="F2"/>
                <w:kern w:val="0"/>
                <w:sz w:val="21"/>
                <w:szCs w:val="21"/>
                <w14:textFill>
                  <w14:solidFill>
                    <w14:schemeClr w14:val="tx1">
                      <w14:lumMod w14:val="95000"/>
                      <w14:lumOff w14:val="5000"/>
                    </w14:schemeClr>
                  </w14:solidFill>
                </w14:textFill>
              </w:rPr>
              <w:t>项目不涉及该项。</w:t>
            </w:r>
          </w:p>
        </w:tc>
        <w:tc>
          <w:tcPr>
            <w:tcW w:w="250" w:type="pct"/>
            <w:vAlign w:val="center"/>
          </w:tcPr>
          <w:p w14:paraId="4DF2BEF6">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w:t>
            </w:r>
          </w:p>
        </w:tc>
      </w:tr>
      <w:tr w14:paraId="546C1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09D3D0AC">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1DF91C05">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3．建设项目应严格落实环境保护措施和环境风险防范措施，减缓对周边生态环境敏感区的不良环境影响。</w:t>
            </w:r>
          </w:p>
        </w:tc>
        <w:tc>
          <w:tcPr>
            <w:tcW w:w="1637" w:type="pct"/>
            <w:vAlign w:val="center"/>
          </w:tcPr>
          <w:p w14:paraId="78B4B4DE">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项目运营期间落实各项风险防控措施后，环境风险影响较小。</w:t>
            </w:r>
          </w:p>
        </w:tc>
        <w:tc>
          <w:tcPr>
            <w:tcW w:w="250" w:type="pct"/>
            <w:vAlign w:val="center"/>
          </w:tcPr>
          <w:p w14:paraId="478BACAC">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7D9C5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restart"/>
            <w:vAlign w:val="center"/>
          </w:tcPr>
          <w:p w14:paraId="6B7F2345">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资源开发利用效率要求</w:t>
            </w:r>
          </w:p>
        </w:tc>
        <w:tc>
          <w:tcPr>
            <w:tcW w:w="2757" w:type="pct"/>
            <w:vAlign w:val="center"/>
          </w:tcPr>
          <w:p w14:paraId="0778EEBA">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1．污染物排放以及用水、能耗、物耗、岸线与土地利用等资源环境指标达到行业先进水平。</w:t>
            </w:r>
          </w:p>
        </w:tc>
        <w:tc>
          <w:tcPr>
            <w:tcW w:w="1637" w:type="pct"/>
            <w:vAlign w:val="center"/>
          </w:tcPr>
          <w:p w14:paraId="456B1556">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项目污染物达标排放，水耗、能耗等占区域总量较小。</w:t>
            </w:r>
          </w:p>
        </w:tc>
        <w:tc>
          <w:tcPr>
            <w:tcW w:w="250" w:type="pct"/>
            <w:vAlign w:val="center"/>
          </w:tcPr>
          <w:p w14:paraId="381E4DD3">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399B1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79D1DF82">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037877FD">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2．在禁燃区内，禁止销售、燃用高污染燃料；禁止新建、扩建燃用高污染燃料的设施，已建成的，应当在城市人民政府规定的期限内改用天然气、页岩气、液化石油气、电或者其他清洁能源。其余按照《钦州市人民政府关于划定高污染燃料禁燃区的通告》要求实施管理。</w:t>
            </w:r>
          </w:p>
        </w:tc>
        <w:tc>
          <w:tcPr>
            <w:tcW w:w="1637" w:type="pct"/>
            <w:vAlign w:val="center"/>
          </w:tcPr>
          <w:p w14:paraId="3F9FDED5">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项目不属于高污染燃料禁燃区。</w:t>
            </w:r>
          </w:p>
        </w:tc>
        <w:tc>
          <w:tcPr>
            <w:tcW w:w="250" w:type="pct"/>
            <w:vAlign w:val="center"/>
          </w:tcPr>
          <w:p w14:paraId="73345483">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2F6CE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2DB70862">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61C95BB6">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3．推进区域土地节约集约利用，优先保障区域主导产业发展用地。</w:t>
            </w:r>
          </w:p>
        </w:tc>
        <w:tc>
          <w:tcPr>
            <w:tcW w:w="1637" w:type="pct"/>
            <w:vAlign w:val="center"/>
          </w:tcPr>
          <w:p w14:paraId="04D0333B">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项目土地利用严格按照红线实行。</w:t>
            </w:r>
          </w:p>
        </w:tc>
        <w:tc>
          <w:tcPr>
            <w:tcW w:w="250" w:type="pct"/>
            <w:vAlign w:val="center"/>
          </w:tcPr>
          <w:p w14:paraId="424A174E">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r w14:paraId="156D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7" w:type="pct"/>
            <w:vMerge w:val="continue"/>
            <w:vAlign w:val="center"/>
          </w:tcPr>
          <w:p w14:paraId="758C20F0">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p>
        </w:tc>
        <w:tc>
          <w:tcPr>
            <w:tcW w:w="2757" w:type="pct"/>
            <w:vAlign w:val="center"/>
          </w:tcPr>
          <w:p w14:paraId="1BD87DC4">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4．提升水资源利用效率，实行水资源消耗总量与消耗强度“双控”行动。</w:t>
            </w:r>
          </w:p>
        </w:tc>
        <w:tc>
          <w:tcPr>
            <w:tcW w:w="1637" w:type="pct"/>
            <w:vAlign w:val="center"/>
          </w:tcPr>
          <w:p w14:paraId="5B5D954E">
            <w:pPr>
              <w:adjustRightInd w:val="0"/>
              <w:snapToGrid w:val="0"/>
              <w:spacing w:line="240" w:lineRule="auto"/>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项目用水未超过区域水资源上限。</w:t>
            </w:r>
          </w:p>
        </w:tc>
        <w:tc>
          <w:tcPr>
            <w:tcW w:w="250" w:type="pct"/>
            <w:vAlign w:val="center"/>
          </w:tcPr>
          <w:p w14:paraId="3035A7A8">
            <w:pPr>
              <w:adjustRightInd w:val="0"/>
              <w:snapToGrid w:val="0"/>
              <w:spacing w:line="240" w:lineRule="auto"/>
              <w:jc w:val="center"/>
              <w:rPr>
                <w:snapToGrid w:val="0"/>
                <w:color w:val="0D0D0D" w:themeColor="text1" w:themeTint="F2"/>
                <w:kern w:val="0"/>
                <w:sz w:val="21"/>
                <w:szCs w:val="21"/>
                <w14:textFill>
                  <w14:solidFill>
                    <w14:schemeClr w14:val="tx1">
                      <w14:lumMod w14:val="95000"/>
                      <w14:lumOff w14:val="5000"/>
                    </w14:schemeClr>
                  </w14:solidFill>
                </w14:textFill>
              </w:rPr>
            </w:pPr>
            <w:r>
              <w:rPr>
                <w:rFonts w:hint="eastAsia"/>
                <w:snapToGrid w:val="0"/>
                <w:color w:val="0D0D0D" w:themeColor="text1" w:themeTint="F2"/>
                <w:kern w:val="0"/>
                <w:sz w:val="21"/>
                <w:szCs w:val="21"/>
                <w14:textFill>
                  <w14:solidFill>
                    <w14:schemeClr w14:val="tx1">
                      <w14:lumMod w14:val="95000"/>
                      <w14:lumOff w14:val="5000"/>
                    </w14:schemeClr>
                  </w14:solidFill>
                </w14:textFill>
              </w:rPr>
              <w:t>符合</w:t>
            </w:r>
          </w:p>
        </w:tc>
      </w:tr>
    </w:tbl>
    <w:p w14:paraId="0CB7CCF1">
      <w:pPr>
        <w:autoSpaceDE w:val="0"/>
        <w:autoSpaceDN w:val="0"/>
        <w:adjustRightInd w:val="0"/>
        <w:snapToGrid w:val="0"/>
        <w:ind w:firstLine="480" w:firstLineChars="200"/>
        <w:rPr>
          <w:rFonts w:cs="宋体"/>
          <w:color w:val="0D0D0D" w:themeColor="text1" w:themeTint="F2"/>
          <w:kern w:val="0"/>
          <w14:textFill>
            <w14:solidFill>
              <w14:schemeClr w14:val="tx1">
                <w14:lumMod w14:val="95000"/>
                <w14:lumOff w14:val="5000"/>
              </w14:schemeClr>
            </w14:solidFill>
          </w14:textFill>
        </w:rPr>
      </w:pPr>
      <w:r>
        <w:rPr>
          <w:rFonts w:hint="eastAsia" w:cs="宋体"/>
          <w:color w:val="0D0D0D" w:themeColor="text1" w:themeTint="F2"/>
          <w:kern w:val="0"/>
          <w14:textFill>
            <w14:solidFill>
              <w14:schemeClr w14:val="tx1">
                <w14:lumMod w14:val="95000"/>
                <w14:lumOff w14:val="5000"/>
              </w14:schemeClr>
            </w14:solidFill>
          </w14:textFill>
        </w:rPr>
        <w:t>综上所述，项目建设符合“三线一单”管控要求。</w:t>
      </w:r>
    </w:p>
    <w:p w14:paraId="1388A539">
      <w:pPr>
        <w:pStyle w:val="9"/>
      </w:pPr>
      <w:bookmarkStart w:id="79" w:name="_Toc204062558"/>
      <w:r>
        <w:rPr>
          <w:rFonts w:hint="eastAsia"/>
        </w:rPr>
        <w:t>“三区三线”相符性分析</w:t>
      </w:r>
      <w:bookmarkEnd w:id="79"/>
    </w:p>
    <w:p w14:paraId="41B3263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lang w:eastAsia="zh-CN"/>
          <w14:textFill>
            <w14:solidFill>
              <w14:schemeClr w14:val="tx1">
                <w14:lumMod w14:val="95000"/>
                <w14:lumOff w14:val="5000"/>
              </w14:schemeClr>
            </w14:solidFill>
          </w14:textFill>
        </w:rPr>
        <w:t>“三区三线”</w:t>
      </w:r>
      <w:r>
        <w:rPr>
          <w:rFonts w:hint="eastAsia"/>
          <w:color w:val="0D0D0D" w:themeColor="text1" w:themeTint="F2"/>
          <w14:textFill>
            <w14:solidFill>
              <w14:schemeClr w14:val="tx1">
                <w14:lumMod w14:val="95000"/>
                <w14:lumOff w14:val="5000"/>
              </w14:schemeClr>
            </w14:solidFill>
          </w14:textFill>
        </w:rPr>
        <w:t>是根据城镇空间、农业空间、生态空间三种类型的空间，分别对应划定的城镇开发边界、永久基本农田保护红线、生态保护红线三条控制线。</w:t>
      </w:r>
    </w:p>
    <w:p w14:paraId="3DFC7CB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位于中国（广西）自由贸易试验区钦州港片区临海大道西面、勒沟东大街北面，用地类型为工业用地，选址位于城镇开发边界范围内，不占用永久基本农田保护红线和生态保护红线，根据中国（广西）自由贸易试验区钦州港片区自然资源和建设局关于项目的选址意见，项目选址已纳入《钦州市国土空间总体规划（2021-2035年）》，符合“三区三线”管控要求。</w:t>
      </w:r>
    </w:p>
    <w:p w14:paraId="69D8B61C">
      <w:pPr>
        <w:pStyle w:val="2"/>
        <w:ind w:firstLine="24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14:paraId="0ECBCBD4">
      <w:pPr>
        <w:pStyle w:val="7"/>
      </w:pPr>
      <w:bookmarkStart w:id="80" w:name="_Toc204062559"/>
      <w:r>
        <w:rPr>
          <w:rFonts w:hint="eastAsia"/>
        </w:rPr>
        <w:t>项目概况及工程分析</w:t>
      </w:r>
      <w:bookmarkEnd w:id="80"/>
    </w:p>
    <w:p w14:paraId="0B776889">
      <w:pPr>
        <w:pStyle w:val="8"/>
        <w:numPr>
          <w:ilvl w:val="1"/>
          <w:numId w:val="26"/>
        </w:numPr>
      </w:pPr>
      <w:bookmarkStart w:id="81" w:name="_Toc204062560"/>
      <w:r>
        <w:rPr>
          <w:rFonts w:hint="eastAsia"/>
        </w:rPr>
        <w:t>项目概况</w:t>
      </w:r>
      <w:bookmarkEnd w:id="81"/>
    </w:p>
    <w:p w14:paraId="3E73BAA7">
      <w:pPr>
        <w:pStyle w:val="9"/>
        <w:numPr>
          <w:ilvl w:val="2"/>
          <w:numId w:val="27"/>
        </w:numPr>
      </w:pPr>
      <w:bookmarkStart w:id="82" w:name="_Toc204062561"/>
      <w:r>
        <w:rPr>
          <w:rFonts w:hint="eastAsia"/>
        </w:rPr>
        <w:t>建设项目基本情况</w:t>
      </w:r>
      <w:bookmarkEnd w:id="82"/>
    </w:p>
    <w:p w14:paraId="1343207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（1）项目名称：欧德年产30万吨生物柴油生产线项目</w:t>
      </w:r>
    </w:p>
    <w:p w14:paraId="114245D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（2）建设单位：广西自贸区丰之力新能源有限公司</w:t>
      </w:r>
    </w:p>
    <w:p w14:paraId="367CED5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（3）用地面积：</w:t>
      </w:r>
      <w:r>
        <w:rPr>
          <w:color w:val="0D0D0D" w:themeColor="text1" w:themeTint="F2"/>
          <w14:textFill>
            <w14:solidFill>
              <w14:schemeClr w14:val="tx1">
                <w14:lumMod w14:val="95000"/>
                <w14:lumOff w14:val="5000"/>
              </w14:schemeClr>
            </w14:solidFill>
          </w14:textFill>
        </w:rPr>
        <w:t>33333.34m</w:t>
      </w:r>
      <w:r>
        <w:rPr>
          <w:color w:val="0D0D0D" w:themeColor="text1" w:themeTint="F2"/>
          <w:vertAlign w:val="superscript"/>
          <w14:textFill>
            <w14:solidFill>
              <w14:schemeClr w14:val="tx1">
                <w14:lumMod w14:val="95000"/>
                <w14:lumOff w14:val="5000"/>
              </w14:schemeClr>
            </w14:solidFill>
          </w14:textFill>
        </w:rPr>
        <w:t>2</w:t>
      </w:r>
    </w:p>
    <w:p w14:paraId="71AA05F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（4）建设性质：新建</w:t>
      </w:r>
    </w:p>
    <w:p w14:paraId="22B382A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（5）总投资：12500万元</w:t>
      </w:r>
    </w:p>
    <w:p w14:paraId="5BA8749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（6）建设周期：计划在2025年8月开工建设，于2026年8月投产，施工期为12个月。</w:t>
      </w:r>
    </w:p>
    <w:p w14:paraId="5E59A79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（7）建设地点：位于中国（广西）自由贸易试验区钦州港片区钦州市石化产业园临海大道西面、勒沟东大街北面。</w:t>
      </w:r>
    </w:p>
    <w:p w14:paraId="3152BC8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（8）建设内容及规模：</w:t>
      </w:r>
      <w:r>
        <w:rPr>
          <w:rFonts w:hint="eastAsia"/>
          <w:color w:val="0D0D0D" w:themeColor="text1" w:themeTint="F2"/>
          <w:u w:val="single"/>
          <w14:textFill>
            <w14:solidFill>
              <w14:schemeClr w14:val="tx1">
                <w14:lumMod w14:val="95000"/>
                <w14:lumOff w14:val="5000"/>
              </w14:schemeClr>
            </w14:solidFill>
          </w14:textFill>
        </w:rPr>
        <w:t>主要建设1条生物柴油生产线、1条工业级混合油生产线和1根1.79km的生物柴油及工业级混合油管道，配套建设给排水等辅助工程，年产30万吨生物柴油、10万吨工业级混合油、1.5万吨精甘油和1.2万吨重质脂肪酸</w:t>
      </w:r>
      <w:r>
        <w:rPr>
          <w:rFonts w:hint="eastAsia"/>
          <w:color w:val="0D0D0D" w:themeColor="text1" w:themeTint="F2"/>
          <w14:textFill>
            <w14:solidFill>
              <w14:schemeClr w14:val="tx1">
                <w14:lumMod w14:val="95000"/>
                <w14:lumOff w14:val="5000"/>
              </w14:schemeClr>
            </w14:solidFill>
          </w14:textFill>
        </w:rPr>
        <w:t>。</w:t>
      </w:r>
    </w:p>
    <w:p w14:paraId="4844A63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（9）</w:t>
      </w:r>
      <w:r>
        <w:rPr>
          <w:rFonts w:hint="eastAsia"/>
          <w:color w:val="0D0D0D" w:themeColor="text1" w:themeTint="F2"/>
          <w:u w:val="single"/>
          <w14:textFill>
            <w14:solidFill>
              <w14:schemeClr w14:val="tx1">
                <w14:lumMod w14:val="95000"/>
                <w14:lumOff w14:val="5000"/>
              </w14:schemeClr>
            </w14:solidFill>
          </w14:textFill>
        </w:rPr>
        <w:t>生物柴油及工业级混合油管道：（涉密，公示本已删除）</w:t>
      </w:r>
      <w:r>
        <w:rPr>
          <w:rFonts w:hint="eastAsia"/>
          <w:color w:val="0D0D0D" w:themeColor="text1" w:themeTint="F2"/>
          <w14:textFill>
            <w14:solidFill>
              <w14:schemeClr w14:val="tx1">
                <w14:lumMod w14:val="95000"/>
                <w14:lumOff w14:val="5000"/>
              </w14:schemeClr>
            </w14:solidFill>
          </w14:textFill>
        </w:rPr>
        <w:t>。</w:t>
      </w:r>
    </w:p>
    <w:p w14:paraId="5EEB77E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（10）周边环境状况：用地已平整，临时办公场所已建，地块东面为空地和临海大道，南面为空地和中电投北部湾（广西）热电有限公司（已停产），西面为林地和空地，北面为海沟。</w:t>
      </w:r>
    </w:p>
    <w:p w14:paraId="01B83420">
      <w:pPr>
        <w:pStyle w:val="9"/>
      </w:pPr>
      <w:bookmarkStart w:id="83" w:name="_Toc204062562"/>
      <w:r>
        <w:rPr>
          <w:rFonts w:hint="eastAsia"/>
        </w:rPr>
        <w:t>建设内容</w:t>
      </w:r>
      <w:bookmarkEnd w:id="83"/>
    </w:p>
    <w:p w14:paraId="7B9647E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项目主要建设内容及规模详见表3.1-1。</w:t>
      </w:r>
    </w:p>
    <w:p w14:paraId="45EBA4E8">
      <w:pPr>
        <w:widowControl/>
        <w:spacing w:line="240" w:lineRule="auto"/>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14:paraId="45F38B3E">
      <w:pPr>
        <w:pStyle w:val="11"/>
        <w:numPr>
          <w:ilvl w:val="4"/>
          <w:numId w:val="28"/>
        </w:numPr>
      </w:pPr>
      <w:r>
        <w:rPr>
          <w:rFonts w:hint="eastAsia"/>
        </w:rPr>
        <w:t xml:space="preserve"> 项目主要建设内容及规模一览表</w:t>
      </w:r>
    </w:p>
    <w:p w14:paraId="7B90FE83">
      <w:pPr>
        <w:rPr>
          <w:rFonts w:hint="eastAsia"/>
        </w:rPr>
      </w:pPr>
      <w:r>
        <w:rPr>
          <w:rFonts w:hint="eastAsia"/>
        </w:rPr>
        <w:t>（涉密，公示本已删除）</w:t>
      </w:r>
    </w:p>
    <w:p w14:paraId="79EDF40B">
      <w:pPr>
        <w:pStyle w:val="11"/>
      </w:pPr>
      <w:r>
        <w:rPr>
          <w:rFonts w:hint="eastAsia"/>
        </w:rPr>
        <w:t xml:space="preserve"> 主要建筑技术指标一览表</w:t>
      </w:r>
    </w:p>
    <w:p w14:paraId="09B95000">
      <w:pPr>
        <w:rPr>
          <w:rFonts w:hint="eastAsia"/>
        </w:rPr>
      </w:pPr>
      <w:r>
        <w:rPr>
          <w:rFonts w:hint="eastAsia"/>
        </w:rPr>
        <w:t>（涉密，公示本已删除）</w:t>
      </w:r>
    </w:p>
    <w:p w14:paraId="057E4C1F">
      <w:pPr>
        <w:pStyle w:val="9"/>
      </w:pPr>
      <w:bookmarkStart w:id="84" w:name="_Toc204062563"/>
      <w:r>
        <w:rPr>
          <w:rFonts w:hint="eastAsia"/>
        </w:rPr>
        <w:t>产品方案</w:t>
      </w:r>
      <w:bookmarkEnd w:id="84"/>
    </w:p>
    <w:p w14:paraId="37CA108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项目年产30万吨生物柴油、10万吨工业级混合油、1.5万吨精甘油和1.2万吨重质脂肪酸，产品方案详见表3.1-3。</w:t>
      </w:r>
    </w:p>
    <w:p w14:paraId="5510FAC8">
      <w:pPr>
        <w:pStyle w:val="2"/>
        <w:ind w:firstLine="240"/>
      </w:pPr>
      <w:r>
        <w:br w:type="page"/>
      </w:r>
    </w:p>
    <w:p w14:paraId="644DC7C6">
      <w:pPr>
        <w:pStyle w:val="11"/>
        <w:numPr>
          <w:ilvl w:val="4"/>
          <w:numId w:val="29"/>
        </w:numPr>
      </w:pPr>
      <w:r>
        <w:rPr>
          <w:rFonts w:hint="eastAsia"/>
        </w:rPr>
        <w:t xml:space="preserve"> 产品方案一览表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1556"/>
        <w:gridCol w:w="745"/>
        <w:gridCol w:w="850"/>
        <w:gridCol w:w="963"/>
        <w:gridCol w:w="913"/>
        <w:gridCol w:w="3537"/>
      </w:tblGrid>
      <w:tr w14:paraId="14B8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14:paraId="666AE38E">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序号</w:t>
            </w:r>
          </w:p>
        </w:tc>
        <w:tc>
          <w:tcPr>
            <w:tcW w:w="842" w:type="pct"/>
            <w:vAlign w:val="center"/>
          </w:tcPr>
          <w:p w14:paraId="21B7D52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名称</w:t>
            </w:r>
          </w:p>
        </w:tc>
        <w:tc>
          <w:tcPr>
            <w:tcW w:w="403" w:type="pct"/>
            <w:vAlign w:val="center"/>
          </w:tcPr>
          <w:p w14:paraId="2478E873">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单位</w:t>
            </w:r>
          </w:p>
        </w:tc>
        <w:tc>
          <w:tcPr>
            <w:tcW w:w="460" w:type="pct"/>
            <w:vAlign w:val="center"/>
          </w:tcPr>
          <w:p w14:paraId="4D7A4EDB">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数量</w:t>
            </w:r>
          </w:p>
        </w:tc>
        <w:tc>
          <w:tcPr>
            <w:tcW w:w="521" w:type="pct"/>
            <w:vAlign w:val="center"/>
          </w:tcPr>
          <w:p w14:paraId="6830018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类别</w:t>
            </w:r>
          </w:p>
        </w:tc>
        <w:tc>
          <w:tcPr>
            <w:tcW w:w="494" w:type="pct"/>
            <w:vAlign w:val="center"/>
          </w:tcPr>
          <w:p w14:paraId="3215FF98">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出厂</w:t>
            </w:r>
          </w:p>
          <w:p w14:paraId="4052C02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方式</w:t>
            </w:r>
          </w:p>
        </w:tc>
        <w:tc>
          <w:tcPr>
            <w:tcW w:w="1913" w:type="pct"/>
            <w:vAlign w:val="center"/>
          </w:tcPr>
          <w:p w14:paraId="3B091144">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用途</w:t>
            </w:r>
          </w:p>
        </w:tc>
      </w:tr>
      <w:tr w14:paraId="37401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14:paraId="3D55E0EF">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1</w:t>
            </w:r>
          </w:p>
        </w:tc>
        <w:tc>
          <w:tcPr>
            <w:tcW w:w="842" w:type="pct"/>
            <w:vAlign w:val="center"/>
          </w:tcPr>
          <w:p w14:paraId="2316597A">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生物柴油</w:t>
            </w:r>
          </w:p>
        </w:tc>
        <w:tc>
          <w:tcPr>
            <w:tcW w:w="403" w:type="pct"/>
            <w:vAlign w:val="center"/>
          </w:tcPr>
          <w:p w14:paraId="2B735272">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t</w:t>
            </w:r>
            <w:r>
              <w:rPr>
                <w:rFonts w:cs="Times New Roman"/>
                <w:color w:val="0D0D0D" w:themeColor="text1" w:themeTint="F2"/>
                <w:sz w:val="21"/>
                <w:szCs w:val="21"/>
                <w14:textFill>
                  <w14:solidFill>
                    <w14:schemeClr w14:val="tx1">
                      <w14:lumMod w14:val="95000"/>
                      <w14:lumOff w14:val="5000"/>
                    </w14:schemeClr>
                  </w14:solidFill>
                </w14:textFill>
              </w:rPr>
              <w:t>/a</w:t>
            </w:r>
          </w:p>
        </w:tc>
        <w:tc>
          <w:tcPr>
            <w:tcW w:w="460" w:type="pct"/>
            <w:vAlign w:val="center"/>
          </w:tcPr>
          <w:p w14:paraId="022EB0F1">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30万</w:t>
            </w:r>
          </w:p>
        </w:tc>
        <w:tc>
          <w:tcPr>
            <w:tcW w:w="521" w:type="pct"/>
            <w:vAlign w:val="center"/>
          </w:tcPr>
          <w:p w14:paraId="5446B2A4">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主产品</w:t>
            </w:r>
          </w:p>
        </w:tc>
        <w:tc>
          <w:tcPr>
            <w:tcW w:w="494" w:type="pct"/>
            <w:vAlign w:val="center"/>
          </w:tcPr>
          <w:p w14:paraId="089EDD3D">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管道</w:t>
            </w:r>
          </w:p>
        </w:tc>
        <w:tc>
          <w:tcPr>
            <w:tcW w:w="1913" w:type="pct"/>
            <w:vAlign w:val="center"/>
          </w:tcPr>
          <w:p w14:paraId="153DC87C">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作为传统柴油的替代品，在国际市场广受欢迎</w:t>
            </w:r>
          </w:p>
        </w:tc>
      </w:tr>
      <w:tr w14:paraId="6386B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14:paraId="65135F7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2</w:t>
            </w:r>
          </w:p>
        </w:tc>
        <w:tc>
          <w:tcPr>
            <w:tcW w:w="842" w:type="pct"/>
            <w:vAlign w:val="center"/>
          </w:tcPr>
          <w:p w14:paraId="304DF25E">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工业级混合油</w:t>
            </w:r>
          </w:p>
        </w:tc>
        <w:tc>
          <w:tcPr>
            <w:tcW w:w="403" w:type="pct"/>
            <w:vAlign w:val="center"/>
          </w:tcPr>
          <w:p w14:paraId="3957CA1A">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t</w:t>
            </w:r>
            <w:r>
              <w:rPr>
                <w:rFonts w:cs="Times New Roman"/>
                <w:color w:val="0D0D0D" w:themeColor="text1" w:themeTint="F2"/>
                <w:sz w:val="21"/>
                <w:szCs w:val="21"/>
                <w14:textFill>
                  <w14:solidFill>
                    <w14:schemeClr w14:val="tx1">
                      <w14:lumMod w14:val="95000"/>
                      <w14:lumOff w14:val="5000"/>
                    </w14:schemeClr>
                  </w14:solidFill>
                </w14:textFill>
              </w:rPr>
              <w:t>/a</w:t>
            </w:r>
          </w:p>
        </w:tc>
        <w:tc>
          <w:tcPr>
            <w:tcW w:w="460" w:type="pct"/>
            <w:vAlign w:val="center"/>
          </w:tcPr>
          <w:p w14:paraId="77F12BFF">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10万</w:t>
            </w:r>
          </w:p>
        </w:tc>
        <w:tc>
          <w:tcPr>
            <w:tcW w:w="521" w:type="pct"/>
            <w:vAlign w:val="center"/>
          </w:tcPr>
          <w:p w14:paraId="7A31CCB2">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主产品</w:t>
            </w:r>
          </w:p>
        </w:tc>
        <w:tc>
          <w:tcPr>
            <w:tcW w:w="494" w:type="pct"/>
            <w:vAlign w:val="center"/>
          </w:tcPr>
          <w:p w14:paraId="238380A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管道</w:t>
            </w:r>
          </w:p>
        </w:tc>
        <w:tc>
          <w:tcPr>
            <w:tcW w:w="1913" w:type="pct"/>
            <w:vAlign w:val="center"/>
          </w:tcPr>
          <w:p w14:paraId="200CABAD">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作为绿色生物基材料，替代部分矿物油</w:t>
            </w:r>
          </w:p>
        </w:tc>
      </w:tr>
      <w:tr w14:paraId="2C462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14:paraId="0A0116D3">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3</w:t>
            </w:r>
          </w:p>
        </w:tc>
        <w:tc>
          <w:tcPr>
            <w:tcW w:w="842" w:type="pct"/>
            <w:vAlign w:val="center"/>
          </w:tcPr>
          <w:p w14:paraId="42B296F8">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精甘油</w:t>
            </w:r>
          </w:p>
        </w:tc>
        <w:tc>
          <w:tcPr>
            <w:tcW w:w="403" w:type="pct"/>
            <w:vAlign w:val="center"/>
          </w:tcPr>
          <w:p w14:paraId="585671D2">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t</w:t>
            </w:r>
            <w:r>
              <w:rPr>
                <w:rFonts w:cs="Times New Roman"/>
                <w:color w:val="0D0D0D" w:themeColor="text1" w:themeTint="F2"/>
                <w:sz w:val="21"/>
                <w:szCs w:val="21"/>
                <w14:textFill>
                  <w14:solidFill>
                    <w14:schemeClr w14:val="tx1">
                      <w14:lumMod w14:val="95000"/>
                      <w14:lumOff w14:val="5000"/>
                    </w14:schemeClr>
                  </w14:solidFill>
                </w14:textFill>
              </w:rPr>
              <w:t>/a</w:t>
            </w:r>
          </w:p>
        </w:tc>
        <w:tc>
          <w:tcPr>
            <w:tcW w:w="460" w:type="pct"/>
            <w:vAlign w:val="center"/>
          </w:tcPr>
          <w:p w14:paraId="07597B4E">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1.5万</w:t>
            </w:r>
          </w:p>
        </w:tc>
        <w:tc>
          <w:tcPr>
            <w:tcW w:w="521" w:type="pct"/>
            <w:vAlign w:val="center"/>
          </w:tcPr>
          <w:p w14:paraId="0EDC160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副产品</w:t>
            </w:r>
          </w:p>
        </w:tc>
        <w:tc>
          <w:tcPr>
            <w:tcW w:w="494" w:type="pct"/>
            <w:vAlign w:val="center"/>
          </w:tcPr>
          <w:p w14:paraId="65C9863B">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槽罐车</w:t>
            </w:r>
          </w:p>
        </w:tc>
        <w:tc>
          <w:tcPr>
            <w:tcW w:w="1913" w:type="pct"/>
            <w:vAlign w:val="center"/>
          </w:tcPr>
          <w:p w14:paraId="502C0121">
            <w:pPr>
              <w:spacing w:line="240" w:lineRule="auto"/>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绿色化工基础原料，其中0.5万吨用于工业级混合油生产线</w:t>
            </w:r>
          </w:p>
        </w:tc>
      </w:tr>
      <w:tr w14:paraId="21262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14:paraId="1ED1E649">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4</w:t>
            </w:r>
          </w:p>
        </w:tc>
        <w:tc>
          <w:tcPr>
            <w:tcW w:w="842" w:type="pct"/>
            <w:vAlign w:val="center"/>
          </w:tcPr>
          <w:p w14:paraId="1986AB7D">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重质脂肪酸</w:t>
            </w:r>
          </w:p>
        </w:tc>
        <w:tc>
          <w:tcPr>
            <w:tcW w:w="403" w:type="pct"/>
            <w:vAlign w:val="center"/>
          </w:tcPr>
          <w:p w14:paraId="5E6D9261">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t</w:t>
            </w:r>
            <w:r>
              <w:rPr>
                <w:rFonts w:cs="Times New Roman"/>
                <w:color w:val="0D0D0D" w:themeColor="text1" w:themeTint="F2"/>
                <w:sz w:val="21"/>
                <w:szCs w:val="21"/>
                <w14:textFill>
                  <w14:solidFill>
                    <w14:schemeClr w14:val="tx1">
                      <w14:lumMod w14:val="95000"/>
                      <w14:lumOff w14:val="5000"/>
                    </w14:schemeClr>
                  </w14:solidFill>
                </w14:textFill>
              </w:rPr>
              <w:t>/a</w:t>
            </w:r>
          </w:p>
        </w:tc>
        <w:tc>
          <w:tcPr>
            <w:tcW w:w="460" w:type="pct"/>
            <w:vAlign w:val="center"/>
          </w:tcPr>
          <w:p w14:paraId="2C958761">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w:t>
            </w:r>
            <w:r>
              <w:rPr>
                <w:rFonts w:cs="Times New Roman"/>
                <w:color w:val="0D0D0D" w:themeColor="text1" w:themeTint="F2"/>
                <w:sz w:val="21"/>
                <w:szCs w:val="21"/>
                <w14:textFill>
                  <w14:solidFill>
                    <w14:schemeClr w14:val="tx1">
                      <w14:lumMod w14:val="95000"/>
                      <w14:lumOff w14:val="5000"/>
                    </w14:schemeClr>
                  </w14:solidFill>
                </w14:textFill>
              </w:rPr>
              <w:t>.</w:t>
            </w:r>
            <w:r>
              <w:rPr>
                <w:rFonts w:hint="eastAsia" w:cs="Times New Roman"/>
                <w:color w:val="0D0D0D" w:themeColor="text1" w:themeTint="F2"/>
                <w:sz w:val="21"/>
                <w:szCs w:val="21"/>
                <w14:textFill>
                  <w14:solidFill>
                    <w14:schemeClr w14:val="tx1">
                      <w14:lumMod w14:val="95000"/>
                      <w14:lumOff w14:val="5000"/>
                    </w14:schemeClr>
                  </w14:solidFill>
                </w14:textFill>
              </w:rPr>
              <w:t>2万</w:t>
            </w:r>
          </w:p>
        </w:tc>
        <w:tc>
          <w:tcPr>
            <w:tcW w:w="521" w:type="pct"/>
            <w:vAlign w:val="center"/>
          </w:tcPr>
          <w:p w14:paraId="7F775C8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副产品</w:t>
            </w:r>
          </w:p>
        </w:tc>
        <w:tc>
          <w:tcPr>
            <w:tcW w:w="494" w:type="pct"/>
            <w:vAlign w:val="center"/>
          </w:tcPr>
          <w:p w14:paraId="5847080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槽罐车</w:t>
            </w:r>
          </w:p>
        </w:tc>
        <w:tc>
          <w:tcPr>
            <w:tcW w:w="1913" w:type="pct"/>
            <w:vAlign w:val="center"/>
          </w:tcPr>
          <w:p w14:paraId="4503482F">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与生物柴油相似，作为传统化石燃料的替代品</w:t>
            </w:r>
          </w:p>
        </w:tc>
      </w:tr>
    </w:tbl>
    <w:p w14:paraId="44DD429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生物柴油质量</w:t>
      </w:r>
      <w:bookmarkStart w:id="85" w:name="_Hlk193671348"/>
      <w:r>
        <w:rPr>
          <w:rFonts w:hint="eastAsia"/>
          <w:color w:val="0D0D0D" w:themeColor="text1" w:themeTint="F2"/>
          <w14:textFill>
            <w14:solidFill>
              <w14:schemeClr w14:val="tx1">
                <w14:lumMod w14:val="95000"/>
                <w14:lumOff w14:val="5000"/>
              </w14:schemeClr>
            </w14:solidFill>
          </w14:textFill>
        </w:rPr>
        <w:t>产品标准执行《B5柴油》（GB25199-2017）</w:t>
      </w:r>
      <w:bookmarkEnd w:id="85"/>
      <w:r>
        <w:rPr>
          <w:rFonts w:hint="eastAsia"/>
          <w:color w:val="0D0D0D" w:themeColor="text1" w:themeTint="F2"/>
          <w14:textFill>
            <w14:solidFill>
              <w14:schemeClr w14:val="tx1">
                <w14:lumMod w14:val="95000"/>
                <w14:lumOff w14:val="5000"/>
              </w14:schemeClr>
            </w14:solidFill>
          </w14:textFill>
        </w:rPr>
        <w:t>附录C中的S10标准，根据《应急管理部办公厅关于认真做好柴油安全许可有关工作的通知》（应急厅函〔2022〕317号），柴油是指符合国家标准《车用柴油》（GB19147）、《B5柴油》（GB25199）的产品，不包括BD100生物柴油（由动植物油脂或废弃油脂与醇反应制得的脂肪酸单烷基酯），企业生产的是纯生物柴油（BD100），不属于危险化学品。</w:t>
      </w:r>
    </w:p>
    <w:p w14:paraId="0EAF3DA0">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工业级混合油目前没有相应的国家、地方和行业标准，产品标准参照执行惠州丰之力油脂有限公司企业标准《工业级混合油》（Q/HZFZL01-2025），标准详见附件14。</w:t>
      </w:r>
    </w:p>
    <w:p w14:paraId="55EC8AC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精甘油质量指标参照执行</w:t>
      </w:r>
      <w:bookmarkStart w:id="86" w:name="_Hlk193671879"/>
      <w:r>
        <w:rPr>
          <w:rFonts w:hint="eastAsia"/>
          <w:color w:val="0D0D0D" w:themeColor="text1" w:themeTint="F2"/>
          <w14:textFill>
            <w14:solidFill>
              <w14:schemeClr w14:val="tx1">
                <w14:lumMod w14:val="95000"/>
                <w14:lumOff w14:val="5000"/>
              </w14:schemeClr>
            </w14:solidFill>
          </w14:textFill>
        </w:rPr>
        <w:t>《甘油》（</w:t>
      </w:r>
      <w:r>
        <w:rPr>
          <w:color w:val="0D0D0D" w:themeColor="text1" w:themeTint="F2"/>
          <w14:textFill>
            <w14:solidFill>
              <w14:schemeClr w14:val="tx1">
                <w14:lumMod w14:val="95000"/>
                <w14:lumOff w14:val="5000"/>
              </w14:schemeClr>
            </w14:solidFill>
          </w14:textFill>
        </w:rPr>
        <w:t>GB/T13206-2022</w:t>
      </w:r>
      <w:r>
        <w:rPr>
          <w:rFonts w:hint="eastAsia"/>
          <w:color w:val="0D0D0D" w:themeColor="text1" w:themeTint="F2"/>
          <w14:textFill>
            <w14:solidFill>
              <w14:schemeClr w14:val="tx1">
                <w14:lumMod w14:val="95000"/>
                <w14:lumOff w14:val="5000"/>
              </w14:schemeClr>
            </w14:solidFill>
          </w14:textFill>
        </w:rPr>
        <w:t>）</w:t>
      </w:r>
      <w:bookmarkEnd w:id="86"/>
      <w:r>
        <w:rPr>
          <w:rFonts w:hint="eastAsia"/>
          <w:color w:val="0D0D0D" w:themeColor="text1" w:themeTint="F2"/>
          <w14:textFill>
            <w14:solidFill>
              <w14:schemeClr w14:val="tx1">
                <w14:lumMod w14:val="95000"/>
                <w14:lumOff w14:val="5000"/>
              </w14:schemeClr>
            </w14:solidFill>
          </w14:textFill>
        </w:rPr>
        <w:t>表1中二等品要求。</w:t>
      </w:r>
    </w:p>
    <w:p w14:paraId="207DAAA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重质脂肪酸质量指标参照执行</w:t>
      </w:r>
      <w:bookmarkStart w:id="87" w:name="_Hlk193826140"/>
      <w:r>
        <w:rPr>
          <w:rFonts w:hint="eastAsia"/>
          <w:color w:val="0D0D0D" w:themeColor="text1" w:themeTint="F2"/>
          <w14:textFill>
            <w14:solidFill>
              <w14:schemeClr w14:val="tx1">
                <w14:lumMod w14:val="95000"/>
                <w14:lumOff w14:val="5000"/>
              </w14:schemeClr>
            </w14:solidFill>
          </w14:textFill>
        </w:rPr>
        <w:t>《生物重油》（NB/T10770-2021）</w:t>
      </w:r>
      <w:bookmarkEnd w:id="87"/>
      <w:r>
        <w:rPr>
          <w:rFonts w:hint="eastAsia"/>
          <w:color w:val="0D0D0D" w:themeColor="text1" w:themeTint="F2"/>
          <w14:textFill>
            <w14:solidFill>
              <w14:schemeClr w14:val="tx1">
                <w14:lumMod w14:val="95000"/>
                <w14:lumOff w14:val="5000"/>
              </w14:schemeClr>
            </w14:solidFill>
          </w14:textFill>
        </w:rPr>
        <w:t>表1要求。</w:t>
      </w:r>
    </w:p>
    <w:p w14:paraId="729386B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产品销售时应用户要求提供可能存在的主杂质信息，并提供杂质含量数据，确保用户知情权，防止产品和副产品使用过程中对环境的污染。</w:t>
      </w:r>
    </w:p>
    <w:p w14:paraId="47EFA5A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各产品质量指标详见表3.1-4~表3.1-7。</w:t>
      </w:r>
    </w:p>
    <w:p w14:paraId="1DFF4ED1">
      <w:pPr>
        <w:pStyle w:val="11"/>
      </w:pPr>
      <w:r>
        <w:rPr>
          <w:rFonts w:hint="eastAsia"/>
        </w:rPr>
        <w:t xml:space="preserve"> 《B5柴油》（GB25199-2017）（摘录）</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5"/>
        <w:gridCol w:w="1085"/>
        <w:gridCol w:w="917"/>
        <w:gridCol w:w="917"/>
        <w:gridCol w:w="2078"/>
      </w:tblGrid>
      <w:tr w14:paraId="0B3AE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297" w:type="pct"/>
            <w:vMerge w:val="restart"/>
            <w:vAlign w:val="center"/>
          </w:tcPr>
          <w:p w14:paraId="1EEFD715">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项目</w:t>
            </w:r>
          </w:p>
        </w:tc>
        <w:tc>
          <w:tcPr>
            <w:tcW w:w="587" w:type="pct"/>
            <w:vMerge w:val="restart"/>
            <w:vAlign w:val="center"/>
          </w:tcPr>
          <w:p w14:paraId="56882A37">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单位</w:t>
            </w:r>
          </w:p>
        </w:tc>
        <w:tc>
          <w:tcPr>
            <w:tcW w:w="992" w:type="pct"/>
            <w:gridSpan w:val="2"/>
            <w:vAlign w:val="center"/>
          </w:tcPr>
          <w:p w14:paraId="721B161F">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质量指标</w:t>
            </w:r>
          </w:p>
        </w:tc>
        <w:tc>
          <w:tcPr>
            <w:tcW w:w="1124" w:type="pct"/>
            <w:vMerge w:val="restart"/>
            <w:vAlign w:val="center"/>
          </w:tcPr>
          <w:p w14:paraId="142C86C5">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试验方法</w:t>
            </w:r>
          </w:p>
        </w:tc>
      </w:tr>
      <w:tr w14:paraId="74107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297" w:type="pct"/>
            <w:vMerge w:val="continue"/>
            <w:vAlign w:val="center"/>
          </w:tcPr>
          <w:p w14:paraId="6F00542E">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p>
        </w:tc>
        <w:tc>
          <w:tcPr>
            <w:tcW w:w="587" w:type="pct"/>
            <w:vMerge w:val="continue"/>
            <w:vAlign w:val="center"/>
          </w:tcPr>
          <w:p w14:paraId="624A1207">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p>
        </w:tc>
        <w:tc>
          <w:tcPr>
            <w:tcW w:w="496" w:type="pct"/>
            <w:vAlign w:val="center"/>
          </w:tcPr>
          <w:p w14:paraId="7AAA6743">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S50</w:t>
            </w:r>
          </w:p>
        </w:tc>
        <w:tc>
          <w:tcPr>
            <w:tcW w:w="496" w:type="pct"/>
            <w:vAlign w:val="center"/>
          </w:tcPr>
          <w:p w14:paraId="76486D99">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S10</w:t>
            </w:r>
          </w:p>
        </w:tc>
        <w:tc>
          <w:tcPr>
            <w:tcW w:w="1124" w:type="pct"/>
            <w:vMerge w:val="continue"/>
            <w:vAlign w:val="center"/>
          </w:tcPr>
          <w:p w14:paraId="53A174F3">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p>
        </w:tc>
      </w:tr>
      <w:tr w14:paraId="460D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7" w:type="pct"/>
            <w:vAlign w:val="center"/>
          </w:tcPr>
          <w:p w14:paraId="37AD3395">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密度（20℃）</w:t>
            </w:r>
          </w:p>
        </w:tc>
        <w:tc>
          <w:tcPr>
            <w:tcW w:w="587" w:type="pct"/>
            <w:vAlign w:val="center"/>
          </w:tcPr>
          <w:p w14:paraId="4A2860FA">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kg/m</w:t>
            </w:r>
            <w:r>
              <w:rPr>
                <w:rFonts w:hint="eastAsia" w:cs="宋体"/>
                <w:color w:val="0D0D0D" w:themeColor="text1" w:themeTint="F2"/>
                <w:sz w:val="21"/>
                <w:szCs w:val="21"/>
                <w:vertAlign w:val="superscript"/>
                <w14:textFill>
                  <w14:solidFill>
                    <w14:schemeClr w14:val="tx1">
                      <w14:lumMod w14:val="95000"/>
                      <w14:lumOff w14:val="5000"/>
                    </w14:schemeClr>
                  </w14:solidFill>
                </w14:textFill>
              </w:rPr>
              <w:t>3</w:t>
            </w:r>
          </w:p>
        </w:tc>
        <w:tc>
          <w:tcPr>
            <w:tcW w:w="992" w:type="pct"/>
            <w:gridSpan w:val="2"/>
            <w:vAlign w:val="center"/>
          </w:tcPr>
          <w:p w14:paraId="0AA0BF29">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820～900</w:t>
            </w:r>
          </w:p>
        </w:tc>
        <w:tc>
          <w:tcPr>
            <w:tcW w:w="1124" w:type="pct"/>
            <w:vAlign w:val="center"/>
          </w:tcPr>
          <w:p w14:paraId="53D24E2D">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GB/T13377</w:t>
            </w:r>
          </w:p>
        </w:tc>
      </w:tr>
      <w:tr w14:paraId="506C4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7" w:type="pct"/>
            <w:vAlign w:val="center"/>
          </w:tcPr>
          <w:p w14:paraId="21A52006">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运动黏度（40℃）</w:t>
            </w:r>
          </w:p>
        </w:tc>
        <w:tc>
          <w:tcPr>
            <w:tcW w:w="587" w:type="pct"/>
            <w:vAlign w:val="center"/>
          </w:tcPr>
          <w:p w14:paraId="1F7B7711">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mm</w:t>
            </w:r>
            <w:r>
              <w:rPr>
                <w:rFonts w:hint="eastAsia" w:cs="宋体"/>
                <w:color w:val="0D0D0D" w:themeColor="text1" w:themeTint="F2"/>
                <w:sz w:val="21"/>
                <w:szCs w:val="21"/>
                <w:vertAlign w:val="superscript"/>
                <w14:textFill>
                  <w14:solidFill>
                    <w14:schemeClr w14:val="tx1">
                      <w14:lumMod w14:val="95000"/>
                      <w14:lumOff w14:val="5000"/>
                    </w14:schemeClr>
                  </w14:solidFill>
                </w14:textFill>
              </w:rPr>
              <w:t>2</w:t>
            </w:r>
            <w:r>
              <w:rPr>
                <w:rFonts w:hint="eastAsia" w:cs="宋体"/>
                <w:color w:val="0D0D0D" w:themeColor="text1" w:themeTint="F2"/>
                <w:sz w:val="21"/>
                <w:szCs w:val="21"/>
                <w14:textFill>
                  <w14:solidFill>
                    <w14:schemeClr w14:val="tx1">
                      <w14:lumMod w14:val="95000"/>
                      <w14:lumOff w14:val="5000"/>
                    </w14:schemeClr>
                  </w14:solidFill>
                </w14:textFill>
              </w:rPr>
              <w:t>/s</w:t>
            </w:r>
          </w:p>
        </w:tc>
        <w:tc>
          <w:tcPr>
            <w:tcW w:w="992" w:type="pct"/>
            <w:gridSpan w:val="2"/>
            <w:vAlign w:val="center"/>
          </w:tcPr>
          <w:p w14:paraId="56CA3F59">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1.9～6.0</w:t>
            </w:r>
          </w:p>
        </w:tc>
        <w:tc>
          <w:tcPr>
            <w:tcW w:w="1124" w:type="pct"/>
            <w:vAlign w:val="center"/>
          </w:tcPr>
          <w:p w14:paraId="27ED29E0">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GB/T265</w:t>
            </w:r>
          </w:p>
        </w:tc>
      </w:tr>
      <w:tr w14:paraId="52DC3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7" w:type="pct"/>
            <w:vAlign w:val="center"/>
          </w:tcPr>
          <w:p w14:paraId="654B6B4A">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闪点（闭口）</w:t>
            </w:r>
          </w:p>
        </w:tc>
        <w:tc>
          <w:tcPr>
            <w:tcW w:w="587" w:type="pct"/>
            <w:vAlign w:val="center"/>
          </w:tcPr>
          <w:p w14:paraId="5B36E5F1">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w:t>
            </w:r>
          </w:p>
        </w:tc>
        <w:tc>
          <w:tcPr>
            <w:tcW w:w="992" w:type="pct"/>
            <w:gridSpan w:val="2"/>
            <w:vAlign w:val="center"/>
          </w:tcPr>
          <w:p w14:paraId="195FE8E7">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≥130</w:t>
            </w:r>
          </w:p>
        </w:tc>
        <w:tc>
          <w:tcPr>
            <w:tcW w:w="1124" w:type="pct"/>
            <w:vAlign w:val="center"/>
          </w:tcPr>
          <w:p w14:paraId="0F76926E">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GB/T261</w:t>
            </w:r>
          </w:p>
        </w:tc>
      </w:tr>
      <w:tr w14:paraId="614DD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7" w:type="pct"/>
            <w:vAlign w:val="center"/>
          </w:tcPr>
          <w:p w14:paraId="64F91657">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冷滤点</w:t>
            </w:r>
          </w:p>
        </w:tc>
        <w:tc>
          <w:tcPr>
            <w:tcW w:w="587" w:type="pct"/>
            <w:vAlign w:val="center"/>
          </w:tcPr>
          <w:p w14:paraId="42A8BFC2">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w:t>
            </w:r>
          </w:p>
        </w:tc>
        <w:tc>
          <w:tcPr>
            <w:tcW w:w="992" w:type="pct"/>
            <w:gridSpan w:val="2"/>
            <w:vAlign w:val="center"/>
          </w:tcPr>
          <w:p w14:paraId="42DAFFB7">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报告</w:t>
            </w:r>
          </w:p>
        </w:tc>
        <w:tc>
          <w:tcPr>
            <w:tcW w:w="1124" w:type="pct"/>
            <w:vAlign w:val="center"/>
          </w:tcPr>
          <w:p w14:paraId="6690EFD6">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SH/T0248</w:t>
            </w:r>
          </w:p>
        </w:tc>
      </w:tr>
      <w:tr w14:paraId="54A63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7" w:type="pct"/>
            <w:vAlign w:val="center"/>
          </w:tcPr>
          <w:p w14:paraId="01F944C0">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硫含量</w:t>
            </w:r>
          </w:p>
        </w:tc>
        <w:tc>
          <w:tcPr>
            <w:tcW w:w="587" w:type="pct"/>
            <w:vAlign w:val="center"/>
          </w:tcPr>
          <w:p w14:paraId="1C0E086E">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mg/kg</w:t>
            </w:r>
          </w:p>
        </w:tc>
        <w:tc>
          <w:tcPr>
            <w:tcW w:w="496" w:type="pct"/>
            <w:vAlign w:val="center"/>
          </w:tcPr>
          <w:p w14:paraId="52CF1BD7">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≤50</w:t>
            </w:r>
          </w:p>
        </w:tc>
        <w:tc>
          <w:tcPr>
            <w:tcW w:w="496" w:type="pct"/>
            <w:vAlign w:val="center"/>
          </w:tcPr>
          <w:p w14:paraId="6E6BF9BF">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≤10</w:t>
            </w:r>
          </w:p>
        </w:tc>
        <w:tc>
          <w:tcPr>
            <w:tcW w:w="1124" w:type="pct"/>
            <w:vAlign w:val="center"/>
          </w:tcPr>
          <w:p w14:paraId="3F5901C8">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SH/T0689</w:t>
            </w:r>
          </w:p>
        </w:tc>
      </w:tr>
      <w:tr w14:paraId="155B5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7" w:type="pct"/>
            <w:vAlign w:val="center"/>
          </w:tcPr>
          <w:p w14:paraId="07985FE1">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残炭质量分数</w:t>
            </w:r>
          </w:p>
        </w:tc>
        <w:tc>
          <w:tcPr>
            <w:tcW w:w="587" w:type="pct"/>
            <w:vAlign w:val="center"/>
          </w:tcPr>
          <w:p w14:paraId="2977BD7E">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w:t>
            </w:r>
          </w:p>
        </w:tc>
        <w:tc>
          <w:tcPr>
            <w:tcW w:w="992" w:type="pct"/>
            <w:gridSpan w:val="2"/>
            <w:vAlign w:val="center"/>
          </w:tcPr>
          <w:p w14:paraId="3603B55C">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≤0.05</w:t>
            </w:r>
          </w:p>
        </w:tc>
        <w:tc>
          <w:tcPr>
            <w:tcW w:w="1124" w:type="pct"/>
            <w:vAlign w:val="center"/>
          </w:tcPr>
          <w:p w14:paraId="47514F48">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GB/T17144</w:t>
            </w:r>
          </w:p>
        </w:tc>
      </w:tr>
      <w:tr w14:paraId="205BF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7" w:type="pct"/>
            <w:vAlign w:val="center"/>
          </w:tcPr>
          <w:p w14:paraId="6BBAEB17">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硫酸盐灰分（质量分数）</w:t>
            </w:r>
          </w:p>
        </w:tc>
        <w:tc>
          <w:tcPr>
            <w:tcW w:w="587" w:type="pct"/>
            <w:vAlign w:val="center"/>
          </w:tcPr>
          <w:p w14:paraId="21928863">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w:t>
            </w:r>
          </w:p>
        </w:tc>
        <w:tc>
          <w:tcPr>
            <w:tcW w:w="992" w:type="pct"/>
            <w:gridSpan w:val="2"/>
            <w:vAlign w:val="center"/>
          </w:tcPr>
          <w:p w14:paraId="4B128F14">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≤0.02</w:t>
            </w:r>
          </w:p>
        </w:tc>
        <w:tc>
          <w:tcPr>
            <w:tcW w:w="1124" w:type="pct"/>
            <w:vAlign w:val="center"/>
          </w:tcPr>
          <w:p w14:paraId="2207CD4E">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GB/T2433</w:t>
            </w:r>
          </w:p>
        </w:tc>
      </w:tr>
      <w:tr w14:paraId="1731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7" w:type="pct"/>
            <w:vAlign w:val="center"/>
          </w:tcPr>
          <w:p w14:paraId="032F5B54">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水含量</w:t>
            </w:r>
          </w:p>
        </w:tc>
        <w:tc>
          <w:tcPr>
            <w:tcW w:w="587" w:type="pct"/>
            <w:vAlign w:val="center"/>
          </w:tcPr>
          <w:p w14:paraId="0CC6CF47">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mg/kg</w:t>
            </w:r>
          </w:p>
        </w:tc>
        <w:tc>
          <w:tcPr>
            <w:tcW w:w="992" w:type="pct"/>
            <w:gridSpan w:val="2"/>
            <w:vAlign w:val="center"/>
          </w:tcPr>
          <w:p w14:paraId="0EBE43A7">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≤500</w:t>
            </w:r>
          </w:p>
        </w:tc>
        <w:tc>
          <w:tcPr>
            <w:tcW w:w="1124" w:type="pct"/>
            <w:vAlign w:val="center"/>
          </w:tcPr>
          <w:p w14:paraId="34360382">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SH/T0246</w:t>
            </w:r>
          </w:p>
        </w:tc>
      </w:tr>
      <w:tr w14:paraId="7B736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7" w:type="pct"/>
            <w:vAlign w:val="center"/>
          </w:tcPr>
          <w:p w14:paraId="488E5CA0">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机械杂质</w:t>
            </w:r>
          </w:p>
        </w:tc>
        <w:tc>
          <w:tcPr>
            <w:tcW w:w="587" w:type="pct"/>
            <w:vAlign w:val="center"/>
          </w:tcPr>
          <w:p w14:paraId="2AFF7860">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w:t>
            </w:r>
          </w:p>
        </w:tc>
        <w:tc>
          <w:tcPr>
            <w:tcW w:w="992" w:type="pct"/>
            <w:gridSpan w:val="2"/>
            <w:vAlign w:val="center"/>
          </w:tcPr>
          <w:p w14:paraId="1DDE746C">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无</w:t>
            </w:r>
          </w:p>
        </w:tc>
        <w:tc>
          <w:tcPr>
            <w:tcW w:w="1124" w:type="pct"/>
            <w:vAlign w:val="center"/>
          </w:tcPr>
          <w:p w14:paraId="7A2513BF">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GB/T511d</w:t>
            </w:r>
          </w:p>
        </w:tc>
      </w:tr>
      <w:tr w14:paraId="5EDF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7" w:type="pct"/>
            <w:vAlign w:val="center"/>
          </w:tcPr>
          <w:p w14:paraId="168128C0">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铜片腐蚀（50℃，3h）</w:t>
            </w:r>
          </w:p>
        </w:tc>
        <w:tc>
          <w:tcPr>
            <w:tcW w:w="587" w:type="pct"/>
            <w:vAlign w:val="center"/>
          </w:tcPr>
          <w:p w14:paraId="639B53BD">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级</w:t>
            </w:r>
          </w:p>
        </w:tc>
        <w:tc>
          <w:tcPr>
            <w:tcW w:w="992" w:type="pct"/>
            <w:gridSpan w:val="2"/>
            <w:vAlign w:val="center"/>
          </w:tcPr>
          <w:p w14:paraId="0157455D">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≤1</w:t>
            </w:r>
          </w:p>
        </w:tc>
        <w:tc>
          <w:tcPr>
            <w:tcW w:w="1124" w:type="pct"/>
            <w:vAlign w:val="center"/>
          </w:tcPr>
          <w:p w14:paraId="0C0CB743">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GB/T5096</w:t>
            </w:r>
          </w:p>
        </w:tc>
      </w:tr>
      <w:tr w14:paraId="4630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7" w:type="pct"/>
            <w:vAlign w:val="center"/>
          </w:tcPr>
          <w:p w14:paraId="34E1239C">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十六烷值</w:t>
            </w:r>
          </w:p>
        </w:tc>
        <w:tc>
          <w:tcPr>
            <w:tcW w:w="587" w:type="pct"/>
            <w:vAlign w:val="center"/>
          </w:tcPr>
          <w:p w14:paraId="6747BF99">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w:t>
            </w:r>
          </w:p>
        </w:tc>
        <w:tc>
          <w:tcPr>
            <w:tcW w:w="496" w:type="pct"/>
            <w:vAlign w:val="center"/>
          </w:tcPr>
          <w:p w14:paraId="3C1FDD35">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≥49</w:t>
            </w:r>
          </w:p>
        </w:tc>
        <w:tc>
          <w:tcPr>
            <w:tcW w:w="496" w:type="pct"/>
            <w:vAlign w:val="center"/>
          </w:tcPr>
          <w:p w14:paraId="2369CB5D">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≥51</w:t>
            </w:r>
          </w:p>
        </w:tc>
        <w:tc>
          <w:tcPr>
            <w:tcW w:w="1124" w:type="pct"/>
            <w:vAlign w:val="center"/>
          </w:tcPr>
          <w:p w14:paraId="2CAB6436">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GB/T386</w:t>
            </w:r>
          </w:p>
        </w:tc>
      </w:tr>
      <w:tr w14:paraId="39509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7" w:type="pct"/>
            <w:vAlign w:val="center"/>
          </w:tcPr>
          <w:p w14:paraId="4213EBA3">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氧化安定性（110℃）</w:t>
            </w:r>
          </w:p>
        </w:tc>
        <w:tc>
          <w:tcPr>
            <w:tcW w:w="587" w:type="pct"/>
            <w:vAlign w:val="center"/>
          </w:tcPr>
          <w:p w14:paraId="57AABB25">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h</w:t>
            </w:r>
          </w:p>
        </w:tc>
        <w:tc>
          <w:tcPr>
            <w:tcW w:w="992" w:type="pct"/>
            <w:gridSpan w:val="2"/>
            <w:vAlign w:val="center"/>
          </w:tcPr>
          <w:p w14:paraId="6AFE5BFD">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≤6</w:t>
            </w:r>
          </w:p>
        </w:tc>
        <w:tc>
          <w:tcPr>
            <w:tcW w:w="1124" w:type="pct"/>
            <w:vAlign w:val="center"/>
          </w:tcPr>
          <w:p w14:paraId="3B1BEC9A">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NB/SH/T0825</w:t>
            </w:r>
          </w:p>
        </w:tc>
      </w:tr>
      <w:tr w14:paraId="697D9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7" w:type="pct"/>
            <w:vAlign w:val="center"/>
          </w:tcPr>
          <w:p w14:paraId="636979E7">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酸值（以KOH计）</w:t>
            </w:r>
          </w:p>
        </w:tc>
        <w:tc>
          <w:tcPr>
            <w:tcW w:w="587" w:type="pct"/>
            <w:vAlign w:val="center"/>
          </w:tcPr>
          <w:p w14:paraId="14FF3BE1">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mg/g</w:t>
            </w:r>
          </w:p>
        </w:tc>
        <w:tc>
          <w:tcPr>
            <w:tcW w:w="992" w:type="pct"/>
            <w:gridSpan w:val="2"/>
            <w:vAlign w:val="center"/>
          </w:tcPr>
          <w:p w14:paraId="3A98DBC1">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≤0.5</w:t>
            </w:r>
          </w:p>
        </w:tc>
        <w:tc>
          <w:tcPr>
            <w:tcW w:w="1124" w:type="pct"/>
            <w:vAlign w:val="center"/>
          </w:tcPr>
          <w:p w14:paraId="15333B7B">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GB/T730</w:t>
            </w:r>
          </w:p>
        </w:tc>
      </w:tr>
      <w:tr w14:paraId="0E143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7" w:type="pct"/>
            <w:vAlign w:val="center"/>
          </w:tcPr>
          <w:p w14:paraId="1161C1A1">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游离甘油含量（质量分数）</w:t>
            </w:r>
          </w:p>
        </w:tc>
        <w:tc>
          <w:tcPr>
            <w:tcW w:w="587" w:type="pct"/>
            <w:vAlign w:val="center"/>
          </w:tcPr>
          <w:p w14:paraId="4F803960">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w:t>
            </w:r>
          </w:p>
        </w:tc>
        <w:tc>
          <w:tcPr>
            <w:tcW w:w="992" w:type="pct"/>
            <w:gridSpan w:val="2"/>
            <w:vAlign w:val="center"/>
          </w:tcPr>
          <w:p w14:paraId="414CCC71">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≤0.02</w:t>
            </w:r>
          </w:p>
        </w:tc>
        <w:tc>
          <w:tcPr>
            <w:tcW w:w="1124" w:type="pct"/>
            <w:vAlign w:val="center"/>
          </w:tcPr>
          <w:p w14:paraId="3A4BEEC8">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SH/T0796</w:t>
            </w:r>
          </w:p>
        </w:tc>
      </w:tr>
      <w:tr w14:paraId="185CB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7" w:type="pct"/>
            <w:vAlign w:val="center"/>
          </w:tcPr>
          <w:p w14:paraId="39D23175">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单甘酯含量（质量分数）</w:t>
            </w:r>
          </w:p>
        </w:tc>
        <w:tc>
          <w:tcPr>
            <w:tcW w:w="587" w:type="pct"/>
            <w:vAlign w:val="center"/>
          </w:tcPr>
          <w:p w14:paraId="1C5D83A7">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w:t>
            </w:r>
          </w:p>
        </w:tc>
        <w:tc>
          <w:tcPr>
            <w:tcW w:w="992" w:type="pct"/>
            <w:gridSpan w:val="2"/>
            <w:vAlign w:val="center"/>
          </w:tcPr>
          <w:p w14:paraId="1AD0F58C">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≤0.8</w:t>
            </w:r>
          </w:p>
        </w:tc>
        <w:tc>
          <w:tcPr>
            <w:tcW w:w="1124" w:type="pct"/>
            <w:vAlign w:val="center"/>
          </w:tcPr>
          <w:p w14:paraId="5D68CBBB">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SH/T0796</w:t>
            </w:r>
          </w:p>
        </w:tc>
      </w:tr>
      <w:tr w14:paraId="2EED2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7" w:type="pct"/>
            <w:vAlign w:val="center"/>
          </w:tcPr>
          <w:p w14:paraId="33B1A667">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总甘油含量（质量分数）</w:t>
            </w:r>
          </w:p>
        </w:tc>
        <w:tc>
          <w:tcPr>
            <w:tcW w:w="587" w:type="pct"/>
            <w:vAlign w:val="center"/>
          </w:tcPr>
          <w:p w14:paraId="21E117F0">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w:t>
            </w:r>
          </w:p>
        </w:tc>
        <w:tc>
          <w:tcPr>
            <w:tcW w:w="992" w:type="pct"/>
            <w:gridSpan w:val="2"/>
            <w:vAlign w:val="center"/>
          </w:tcPr>
          <w:p w14:paraId="3C0675A3">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≤0.24</w:t>
            </w:r>
          </w:p>
        </w:tc>
        <w:tc>
          <w:tcPr>
            <w:tcW w:w="1124" w:type="pct"/>
            <w:vAlign w:val="center"/>
          </w:tcPr>
          <w:p w14:paraId="5EDBBCF7">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SH/T0796</w:t>
            </w:r>
          </w:p>
        </w:tc>
      </w:tr>
      <w:tr w14:paraId="30E88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7" w:type="pct"/>
            <w:vAlign w:val="center"/>
          </w:tcPr>
          <w:p w14:paraId="37E179F6">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一价金属（Na+K）含量</w:t>
            </w:r>
          </w:p>
        </w:tc>
        <w:tc>
          <w:tcPr>
            <w:tcW w:w="587" w:type="pct"/>
            <w:vAlign w:val="center"/>
          </w:tcPr>
          <w:p w14:paraId="278C47FF">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mg/kg</w:t>
            </w:r>
          </w:p>
        </w:tc>
        <w:tc>
          <w:tcPr>
            <w:tcW w:w="992" w:type="pct"/>
            <w:gridSpan w:val="2"/>
            <w:vAlign w:val="center"/>
          </w:tcPr>
          <w:p w14:paraId="7735E6C1">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≤5</w:t>
            </w:r>
          </w:p>
        </w:tc>
        <w:tc>
          <w:tcPr>
            <w:tcW w:w="1124" w:type="pct"/>
            <w:vAlign w:val="center"/>
          </w:tcPr>
          <w:p w14:paraId="69E27D29">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EN14538</w:t>
            </w:r>
          </w:p>
        </w:tc>
      </w:tr>
      <w:tr w14:paraId="2BE29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7" w:type="pct"/>
            <w:vAlign w:val="center"/>
          </w:tcPr>
          <w:p w14:paraId="62D9FB30">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二价金属（Ca+Mg）含量</w:t>
            </w:r>
          </w:p>
        </w:tc>
        <w:tc>
          <w:tcPr>
            <w:tcW w:w="587" w:type="pct"/>
            <w:vAlign w:val="center"/>
          </w:tcPr>
          <w:p w14:paraId="27B1A7F6">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mg/kg</w:t>
            </w:r>
          </w:p>
        </w:tc>
        <w:tc>
          <w:tcPr>
            <w:tcW w:w="992" w:type="pct"/>
            <w:gridSpan w:val="2"/>
            <w:vAlign w:val="center"/>
          </w:tcPr>
          <w:p w14:paraId="3B3D0A0D">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≤5</w:t>
            </w:r>
          </w:p>
        </w:tc>
        <w:tc>
          <w:tcPr>
            <w:tcW w:w="1124" w:type="pct"/>
            <w:vAlign w:val="center"/>
          </w:tcPr>
          <w:p w14:paraId="2FB773CF">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EN14538h</w:t>
            </w:r>
          </w:p>
        </w:tc>
      </w:tr>
      <w:tr w14:paraId="370E5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7" w:type="pct"/>
            <w:vAlign w:val="center"/>
          </w:tcPr>
          <w:p w14:paraId="2E2BA049">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脂肪酸甲酯含量（质量分数）</w:t>
            </w:r>
          </w:p>
        </w:tc>
        <w:tc>
          <w:tcPr>
            <w:tcW w:w="587" w:type="pct"/>
            <w:vAlign w:val="center"/>
          </w:tcPr>
          <w:p w14:paraId="4413569B">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w:t>
            </w:r>
          </w:p>
        </w:tc>
        <w:tc>
          <w:tcPr>
            <w:tcW w:w="992" w:type="pct"/>
            <w:gridSpan w:val="2"/>
            <w:vAlign w:val="center"/>
          </w:tcPr>
          <w:p w14:paraId="4C8C6617">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≥96.5</w:t>
            </w:r>
          </w:p>
        </w:tc>
        <w:tc>
          <w:tcPr>
            <w:tcW w:w="1124" w:type="pct"/>
            <w:vAlign w:val="center"/>
          </w:tcPr>
          <w:p w14:paraId="41355BC5">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NB/SH/T0831</w:t>
            </w:r>
          </w:p>
        </w:tc>
      </w:tr>
      <w:tr w14:paraId="62970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7" w:type="pct"/>
            <w:vAlign w:val="center"/>
          </w:tcPr>
          <w:p w14:paraId="35625410">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磷含量</w:t>
            </w:r>
          </w:p>
        </w:tc>
        <w:tc>
          <w:tcPr>
            <w:tcW w:w="587" w:type="pct"/>
            <w:vAlign w:val="center"/>
          </w:tcPr>
          <w:p w14:paraId="353CD434">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mg/kg</w:t>
            </w:r>
          </w:p>
        </w:tc>
        <w:tc>
          <w:tcPr>
            <w:tcW w:w="992" w:type="pct"/>
            <w:gridSpan w:val="2"/>
            <w:vAlign w:val="center"/>
          </w:tcPr>
          <w:p w14:paraId="5FA981B4">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≤10</w:t>
            </w:r>
          </w:p>
        </w:tc>
        <w:tc>
          <w:tcPr>
            <w:tcW w:w="1124" w:type="pct"/>
            <w:vAlign w:val="center"/>
          </w:tcPr>
          <w:p w14:paraId="04E1B986">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EN14707</w:t>
            </w:r>
          </w:p>
        </w:tc>
      </w:tr>
    </w:tbl>
    <w:p w14:paraId="60F247B6">
      <w:pPr>
        <w:pStyle w:val="11"/>
      </w:pPr>
      <w:r>
        <w:rPr>
          <w:rFonts w:hint="eastAsia"/>
        </w:rPr>
        <w:t xml:space="preserve">  《工业级混合油》（Q/HZFZL01-2025）（摘录）</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3055"/>
        <w:gridCol w:w="956"/>
        <w:gridCol w:w="946"/>
        <w:gridCol w:w="956"/>
        <w:gridCol w:w="956"/>
        <w:gridCol w:w="956"/>
        <w:gridCol w:w="708"/>
      </w:tblGrid>
      <w:tr w14:paraId="7D7CF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4" w:type="pct"/>
            <w:vMerge w:val="restart"/>
            <w:vAlign w:val="center"/>
          </w:tcPr>
          <w:p w14:paraId="49B5FC1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序号</w:t>
            </w:r>
          </w:p>
        </w:tc>
        <w:tc>
          <w:tcPr>
            <w:tcW w:w="1653" w:type="pct"/>
            <w:vMerge w:val="restart"/>
            <w:vAlign w:val="center"/>
          </w:tcPr>
          <w:p w14:paraId="6595CD0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项目</w:t>
            </w:r>
          </w:p>
        </w:tc>
        <w:tc>
          <w:tcPr>
            <w:tcW w:w="2963" w:type="pct"/>
            <w:gridSpan w:val="6"/>
            <w:vAlign w:val="center"/>
          </w:tcPr>
          <w:p w14:paraId="3EE8A13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指标</w:t>
            </w:r>
          </w:p>
        </w:tc>
      </w:tr>
      <w:tr w14:paraId="16042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4" w:type="pct"/>
            <w:vMerge w:val="continue"/>
            <w:vAlign w:val="center"/>
          </w:tcPr>
          <w:p w14:paraId="3E625B3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653" w:type="pct"/>
            <w:vMerge w:val="continue"/>
            <w:vAlign w:val="center"/>
          </w:tcPr>
          <w:p w14:paraId="5E523F6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17" w:type="pct"/>
            <w:vAlign w:val="center"/>
          </w:tcPr>
          <w:p w14:paraId="1456ED8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一级</w:t>
            </w:r>
          </w:p>
        </w:tc>
        <w:tc>
          <w:tcPr>
            <w:tcW w:w="512" w:type="pct"/>
            <w:vAlign w:val="center"/>
          </w:tcPr>
          <w:p w14:paraId="65E3BDE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二级</w:t>
            </w:r>
          </w:p>
        </w:tc>
        <w:tc>
          <w:tcPr>
            <w:tcW w:w="517" w:type="pct"/>
            <w:vAlign w:val="center"/>
          </w:tcPr>
          <w:p w14:paraId="6CF8D03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三级</w:t>
            </w:r>
          </w:p>
        </w:tc>
        <w:tc>
          <w:tcPr>
            <w:tcW w:w="517" w:type="pct"/>
            <w:vAlign w:val="center"/>
          </w:tcPr>
          <w:p w14:paraId="20586F2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四级</w:t>
            </w:r>
          </w:p>
        </w:tc>
        <w:tc>
          <w:tcPr>
            <w:tcW w:w="517" w:type="pct"/>
            <w:vAlign w:val="center"/>
          </w:tcPr>
          <w:p w14:paraId="7BADD6C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五级</w:t>
            </w:r>
          </w:p>
        </w:tc>
        <w:tc>
          <w:tcPr>
            <w:tcW w:w="384" w:type="pct"/>
            <w:vAlign w:val="center"/>
          </w:tcPr>
          <w:p w14:paraId="5716854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六级</w:t>
            </w:r>
          </w:p>
        </w:tc>
      </w:tr>
      <w:tr w14:paraId="2D0C9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4" w:type="pct"/>
            <w:vAlign w:val="center"/>
          </w:tcPr>
          <w:p w14:paraId="37D0DC2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w:t>
            </w:r>
          </w:p>
        </w:tc>
        <w:tc>
          <w:tcPr>
            <w:tcW w:w="1653" w:type="pct"/>
            <w:vAlign w:val="center"/>
          </w:tcPr>
          <w:p w14:paraId="6299A04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水分及挥发性，%，≤</w:t>
            </w:r>
          </w:p>
        </w:tc>
        <w:tc>
          <w:tcPr>
            <w:tcW w:w="517" w:type="pct"/>
            <w:vAlign w:val="center"/>
          </w:tcPr>
          <w:p w14:paraId="3AA77A4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0.2</w:t>
            </w:r>
          </w:p>
        </w:tc>
        <w:tc>
          <w:tcPr>
            <w:tcW w:w="512" w:type="pct"/>
            <w:vAlign w:val="center"/>
          </w:tcPr>
          <w:p w14:paraId="460B84A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0.2</w:t>
            </w:r>
          </w:p>
        </w:tc>
        <w:tc>
          <w:tcPr>
            <w:tcW w:w="517" w:type="pct"/>
            <w:vAlign w:val="center"/>
          </w:tcPr>
          <w:p w14:paraId="42ED131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0.5</w:t>
            </w:r>
          </w:p>
        </w:tc>
        <w:tc>
          <w:tcPr>
            <w:tcW w:w="517" w:type="pct"/>
            <w:vAlign w:val="center"/>
          </w:tcPr>
          <w:p w14:paraId="1C0184E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0.5</w:t>
            </w:r>
          </w:p>
        </w:tc>
        <w:tc>
          <w:tcPr>
            <w:tcW w:w="517" w:type="pct"/>
            <w:vAlign w:val="center"/>
          </w:tcPr>
          <w:p w14:paraId="0154C3A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w:t>
            </w:r>
          </w:p>
        </w:tc>
        <w:tc>
          <w:tcPr>
            <w:tcW w:w="384" w:type="pct"/>
            <w:vAlign w:val="center"/>
          </w:tcPr>
          <w:p w14:paraId="2BE28B7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2.5</w:t>
            </w:r>
          </w:p>
        </w:tc>
      </w:tr>
      <w:tr w14:paraId="4EDAC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84" w:type="pct"/>
            <w:vAlign w:val="center"/>
          </w:tcPr>
          <w:p w14:paraId="56946FB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w:t>
            </w:r>
          </w:p>
        </w:tc>
        <w:tc>
          <w:tcPr>
            <w:tcW w:w="1653" w:type="pct"/>
            <w:vAlign w:val="center"/>
          </w:tcPr>
          <w:p w14:paraId="178F661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不溶性杂质，%，≤</w:t>
            </w:r>
          </w:p>
        </w:tc>
        <w:tc>
          <w:tcPr>
            <w:tcW w:w="517" w:type="pct"/>
            <w:vAlign w:val="center"/>
          </w:tcPr>
          <w:p w14:paraId="734B3F0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0.3</w:t>
            </w:r>
          </w:p>
        </w:tc>
        <w:tc>
          <w:tcPr>
            <w:tcW w:w="512" w:type="pct"/>
            <w:vAlign w:val="center"/>
          </w:tcPr>
          <w:p w14:paraId="28BE4A8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0.3</w:t>
            </w:r>
          </w:p>
        </w:tc>
        <w:tc>
          <w:tcPr>
            <w:tcW w:w="517" w:type="pct"/>
            <w:vAlign w:val="center"/>
          </w:tcPr>
          <w:p w14:paraId="273F276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0.3</w:t>
            </w:r>
          </w:p>
        </w:tc>
        <w:tc>
          <w:tcPr>
            <w:tcW w:w="517" w:type="pct"/>
            <w:vAlign w:val="center"/>
          </w:tcPr>
          <w:p w14:paraId="3CD7003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0.3</w:t>
            </w:r>
          </w:p>
        </w:tc>
        <w:tc>
          <w:tcPr>
            <w:tcW w:w="517" w:type="pct"/>
            <w:vAlign w:val="center"/>
          </w:tcPr>
          <w:p w14:paraId="1F2F41F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w:t>
            </w:r>
          </w:p>
        </w:tc>
        <w:tc>
          <w:tcPr>
            <w:tcW w:w="384" w:type="pct"/>
            <w:vAlign w:val="center"/>
          </w:tcPr>
          <w:p w14:paraId="7302D60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0.5</w:t>
            </w:r>
          </w:p>
        </w:tc>
      </w:tr>
      <w:tr w14:paraId="19AD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4" w:type="pct"/>
            <w:vAlign w:val="center"/>
          </w:tcPr>
          <w:p w14:paraId="3A09A01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w:t>
            </w:r>
          </w:p>
        </w:tc>
        <w:tc>
          <w:tcPr>
            <w:tcW w:w="1653" w:type="pct"/>
            <w:vAlign w:val="center"/>
          </w:tcPr>
          <w:p w14:paraId="1E4F17E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酸价，mgKOH/g，≤</w:t>
            </w:r>
          </w:p>
        </w:tc>
        <w:tc>
          <w:tcPr>
            <w:tcW w:w="517" w:type="pct"/>
            <w:vAlign w:val="center"/>
          </w:tcPr>
          <w:p w14:paraId="5B54BD5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1.0</w:t>
            </w:r>
          </w:p>
        </w:tc>
        <w:tc>
          <w:tcPr>
            <w:tcW w:w="512" w:type="pct"/>
            <w:vAlign w:val="center"/>
          </w:tcPr>
          <w:p w14:paraId="5CF0132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2.0</w:t>
            </w:r>
          </w:p>
        </w:tc>
        <w:tc>
          <w:tcPr>
            <w:tcW w:w="517" w:type="pct"/>
            <w:vAlign w:val="center"/>
          </w:tcPr>
          <w:p w14:paraId="011AF47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2.0</w:t>
            </w:r>
          </w:p>
        </w:tc>
        <w:tc>
          <w:tcPr>
            <w:tcW w:w="517" w:type="pct"/>
            <w:vAlign w:val="center"/>
          </w:tcPr>
          <w:p w14:paraId="02214F6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10</w:t>
            </w:r>
          </w:p>
        </w:tc>
        <w:tc>
          <w:tcPr>
            <w:tcW w:w="517" w:type="pct"/>
            <w:vAlign w:val="center"/>
          </w:tcPr>
          <w:p w14:paraId="52EFD18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150</w:t>
            </w:r>
          </w:p>
        </w:tc>
        <w:tc>
          <w:tcPr>
            <w:tcW w:w="384" w:type="pct"/>
            <w:vAlign w:val="center"/>
          </w:tcPr>
          <w:p w14:paraId="5546D6D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15</w:t>
            </w:r>
          </w:p>
        </w:tc>
      </w:tr>
      <w:tr w14:paraId="0B51E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4" w:type="pct"/>
            <w:vAlign w:val="center"/>
          </w:tcPr>
          <w:p w14:paraId="38339B2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w:t>
            </w:r>
          </w:p>
        </w:tc>
        <w:tc>
          <w:tcPr>
            <w:tcW w:w="1653" w:type="pct"/>
            <w:vAlign w:val="center"/>
          </w:tcPr>
          <w:p w14:paraId="2ED495E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碘值，g12/100g</w:t>
            </w:r>
          </w:p>
        </w:tc>
        <w:tc>
          <w:tcPr>
            <w:tcW w:w="517" w:type="pct"/>
            <w:vAlign w:val="center"/>
          </w:tcPr>
          <w:p w14:paraId="2C871A6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95~120</w:t>
            </w:r>
          </w:p>
        </w:tc>
        <w:tc>
          <w:tcPr>
            <w:tcW w:w="512" w:type="pct"/>
            <w:vAlign w:val="center"/>
          </w:tcPr>
          <w:p w14:paraId="560DB63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80~110</w:t>
            </w:r>
          </w:p>
        </w:tc>
        <w:tc>
          <w:tcPr>
            <w:tcW w:w="517" w:type="pct"/>
            <w:vAlign w:val="center"/>
          </w:tcPr>
          <w:p w14:paraId="6713538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60~100</w:t>
            </w:r>
          </w:p>
        </w:tc>
        <w:tc>
          <w:tcPr>
            <w:tcW w:w="517" w:type="pct"/>
            <w:vAlign w:val="center"/>
          </w:tcPr>
          <w:p w14:paraId="6B78918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50~100</w:t>
            </w:r>
          </w:p>
        </w:tc>
        <w:tc>
          <w:tcPr>
            <w:tcW w:w="517" w:type="pct"/>
            <w:vAlign w:val="center"/>
          </w:tcPr>
          <w:p w14:paraId="0B73AAF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30~100</w:t>
            </w:r>
          </w:p>
        </w:tc>
        <w:tc>
          <w:tcPr>
            <w:tcW w:w="384" w:type="pct"/>
            <w:vAlign w:val="center"/>
          </w:tcPr>
          <w:p w14:paraId="6F72346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≥80</w:t>
            </w:r>
          </w:p>
        </w:tc>
      </w:tr>
      <w:tr w14:paraId="3F127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4" w:type="pct"/>
            <w:vAlign w:val="center"/>
          </w:tcPr>
          <w:p w14:paraId="613D20D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5</w:t>
            </w:r>
          </w:p>
        </w:tc>
        <w:tc>
          <w:tcPr>
            <w:tcW w:w="1653" w:type="pct"/>
            <w:vAlign w:val="center"/>
          </w:tcPr>
          <w:p w14:paraId="0122678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皂化值，mgKOH/g，≥</w:t>
            </w:r>
          </w:p>
        </w:tc>
        <w:tc>
          <w:tcPr>
            <w:tcW w:w="517" w:type="pct"/>
            <w:vAlign w:val="center"/>
          </w:tcPr>
          <w:p w14:paraId="1FE9493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190</w:t>
            </w:r>
          </w:p>
        </w:tc>
        <w:tc>
          <w:tcPr>
            <w:tcW w:w="512" w:type="pct"/>
            <w:vAlign w:val="center"/>
          </w:tcPr>
          <w:p w14:paraId="53AB2AF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190</w:t>
            </w:r>
          </w:p>
        </w:tc>
        <w:tc>
          <w:tcPr>
            <w:tcW w:w="517" w:type="pct"/>
            <w:vAlign w:val="center"/>
          </w:tcPr>
          <w:p w14:paraId="689BEC2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185</w:t>
            </w:r>
          </w:p>
        </w:tc>
        <w:tc>
          <w:tcPr>
            <w:tcW w:w="517" w:type="pct"/>
            <w:vAlign w:val="center"/>
          </w:tcPr>
          <w:p w14:paraId="40BE9E8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180</w:t>
            </w:r>
          </w:p>
        </w:tc>
        <w:tc>
          <w:tcPr>
            <w:tcW w:w="517" w:type="pct"/>
            <w:vAlign w:val="center"/>
          </w:tcPr>
          <w:p w14:paraId="6BD49A8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180</w:t>
            </w:r>
          </w:p>
        </w:tc>
        <w:tc>
          <w:tcPr>
            <w:tcW w:w="384" w:type="pct"/>
            <w:vAlign w:val="center"/>
          </w:tcPr>
          <w:p w14:paraId="56380B3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180</w:t>
            </w:r>
          </w:p>
        </w:tc>
      </w:tr>
      <w:tr w14:paraId="2BA39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4" w:type="pct"/>
            <w:vAlign w:val="center"/>
          </w:tcPr>
          <w:p w14:paraId="4166679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6</w:t>
            </w:r>
          </w:p>
        </w:tc>
        <w:tc>
          <w:tcPr>
            <w:tcW w:w="1653" w:type="pct"/>
            <w:vAlign w:val="center"/>
          </w:tcPr>
          <w:p w14:paraId="10A094E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不皂化物，%，≤</w:t>
            </w:r>
          </w:p>
        </w:tc>
        <w:tc>
          <w:tcPr>
            <w:tcW w:w="517" w:type="pct"/>
            <w:vAlign w:val="center"/>
          </w:tcPr>
          <w:p w14:paraId="7B7DFAB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w:t>
            </w:r>
          </w:p>
        </w:tc>
        <w:tc>
          <w:tcPr>
            <w:tcW w:w="512" w:type="pct"/>
            <w:vAlign w:val="center"/>
          </w:tcPr>
          <w:p w14:paraId="2B09698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w:t>
            </w:r>
          </w:p>
        </w:tc>
        <w:tc>
          <w:tcPr>
            <w:tcW w:w="517" w:type="pct"/>
            <w:vAlign w:val="center"/>
          </w:tcPr>
          <w:p w14:paraId="23210D9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w:t>
            </w:r>
          </w:p>
        </w:tc>
        <w:tc>
          <w:tcPr>
            <w:tcW w:w="517" w:type="pct"/>
            <w:vAlign w:val="center"/>
          </w:tcPr>
          <w:p w14:paraId="46126B1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w:t>
            </w:r>
          </w:p>
        </w:tc>
        <w:tc>
          <w:tcPr>
            <w:tcW w:w="517" w:type="pct"/>
            <w:vAlign w:val="center"/>
          </w:tcPr>
          <w:p w14:paraId="4BA3FF8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w:t>
            </w:r>
          </w:p>
        </w:tc>
        <w:tc>
          <w:tcPr>
            <w:tcW w:w="384" w:type="pct"/>
            <w:vAlign w:val="center"/>
          </w:tcPr>
          <w:p w14:paraId="6D8F405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r>
      <w:tr w14:paraId="6317F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4" w:type="pct"/>
            <w:vAlign w:val="center"/>
          </w:tcPr>
          <w:p w14:paraId="3F22024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7</w:t>
            </w:r>
          </w:p>
        </w:tc>
        <w:tc>
          <w:tcPr>
            <w:tcW w:w="1653" w:type="pct"/>
            <w:vAlign w:val="center"/>
          </w:tcPr>
          <w:p w14:paraId="16BEC42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颜色，铁钴比色计色号，≤</w:t>
            </w:r>
          </w:p>
        </w:tc>
        <w:tc>
          <w:tcPr>
            <w:tcW w:w="517" w:type="pct"/>
            <w:vAlign w:val="center"/>
          </w:tcPr>
          <w:p w14:paraId="2F76C10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8</w:t>
            </w:r>
          </w:p>
        </w:tc>
        <w:tc>
          <w:tcPr>
            <w:tcW w:w="512" w:type="pct"/>
            <w:vAlign w:val="center"/>
          </w:tcPr>
          <w:p w14:paraId="79D8660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10</w:t>
            </w:r>
          </w:p>
        </w:tc>
        <w:tc>
          <w:tcPr>
            <w:tcW w:w="517" w:type="pct"/>
            <w:vAlign w:val="center"/>
          </w:tcPr>
          <w:p w14:paraId="7DD04DF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10</w:t>
            </w:r>
          </w:p>
        </w:tc>
        <w:tc>
          <w:tcPr>
            <w:tcW w:w="517" w:type="pct"/>
            <w:vAlign w:val="center"/>
          </w:tcPr>
          <w:p w14:paraId="3B4B50E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17" w:type="pct"/>
            <w:vAlign w:val="center"/>
          </w:tcPr>
          <w:p w14:paraId="536B578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16</w:t>
            </w:r>
          </w:p>
        </w:tc>
        <w:tc>
          <w:tcPr>
            <w:tcW w:w="384" w:type="pct"/>
            <w:vAlign w:val="center"/>
          </w:tcPr>
          <w:p w14:paraId="5808C26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r>
      <w:tr w14:paraId="6CE7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4" w:type="pct"/>
            <w:vAlign w:val="center"/>
          </w:tcPr>
          <w:p w14:paraId="2A42AFC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8</w:t>
            </w:r>
          </w:p>
        </w:tc>
        <w:tc>
          <w:tcPr>
            <w:tcW w:w="1653" w:type="pct"/>
            <w:vAlign w:val="center"/>
          </w:tcPr>
          <w:p w14:paraId="5B5F687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凝固点，℃</w:t>
            </w:r>
          </w:p>
        </w:tc>
        <w:tc>
          <w:tcPr>
            <w:tcW w:w="517" w:type="pct"/>
            <w:vAlign w:val="center"/>
          </w:tcPr>
          <w:p w14:paraId="7636CBD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0~18</w:t>
            </w:r>
          </w:p>
        </w:tc>
        <w:tc>
          <w:tcPr>
            <w:tcW w:w="512" w:type="pct"/>
            <w:vAlign w:val="center"/>
          </w:tcPr>
          <w:p w14:paraId="2F3786B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10~30</w:t>
            </w:r>
          </w:p>
        </w:tc>
        <w:tc>
          <w:tcPr>
            <w:tcW w:w="517" w:type="pct"/>
            <w:vAlign w:val="center"/>
          </w:tcPr>
          <w:p w14:paraId="00382BE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30~50</w:t>
            </w:r>
          </w:p>
        </w:tc>
        <w:tc>
          <w:tcPr>
            <w:tcW w:w="517" w:type="pct"/>
            <w:vAlign w:val="center"/>
          </w:tcPr>
          <w:p w14:paraId="05F99F8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30~50</w:t>
            </w:r>
          </w:p>
        </w:tc>
        <w:tc>
          <w:tcPr>
            <w:tcW w:w="517" w:type="pct"/>
            <w:vAlign w:val="center"/>
          </w:tcPr>
          <w:p w14:paraId="5468D62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10~50</w:t>
            </w:r>
          </w:p>
        </w:tc>
        <w:tc>
          <w:tcPr>
            <w:tcW w:w="384" w:type="pct"/>
            <w:vAlign w:val="center"/>
          </w:tcPr>
          <w:p w14:paraId="54EB960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r>
      <w:tr w14:paraId="5AAD2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4" w:type="pct"/>
            <w:vAlign w:val="center"/>
          </w:tcPr>
          <w:p w14:paraId="02DAC29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9</w:t>
            </w:r>
          </w:p>
        </w:tc>
        <w:tc>
          <w:tcPr>
            <w:tcW w:w="1653" w:type="pct"/>
            <w:vAlign w:val="center"/>
          </w:tcPr>
          <w:p w14:paraId="1D681D2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闪点，℃，≥</w:t>
            </w:r>
          </w:p>
        </w:tc>
        <w:tc>
          <w:tcPr>
            <w:tcW w:w="517" w:type="pct"/>
            <w:vAlign w:val="center"/>
          </w:tcPr>
          <w:p w14:paraId="3E335C8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265</w:t>
            </w:r>
          </w:p>
        </w:tc>
        <w:tc>
          <w:tcPr>
            <w:tcW w:w="512" w:type="pct"/>
            <w:vAlign w:val="center"/>
          </w:tcPr>
          <w:p w14:paraId="53708A9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17" w:type="pct"/>
            <w:vAlign w:val="center"/>
          </w:tcPr>
          <w:p w14:paraId="1F81B8D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17" w:type="pct"/>
            <w:vAlign w:val="center"/>
          </w:tcPr>
          <w:p w14:paraId="4E9DF9B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17" w:type="pct"/>
            <w:vAlign w:val="center"/>
          </w:tcPr>
          <w:p w14:paraId="1D81858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384" w:type="pct"/>
            <w:vAlign w:val="center"/>
          </w:tcPr>
          <w:p w14:paraId="0CEC275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r>
      <w:tr w14:paraId="449BE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4" w:type="pct"/>
            <w:vAlign w:val="center"/>
          </w:tcPr>
          <w:p w14:paraId="409B029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10</w:t>
            </w:r>
          </w:p>
        </w:tc>
        <w:tc>
          <w:tcPr>
            <w:tcW w:w="1653" w:type="pct"/>
            <w:vAlign w:val="center"/>
          </w:tcPr>
          <w:p w14:paraId="15C02FB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硫含量，ppm，≤</w:t>
            </w:r>
          </w:p>
        </w:tc>
        <w:tc>
          <w:tcPr>
            <w:tcW w:w="517" w:type="pct"/>
            <w:vAlign w:val="center"/>
          </w:tcPr>
          <w:p w14:paraId="08F2F11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12" w:type="pct"/>
            <w:vAlign w:val="center"/>
          </w:tcPr>
          <w:p w14:paraId="6B18045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17" w:type="pct"/>
            <w:vAlign w:val="center"/>
          </w:tcPr>
          <w:p w14:paraId="136BDA5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17" w:type="pct"/>
            <w:vAlign w:val="center"/>
          </w:tcPr>
          <w:p w14:paraId="2BA4404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17" w:type="pct"/>
            <w:vAlign w:val="center"/>
          </w:tcPr>
          <w:p w14:paraId="5743BE1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384" w:type="pct"/>
            <w:vAlign w:val="center"/>
          </w:tcPr>
          <w:p w14:paraId="5CE126D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80</w:t>
            </w:r>
          </w:p>
        </w:tc>
      </w:tr>
      <w:tr w14:paraId="0487E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4" w:type="pct"/>
            <w:vAlign w:val="center"/>
          </w:tcPr>
          <w:p w14:paraId="2C8BE5D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11</w:t>
            </w:r>
          </w:p>
        </w:tc>
        <w:tc>
          <w:tcPr>
            <w:tcW w:w="1653" w:type="pct"/>
            <w:vAlign w:val="center"/>
          </w:tcPr>
          <w:p w14:paraId="0DFD060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矿物油</w:t>
            </w:r>
          </w:p>
        </w:tc>
        <w:tc>
          <w:tcPr>
            <w:tcW w:w="2578" w:type="pct"/>
            <w:gridSpan w:val="5"/>
            <w:vAlign w:val="center"/>
          </w:tcPr>
          <w:p w14:paraId="3EDD18B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不得检出</w:t>
            </w:r>
          </w:p>
        </w:tc>
        <w:tc>
          <w:tcPr>
            <w:tcW w:w="384" w:type="pct"/>
            <w:vAlign w:val="center"/>
          </w:tcPr>
          <w:p w14:paraId="430A7DC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bl>
    <w:p w14:paraId="38580F5A">
      <w:pPr>
        <w:pStyle w:val="11"/>
      </w:pPr>
      <w:r>
        <w:rPr>
          <w:rFonts w:hint="eastAsia"/>
        </w:rPr>
        <w:t>《甘油》（GB/T13206-2022）（摘录）</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2"/>
        <w:gridCol w:w="1652"/>
        <w:gridCol w:w="1399"/>
        <w:gridCol w:w="1399"/>
        <w:gridCol w:w="1400"/>
      </w:tblGrid>
      <w:tr w14:paraId="2C6DD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835" w:type="pct"/>
            <w:vAlign w:val="center"/>
          </w:tcPr>
          <w:p w14:paraId="04D34BC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项目</w:t>
            </w:r>
          </w:p>
        </w:tc>
        <w:tc>
          <w:tcPr>
            <w:tcW w:w="894" w:type="pct"/>
            <w:vAlign w:val="center"/>
          </w:tcPr>
          <w:p w14:paraId="5E053B8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单位</w:t>
            </w:r>
          </w:p>
        </w:tc>
        <w:tc>
          <w:tcPr>
            <w:tcW w:w="757" w:type="pct"/>
            <w:vAlign w:val="center"/>
          </w:tcPr>
          <w:p w14:paraId="390F4BC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优等品</w:t>
            </w:r>
          </w:p>
        </w:tc>
        <w:tc>
          <w:tcPr>
            <w:tcW w:w="757" w:type="pct"/>
            <w:vAlign w:val="center"/>
          </w:tcPr>
          <w:p w14:paraId="1AD9DB4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一等品</w:t>
            </w:r>
          </w:p>
        </w:tc>
        <w:tc>
          <w:tcPr>
            <w:tcW w:w="757" w:type="pct"/>
            <w:vAlign w:val="center"/>
          </w:tcPr>
          <w:p w14:paraId="32BD8A4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二等品</w:t>
            </w:r>
          </w:p>
        </w:tc>
      </w:tr>
      <w:tr w14:paraId="21C5D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5" w:type="pct"/>
            <w:vAlign w:val="center"/>
          </w:tcPr>
          <w:p w14:paraId="0CA6585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外观</w:t>
            </w:r>
          </w:p>
        </w:tc>
        <w:tc>
          <w:tcPr>
            <w:tcW w:w="894" w:type="pct"/>
            <w:vAlign w:val="center"/>
          </w:tcPr>
          <w:p w14:paraId="2F04422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2271" w:type="pct"/>
            <w:gridSpan w:val="3"/>
            <w:vAlign w:val="center"/>
          </w:tcPr>
          <w:p w14:paraId="09A1DDC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透明无悬浮物</w:t>
            </w:r>
          </w:p>
        </w:tc>
      </w:tr>
      <w:tr w14:paraId="31C4D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5" w:type="pct"/>
            <w:vAlign w:val="center"/>
          </w:tcPr>
          <w:p w14:paraId="3DE1DE7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气味</w:t>
            </w:r>
          </w:p>
        </w:tc>
        <w:tc>
          <w:tcPr>
            <w:tcW w:w="894" w:type="pct"/>
            <w:vAlign w:val="center"/>
          </w:tcPr>
          <w:p w14:paraId="17A5BBF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2271" w:type="pct"/>
            <w:gridSpan w:val="3"/>
            <w:vAlign w:val="center"/>
          </w:tcPr>
          <w:p w14:paraId="6FC3489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无异味</w:t>
            </w:r>
          </w:p>
        </w:tc>
      </w:tr>
      <w:tr w14:paraId="06DFB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5" w:type="pct"/>
            <w:vAlign w:val="center"/>
          </w:tcPr>
          <w:p w14:paraId="67BADB1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色泽</w:t>
            </w:r>
          </w:p>
        </w:tc>
        <w:tc>
          <w:tcPr>
            <w:tcW w:w="894" w:type="pct"/>
            <w:vAlign w:val="center"/>
          </w:tcPr>
          <w:p w14:paraId="4A05046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Hazcn</w:t>
            </w:r>
          </w:p>
        </w:tc>
        <w:tc>
          <w:tcPr>
            <w:tcW w:w="757" w:type="pct"/>
            <w:vAlign w:val="center"/>
          </w:tcPr>
          <w:p w14:paraId="0673EFC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≤10</w:t>
            </w:r>
          </w:p>
        </w:tc>
        <w:tc>
          <w:tcPr>
            <w:tcW w:w="757" w:type="pct"/>
            <w:vAlign w:val="center"/>
          </w:tcPr>
          <w:p w14:paraId="28C35B4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≤20</w:t>
            </w:r>
          </w:p>
        </w:tc>
        <w:tc>
          <w:tcPr>
            <w:tcW w:w="757" w:type="pct"/>
            <w:vAlign w:val="center"/>
          </w:tcPr>
          <w:p w14:paraId="6991511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≤30</w:t>
            </w:r>
          </w:p>
        </w:tc>
      </w:tr>
      <w:tr w14:paraId="2C06A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5" w:type="pct"/>
            <w:vAlign w:val="center"/>
          </w:tcPr>
          <w:p w14:paraId="5022BAF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甘油含量</w:t>
            </w:r>
          </w:p>
        </w:tc>
        <w:tc>
          <w:tcPr>
            <w:tcW w:w="894" w:type="pct"/>
            <w:vAlign w:val="center"/>
          </w:tcPr>
          <w:p w14:paraId="6DDC31E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757" w:type="pct"/>
            <w:vAlign w:val="center"/>
          </w:tcPr>
          <w:p w14:paraId="5F6C799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≥99.5</w:t>
            </w:r>
          </w:p>
        </w:tc>
        <w:tc>
          <w:tcPr>
            <w:tcW w:w="757" w:type="pct"/>
            <w:vAlign w:val="center"/>
          </w:tcPr>
          <w:p w14:paraId="5F807A9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≥98.0</w:t>
            </w:r>
          </w:p>
        </w:tc>
        <w:tc>
          <w:tcPr>
            <w:tcW w:w="757" w:type="pct"/>
            <w:vAlign w:val="center"/>
          </w:tcPr>
          <w:p w14:paraId="5EEC585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≥95.0</w:t>
            </w:r>
          </w:p>
        </w:tc>
      </w:tr>
      <w:tr w14:paraId="66BEA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5" w:type="pct"/>
            <w:vAlign w:val="center"/>
          </w:tcPr>
          <w:p w14:paraId="1698B2D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密度（20℃）</w:t>
            </w:r>
          </w:p>
        </w:tc>
        <w:tc>
          <w:tcPr>
            <w:tcW w:w="894" w:type="pct"/>
            <w:vAlign w:val="center"/>
          </w:tcPr>
          <w:p w14:paraId="1716BB6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g/ml</w:t>
            </w:r>
          </w:p>
        </w:tc>
        <w:tc>
          <w:tcPr>
            <w:tcW w:w="757" w:type="pct"/>
            <w:vAlign w:val="center"/>
          </w:tcPr>
          <w:p w14:paraId="7B11450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≥1.2598</w:t>
            </w:r>
          </w:p>
        </w:tc>
        <w:tc>
          <w:tcPr>
            <w:tcW w:w="757" w:type="pct"/>
            <w:vAlign w:val="center"/>
          </w:tcPr>
          <w:p w14:paraId="609231D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≥1.2559</w:t>
            </w:r>
          </w:p>
        </w:tc>
        <w:tc>
          <w:tcPr>
            <w:tcW w:w="757" w:type="pct"/>
            <w:vAlign w:val="center"/>
          </w:tcPr>
          <w:p w14:paraId="638E577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≥1.2481</w:t>
            </w:r>
          </w:p>
        </w:tc>
      </w:tr>
      <w:tr w14:paraId="5039B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5" w:type="pct"/>
            <w:vAlign w:val="center"/>
          </w:tcPr>
          <w:p w14:paraId="3324224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氯化物含量（以Cl计）</w:t>
            </w:r>
          </w:p>
        </w:tc>
        <w:tc>
          <w:tcPr>
            <w:tcW w:w="894" w:type="pct"/>
            <w:vAlign w:val="center"/>
          </w:tcPr>
          <w:p w14:paraId="77F7BD3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757" w:type="pct"/>
            <w:vAlign w:val="center"/>
          </w:tcPr>
          <w:p w14:paraId="0C42E5C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≤0.001</w:t>
            </w:r>
          </w:p>
        </w:tc>
        <w:tc>
          <w:tcPr>
            <w:tcW w:w="757" w:type="pct"/>
            <w:vAlign w:val="center"/>
          </w:tcPr>
          <w:p w14:paraId="7D7554F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≤0.01</w:t>
            </w:r>
          </w:p>
        </w:tc>
        <w:tc>
          <w:tcPr>
            <w:tcW w:w="757" w:type="pct"/>
            <w:vAlign w:val="center"/>
          </w:tcPr>
          <w:p w14:paraId="194A3E0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r>
      <w:tr w14:paraId="53FE9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5" w:type="pct"/>
            <w:vAlign w:val="center"/>
          </w:tcPr>
          <w:p w14:paraId="0CFCB8D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硫酸化灰分</w:t>
            </w:r>
          </w:p>
        </w:tc>
        <w:tc>
          <w:tcPr>
            <w:tcW w:w="894" w:type="pct"/>
            <w:vAlign w:val="center"/>
          </w:tcPr>
          <w:p w14:paraId="6096E6D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757" w:type="pct"/>
            <w:vAlign w:val="center"/>
          </w:tcPr>
          <w:p w14:paraId="564B404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≤0.01</w:t>
            </w:r>
          </w:p>
        </w:tc>
        <w:tc>
          <w:tcPr>
            <w:tcW w:w="757" w:type="pct"/>
            <w:vAlign w:val="center"/>
          </w:tcPr>
          <w:p w14:paraId="1FEEDF6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≤0.01</w:t>
            </w:r>
          </w:p>
        </w:tc>
        <w:tc>
          <w:tcPr>
            <w:tcW w:w="757" w:type="pct"/>
            <w:vAlign w:val="center"/>
          </w:tcPr>
          <w:p w14:paraId="29FC6D6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≤0.05</w:t>
            </w:r>
          </w:p>
        </w:tc>
      </w:tr>
      <w:tr w14:paraId="37096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5" w:type="pct"/>
            <w:vAlign w:val="center"/>
          </w:tcPr>
          <w:p w14:paraId="76205D7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酸度或碱度</w:t>
            </w:r>
          </w:p>
        </w:tc>
        <w:tc>
          <w:tcPr>
            <w:tcW w:w="894" w:type="pct"/>
            <w:vAlign w:val="center"/>
          </w:tcPr>
          <w:p w14:paraId="2153FF8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mmol/100g</w:t>
            </w:r>
          </w:p>
        </w:tc>
        <w:tc>
          <w:tcPr>
            <w:tcW w:w="757" w:type="pct"/>
            <w:vAlign w:val="center"/>
          </w:tcPr>
          <w:p w14:paraId="52AD9ED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≤0.05</w:t>
            </w:r>
          </w:p>
        </w:tc>
        <w:tc>
          <w:tcPr>
            <w:tcW w:w="757" w:type="pct"/>
            <w:vAlign w:val="center"/>
          </w:tcPr>
          <w:p w14:paraId="69B3F32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≤0.10</w:t>
            </w:r>
          </w:p>
        </w:tc>
        <w:tc>
          <w:tcPr>
            <w:tcW w:w="757" w:type="pct"/>
            <w:vAlign w:val="center"/>
          </w:tcPr>
          <w:p w14:paraId="3782FBF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≤0.30</w:t>
            </w:r>
          </w:p>
        </w:tc>
      </w:tr>
      <w:tr w14:paraId="1A4EA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5" w:type="pct"/>
            <w:vAlign w:val="center"/>
          </w:tcPr>
          <w:p w14:paraId="199D99E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皂化当量</w:t>
            </w:r>
          </w:p>
        </w:tc>
        <w:tc>
          <w:tcPr>
            <w:tcW w:w="894" w:type="pct"/>
            <w:vAlign w:val="center"/>
          </w:tcPr>
          <w:p w14:paraId="6799484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mmol/100g</w:t>
            </w:r>
          </w:p>
        </w:tc>
        <w:tc>
          <w:tcPr>
            <w:tcW w:w="757" w:type="pct"/>
            <w:vAlign w:val="center"/>
          </w:tcPr>
          <w:p w14:paraId="4E252F3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≤0.40</w:t>
            </w:r>
          </w:p>
        </w:tc>
        <w:tc>
          <w:tcPr>
            <w:tcW w:w="757" w:type="pct"/>
            <w:vAlign w:val="center"/>
          </w:tcPr>
          <w:p w14:paraId="03905E9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≤1.0</w:t>
            </w:r>
          </w:p>
        </w:tc>
        <w:tc>
          <w:tcPr>
            <w:tcW w:w="757" w:type="pct"/>
            <w:vAlign w:val="center"/>
          </w:tcPr>
          <w:p w14:paraId="5488AC8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≤3.0</w:t>
            </w:r>
          </w:p>
        </w:tc>
      </w:tr>
      <w:tr w14:paraId="0F20F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5" w:type="pct"/>
            <w:vAlign w:val="center"/>
          </w:tcPr>
          <w:p w14:paraId="6F33E79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砷含量（以As计）</w:t>
            </w:r>
          </w:p>
        </w:tc>
        <w:tc>
          <w:tcPr>
            <w:tcW w:w="894" w:type="pct"/>
            <w:vAlign w:val="center"/>
          </w:tcPr>
          <w:p w14:paraId="551D0A6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mg/kg</w:t>
            </w:r>
          </w:p>
        </w:tc>
        <w:tc>
          <w:tcPr>
            <w:tcW w:w="757" w:type="pct"/>
            <w:vAlign w:val="center"/>
          </w:tcPr>
          <w:p w14:paraId="35483A3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w:t>
            </w:r>
          </w:p>
        </w:tc>
        <w:tc>
          <w:tcPr>
            <w:tcW w:w="757" w:type="pct"/>
            <w:vAlign w:val="center"/>
          </w:tcPr>
          <w:p w14:paraId="2EEEFA6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w:t>
            </w:r>
          </w:p>
        </w:tc>
        <w:tc>
          <w:tcPr>
            <w:tcW w:w="757" w:type="pct"/>
            <w:vAlign w:val="center"/>
          </w:tcPr>
          <w:p w14:paraId="2109C6E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r>
      <w:tr w14:paraId="7B0C2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5" w:type="pct"/>
            <w:vAlign w:val="center"/>
          </w:tcPr>
          <w:p w14:paraId="299B676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重金属含量（以Pb计）</w:t>
            </w:r>
          </w:p>
        </w:tc>
        <w:tc>
          <w:tcPr>
            <w:tcW w:w="894" w:type="pct"/>
            <w:vAlign w:val="center"/>
          </w:tcPr>
          <w:p w14:paraId="0686E8D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mg/kg</w:t>
            </w:r>
          </w:p>
        </w:tc>
        <w:tc>
          <w:tcPr>
            <w:tcW w:w="757" w:type="pct"/>
            <w:vAlign w:val="center"/>
          </w:tcPr>
          <w:p w14:paraId="49D989B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w:t>
            </w:r>
          </w:p>
        </w:tc>
        <w:tc>
          <w:tcPr>
            <w:tcW w:w="757" w:type="pct"/>
            <w:vAlign w:val="center"/>
          </w:tcPr>
          <w:p w14:paraId="39861CE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w:t>
            </w:r>
          </w:p>
        </w:tc>
        <w:tc>
          <w:tcPr>
            <w:tcW w:w="757" w:type="pct"/>
            <w:vAlign w:val="center"/>
          </w:tcPr>
          <w:p w14:paraId="690EE24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r>
      <w:tr w14:paraId="3CE76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5" w:type="pct"/>
            <w:vAlign w:val="center"/>
          </w:tcPr>
          <w:p w14:paraId="1BB00F3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还原性物质</w:t>
            </w:r>
          </w:p>
        </w:tc>
        <w:tc>
          <w:tcPr>
            <w:tcW w:w="894" w:type="pct"/>
            <w:vAlign w:val="center"/>
          </w:tcPr>
          <w:p w14:paraId="7A33C2A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1514" w:type="pct"/>
            <w:gridSpan w:val="2"/>
            <w:vAlign w:val="center"/>
          </w:tcPr>
          <w:p w14:paraId="259B932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符合要求</w:t>
            </w:r>
          </w:p>
        </w:tc>
        <w:tc>
          <w:tcPr>
            <w:tcW w:w="757" w:type="pct"/>
            <w:vAlign w:val="center"/>
          </w:tcPr>
          <w:p w14:paraId="5C68D60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r>
      <w:tr w14:paraId="7C72E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5" w:type="pct"/>
            <w:vAlign w:val="center"/>
          </w:tcPr>
          <w:p w14:paraId="187608F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二甘醇含量</w:t>
            </w:r>
          </w:p>
        </w:tc>
        <w:tc>
          <w:tcPr>
            <w:tcW w:w="894" w:type="pct"/>
            <w:vAlign w:val="center"/>
          </w:tcPr>
          <w:p w14:paraId="6C92D33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1514" w:type="pct"/>
            <w:gridSpan w:val="2"/>
            <w:vAlign w:val="center"/>
          </w:tcPr>
          <w:p w14:paraId="3911851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≤0.025</w:t>
            </w:r>
          </w:p>
        </w:tc>
        <w:tc>
          <w:tcPr>
            <w:tcW w:w="757" w:type="pct"/>
            <w:vAlign w:val="center"/>
          </w:tcPr>
          <w:p w14:paraId="702CA99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r>
    </w:tbl>
    <w:p w14:paraId="2C000449">
      <w:pPr>
        <w:pStyle w:val="11"/>
      </w:pPr>
      <w:r>
        <w:rPr>
          <w:rFonts w:hint="eastAsia"/>
        </w:rPr>
        <w:t xml:space="preserve"> 《生物重油》（NB/T10770-2021）（摘录）</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8"/>
        <w:gridCol w:w="1688"/>
        <w:gridCol w:w="2366"/>
      </w:tblGrid>
      <w:tr w14:paraId="16F87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807" w:type="pct"/>
            <w:vAlign w:val="center"/>
          </w:tcPr>
          <w:p w14:paraId="0EBD31C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项目</w:t>
            </w:r>
          </w:p>
        </w:tc>
        <w:tc>
          <w:tcPr>
            <w:tcW w:w="913" w:type="pct"/>
            <w:vAlign w:val="center"/>
          </w:tcPr>
          <w:p w14:paraId="0730385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单位</w:t>
            </w:r>
          </w:p>
        </w:tc>
        <w:tc>
          <w:tcPr>
            <w:tcW w:w="1280" w:type="pct"/>
            <w:vAlign w:val="center"/>
          </w:tcPr>
          <w:p w14:paraId="01A8690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技术要求</w:t>
            </w:r>
          </w:p>
        </w:tc>
      </w:tr>
      <w:tr w14:paraId="68A40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07" w:type="pct"/>
            <w:vAlign w:val="center"/>
          </w:tcPr>
          <w:p w14:paraId="56511FA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密度（40℃）</w:t>
            </w:r>
          </w:p>
        </w:tc>
        <w:tc>
          <w:tcPr>
            <w:tcW w:w="913" w:type="pct"/>
            <w:vAlign w:val="center"/>
          </w:tcPr>
          <w:p w14:paraId="5DDC46C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kg/m</w:t>
            </w:r>
            <w:r>
              <w:rPr>
                <w:rFonts w:hint="eastAsia" w:cs="宋体"/>
                <w:color w:val="0D0D0D" w:themeColor="text1" w:themeTint="F2"/>
                <w:sz w:val="21"/>
                <w:szCs w:val="21"/>
                <w:vertAlign w:val="superscript"/>
                <w14:textFill>
                  <w14:solidFill>
                    <w14:schemeClr w14:val="tx1">
                      <w14:lumMod w14:val="95000"/>
                      <w14:lumOff w14:val="5000"/>
                    </w14:schemeClr>
                  </w14:solidFill>
                </w14:textFill>
              </w:rPr>
              <w:t>3</w:t>
            </w:r>
          </w:p>
        </w:tc>
        <w:tc>
          <w:tcPr>
            <w:tcW w:w="1280" w:type="pct"/>
            <w:vAlign w:val="center"/>
          </w:tcPr>
          <w:p w14:paraId="4E496CB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890~960</w:t>
            </w:r>
          </w:p>
        </w:tc>
      </w:tr>
      <w:tr w14:paraId="3FEA5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07" w:type="pct"/>
            <w:vAlign w:val="center"/>
          </w:tcPr>
          <w:p w14:paraId="7778EB3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运动黏度（50℃）</w:t>
            </w:r>
          </w:p>
        </w:tc>
        <w:tc>
          <w:tcPr>
            <w:tcW w:w="913" w:type="pct"/>
            <w:vAlign w:val="center"/>
          </w:tcPr>
          <w:p w14:paraId="7186957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mm</w:t>
            </w:r>
            <w:r>
              <w:rPr>
                <w:rFonts w:hint="eastAsia" w:cs="宋体"/>
                <w:color w:val="0D0D0D" w:themeColor="text1" w:themeTint="F2"/>
                <w:sz w:val="21"/>
                <w:szCs w:val="21"/>
                <w:vertAlign w:val="superscript"/>
                <w14:textFill>
                  <w14:solidFill>
                    <w14:schemeClr w14:val="tx1">
                      <w14:lumMod w14:val="95000"/>
                      <w14:lumOff w14:val="5000"/>
                    </w14:schemeClr>
                  </w14:solidFill>
                </w14:textFill>
              </w:rPr>
              <w:t>2</w:t>
            </w:r>
            <w:r>
              <w:rPr>
                <w:rFonts w:hint="eastAsia" w:cs="宋体"/>
                <w:color w:val="0D0D0D" w:themeColor="text1" w:themeTint="F2"/>
                <w:sz w:val="21"/>
                <w:szCs w:val="21"/>
                <w14:textFill>
                  <w14:solidFill>
                    <w14:schemeClr w14:val="tx1">
                      <w14:lumMod w14:val="95000"/>
                      <w14:lumOff w14:val="5000"/>
                    </w14:schemeClr>
                  </w14:solidFill>
                </w14:textFill>
              </w:rPr>
              <w:t>/s</w:t>
            </w:r>
          </w:p>
        </w:tc>
        <w:tc>
          <w:tcPr>
            <w:tcW w:w="1280" w:type="pct"/>
            <w:vAlign w:val="center"/>
          </w:tcPr>
          <w:p w14:paraId="63823C9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≤200</w:t>
            </w:r>
          </w:p>
        </w:tc>
      </w:tr>
      <w:tr w14:paraId="53467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07" w:type="pct"/>
            <w:vAlign w:val="center"/>
          </w:tcPr>
          <w:p w14:paraId="1D0BA1C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闪点（闭口）</w:t>
            </w:r>
          </w:p>
        </w:tc>
        <w:tc>
          <w:tcPr>
            <w:tcW w:w="913" w:type="pct"/>
            <w:vAlign w:val="center"/>
          </w:tcPr>
          <w:p w14:paraId="54A649F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1280" w:type="pct"/>
            <w:vAlign w:val="center"/>
          </w:tcPr>
          <w:p w14:paraId="230A871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≥130</w:t>
            </w:r>
          </w:p>
        </w:tc>
      </w:tr>
      <w:tr w14:paraId="187C5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07" w:type="pct"/>
            <w:vAlign w:val="center"/>
          </w:tcPr>
          <w:p w14:paraId="5296F59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硫含量</w:t>
            </w:r>
          </w:p>
        </w:tc>
        <w:tc>
          <w:tcPr>
            <w:tcW w:w="913" w:type="pct"/>
            <w:vAlign w:val="center"/>
          </w:tcPr>
          <w:p w14:paraId="05F2147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mg/kg</w:t>
            </w:r>
          </w:p>
        </w:tc>
        <w:tc>
          <w:tcPr>
            <w:tcW w:w="1280" w:type="pct"/>
            <w:vAlign w:val="center"/>
          </w:tcPr>
          <w:p w14:paraId="4723A91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≤500</w:t>
            </w:r>
          </w:p>
        </w:tc>
      </w:tr>
      <w:tr w14:paraId="0B623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07" w:type="pct"/>
            <w:vAlign w:val="center"/>
          </w:tcPr>
          <w:p w14:paraId="07498D1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灰分（质量分数）</w:t>
            </w:r>
          </w:p>
        </w:tc>
        <w:tc>
          <w:tcPr>
            <w:tcW w:w="913" w:type="pct"/>
            <w:vAlign w:val="center"/>
          </w:tcPr>
          <w:p w14:paraId="3814E17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1280" w:type="pct"/>
            <w:vAlign w:val="center"/>
          </w:tcPr>
          <w:p w14:paraId="221510F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报告</w:t>
            </w:r>
          </w:p>
        </w:tc>
      </w:tr>
      <w:tr w14:paraId="73A6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07" w:type="pct"/>
            <w:vAlign w:val="center"/>
          </w:tcPr>
          <w:p w14:paraId="4705756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水含量（质量分数）</w:t>
            </w:r>
          </w:p>
        </w:tc>
        <w:tc>
          <w:tcPr>
            <w:tcW w:w="913" w:type="pct"/>
            <w:vAlign w:val="center"/>
          </w:tcPr>
          <w:p w14:paraId="52ED748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1280" w:type="pct"/>
            <w:vAlign w:val="center"/>
          </w:tcPr>
          <w:p w14:paraId="7AC4943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≤0.1</w:t>
            </w:r>
          </w:p>
        </w:tc>
      </w:tr>
      <w:tr w14:paraId="6113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07" w:type="pct"/>
            <w:vAlign w:val="center"/>
          </w:tcPr>
          <w:p w14:paraId="50868F6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机械杂质（质量分数）</w:t>
            </w:r>
          </w:p>
        </w:tc>
        <w:tc>
          <w:tcPr>
            <w:tcW w:w="913" w:type="pct"/>
            <w:vAlign w:val="center"/>
          </w:tcPr>
          <w:p w14:paraId="4428381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1280" w:type="pct"/>
            <w:vAlign w:val="center"/>
          </w:tcPr>
          <w:p w14:paraId="1CEEC3C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≤0.1</w:t>
            </w:r>
          </w:p>
        </w:tc>
      </w:tr>
      <w:tr w14:paraId="55D44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07" w:type="pct"/>
            <w:vAlign w:val="center"/>
          </w:tcPr>
          <w:p w14:paraId="743B2EC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酸酯（以KOH计）</w:t>
            </w:r>
          </w:p>
        </w:tc>
        <w:tc>
          <w:tcPr>
            <w:tcW w:w="913" w:type="pct"/>
            <w:vAlign w:val="center"/>
          </w:tcPr>
          <w:p w14:paraId="1D7E9AC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mg/g</w:t>
            </w:r>
          </w:p>
        </w:tc>
        <w:tc>
          <w:tcPr>
            <w:tcW w:w="1280" w:type="pct"/>
            <w:vAlign w:val="center"/>
          </w:tcPr>
          <w:p w14:paraId="1D04A25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≤2.0</w:t>
            </w:r>
          </w:p>
        </w:tc>
      </w:tr>
      <w:tr w14:paraId="24AFD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07" w:type="pct"/>
            <w:vAlign w:val="center"/>
          </w:tcPr>
          <w:p w14:paraId="32B52ED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皂化值（以KOH计）</w:t>
            </w:r>
          </w:p>
        </w:tc>
        <w:tc>
          <w:tcPr>
            <w:tcW w:w="913" w:type="pct"/>
            <w:vAlign w:val="center"/>
          </w:tcPr>
          <w:p w14:paraId="6BD1E6B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mg/g</w:t>
            </w:r>
          </w:p>
        </w:tc>
        <w:tc>
          <w:tcPr>
            <w:tcW w:w="1280" w:type="pct"/>
            <w:vAlign w:val="center"/>
          </w:tcPr>
          <w:p w14:paraId="6E8CA55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≥150</w:t>
            </w:r>
          </w:p>
        </w:tc>
      </w:tr>
    </w:tbl>
    <w:p w14:paraId="717D3053">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根据《固体废物鉴别标准  通则》（GB34330-2017），固体废物是指在生产、生活和其他活动中产生的丧失原有利用价值或者虽未丧失利用价值但被抛弃或者放弃的固态、半固态和置于容器中的气态的物品、物质以及法律、行政法规规定纳入固体废物管理的物品物质。其中关于利用和处置过程中的固体废物鉴别要求如下：</w:t>
      </w:r>
    </w:p>
    <w:p w14:paraId="0F1DB28E">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（1）在任何条件下，固体废物按照以下任何一种方式利用或处置时，仍然作为固体废物管理（但包含在（2）条中的除外）；</w:t>
      </w:r>
    </w:p>
    <w:p w14:paraId="19AF10A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①以土壤改良、地块改造、地块修复和其他土地利用方式直接施用于土地或生产施用于土地的物质（包括堆肥），以及生产筑路材料；</w:t>
      </w:r>
    </w:p>
    <w:p w14:paraId="524043A4">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②焚烧处置（包括获取热能的焚烧和垃圾衍生燃料的焚烧），或用于生产燃料，或包含于燃料中；</w:t>
      </w:r>
    </w:p>
    <w:p w14:paraId="066FBCC7">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③填埋处置；</w:t>
      </w:r>
    </w:p>
    <w:p w14:paraId="07A9DBBD">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④倾倒、堆置；</w:t>
      </w:r>
    </w:p>
    <w:p w14:paraId="1A5F930A">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⑤国务院环境保护行政主管部门认定的其他处置方式。</w:t>
      </w:r>
    </w:p>
    <w:p w14:paraId="0064E76C">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（2）利用固体废物生产的产物同时满足下述条件的，不作为固体废物管理，按照相应的产品管理（按照（1）条进行利用或处置的除外）：</w:t>
      </w:r>
    </w:p>
    <w:p w14:paraId="4EF9776A">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①符合国家、地方制定或行业通行的被替代原料生产的产品质量标准；</w:t>
      </w:r>
    </w:p>
    <w:p w14:paraId="2E65B770">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②符合相关国家污染物排放（控制）标准或技术规范要求，包括该产物生产过程中排放到环境中的有害物质限值和该产物中有害物质的含量限值；</w:t>
      </w:r>
    </w:p>
    <w:p w14:paraId="39B5032F">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当没有国家污染控制标准或技术规范时，该产物中所含有害成分含量不高于利用被替代原料生产的产品中的有害成分含量，并且在该产物生产过程中，排放到环境中的有害物质浓度不高于利用所替代原料生产产品过程中排放到环境中的有害物质浓度，当没有被替代原料时，不考虑该条件；</w:t>
      </w:r>
    </w:p>
    <w:p w14:paraId="59134E0E">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③有稳定、合理的市场需求。</w:t>
      </w:r>
    </w:p>
    <w:p w14:paraId="5D716846">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项目原料为符合《生物柴油（BD100）原料  废弃油脂》（NB/T13007-2021）的废弃动植物油脂，属于废弃资源，采用先进的工艺技术生产生物柴油、工业级混合油、精甘油和重质脂肪酸，不属于上述（1）条中①、②、③、④、⑤项，按《固体废物鉴别标准  通则》（GB34330-2017）要求，本项目原料不作为固废管理。</w:t>
      </w:r>
    </w:p>
    <w:p w14:paraId="47A866BA">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主产品为生物柴油和工业级混合油，副产品为精甘油和重质脂肪酸，产品和副产品具有使用价值，并有稳定、合理的市场需求，均符合国家、地方制定或行业通行的被替代原料生产的产品质量标准，生产过程符合相关国家污染物排放（控制）标准要求，因此，项目主产品和副产品符合《固体废物鉴别标准  通则》（GB34330-2017）要求，不按固废管理。</w:t>
      </w:r>
    </w:p>
    <w:p w14:paraId="61EB3091">
      <w:pPr>
        <w:pStyle w:val="9"/>
      </w:pPr>
      <w:bookmarkStart w:id="88" w:name="_Toc204062564"/>
      <w:r>
        <w:rPr>
          <w:rFonts w:hint="eastAsia"/>
        </w:rPr>
        <w:t>主要生产设备</w:t>
      </w:r>
      <w:bookmarkEnd w:id="88"/>
    </w:p>
    <w:p w14:paraId="5D5FC2E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（1）生产设备</w:t>
      </w:r>
    </w:p>
    <w:p w14:paraId="3F58A5B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项目主要生产设备详见表3.1-8。</w:t>
      </w:r>
    </w:p>
    <w:p w14:paraId="28C33719">
      <w:pPr>
        <w:pStyle w:val="2"/>
        <w:ind w:firstLine="240"/>
      </w:pPr>
      <w:r>
        <w:br w:type="page"/>
      </w:r>
    </w:p>
    <w:p w14:paraId="26D08471">
      <w:pPr>
        <w:pStyle w:val="11"/>
      </w:pPr>
      <w:r>
        <w:rPr>
          <w:rFonts w:hint="eastAsia"/>
        </w:rPr>
        <w:t xml:space="preserve"> 主要生产设备一览表</w:t>
      </w:r>
    </w:p>
    <w:p w14:paraId="23C2345D">
      <w:pPr>
        <w:ind w:firstLine="480" w:firstLineChars="200"/>
        <w:rPr>
          <w:rFonts w:hint="eastAsia"/>
        </w:rPr>
      </w:pPr>
      <w:r>
        <w:rPr>
          <w:rFonts w:hint="eastAsia"/>
        </w:rPr>
        <w:t>（涉密，公示本已删除）</w:t>
      </w:r>
    </w:p>
    <w:p w14:paraId="7CFD272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（2）项目产能与主要生产设备的匹配性分析</w:t>
      </w:r>
    </w:p>
    <w:p w14:paraId="620A067C">
      <w:pPr>
        <w:pStyle w:val="2"/>
        <w:spacing w:after="0"/>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（涉密，公示本已删除）。</w:t>
      </w:r>
    </w:p>
    <w:p w14:paraId="58BC520E">
      <w:pPr>
        <w:pStyle w:val="9"/>
      </w:pPr>
      <w:bookmarkStart w:id="89" w:name="_Toc204062565"/>
      <w:r>
        <w:rPr>
          <w:rFonts w:hint="eastAsia"/>
        </w:rPr>
        <w:t>原辅材料及能源消耗情况</w:t>
      </w:r>
      <w:bookmarkEnd w:id="89"/>
    </w:p>
    <w:p w14:paraId="6A39683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项目主要原辅材料及能源消耗情况详见表3.1-9。</w:t>
      </w:r>
    </w:p>
    <w:p w14:paraId="3CB67229">
      <w:pPr>
        <w:pStyle w:val="2"/>
        <w:ind w:firstLine="240"/>
      </w:pPr>
      <w:r>
        <w:br w:type="page"/>
      </w:r>
    </w:p>
    <w:p w14:paraId="39A9A187">
      <w:pPr>
        <w:pStyle w:val="11"/>
      </w:pPr>
      <w:r>
        <w:rPr>
          <w:rFonts w:hint="eastAsia"/>
        </w:rPr>
        <w:t xml:space="preserve"> 原辅材料及能源消耗一览表</w:t>
      </w:r>
    </w:p>
    <w:p w14:paraId="0C53A390">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（涉密，公示本已删除）</w:t>
      </w:r>
    </w:p>
    <w:p w14:paraId="59FB039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项目原料废弃油脂的质量指标要求详见表3.1-10。</w:t>
      </w:r>
    </w:p>
    <w:p w14:paraId="7398CA37">
      <w:pPr>
        <w:pStyle w:val="11"/>
      </w:pPr>
      <w:r>
        <w:rPr>
          <w:rFonts w:hint="eastAsia"/>
        </w:rPr>
        <w:t xml:space="preserve"> 废弃油脂质量指标一览表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53"/>
        <w:gridCol w:w="1076"/>
        <w:gridCol w:w="1492"/>
        <w:gridCol w:w="1421"/>
      </w:tblGrid>
      <w:tr w14:paraId="1497B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842" w:type="pct"/>
            <w:vAlign w:val="center"/>
          </w:tcPr>
          <w:p w14:paraId="71F59599">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项目</w:t>
            </w:r>
          </w:p>
        </w:tc>
        <w:tc>
          <w:tcPr>
            <w:tcW w:w="582" w:type="pct"/>
            <w:vAlign w:val="center"/>
          </w:tcPr>
          <w:p w14:paraId="7578FA07">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单位</w:t>
            </w:r>
          </w:p>
        </w:tc>
        <w:tc>
          <w:tcPr>
            <w:tcW w:w="807" w:type="pct"/>
            <w:vAlign w:val="center"/>
          </w:tcPr>
          <w:p w14:paraId="3D1CCAAA">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技术要求</w:t>
            </w:r>
          </w:p>
        </w:tc>
        <w:tc>
          <w:tcPr>
            <w:tcW w:w="769" w:type="pct"/>
            <w:vAlign w:val="center"/>
          </w:tcPr>
          <w:p w14:paraId="73EC8E52">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企业要求</w:t>
            </w:r>
          </w:p>
        </w:tc>
      </w:tr>
      <w:tr w14:paraId="450F3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2" w:type="pct"/>
            <w:vAlign w:val="center"/>
          </w:tcPr>
          <w:p w14:paraId="1BBF7904">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酸值（以KOH计）</w:t>
            </w:r>
          </w:p>
        </w:tc>
        <w:tc>
          <w:tcPr>
            <w:tcW w:w="582" w:type="pct"/>
            <w:vAlign w:val="center"/>
          </w:tcPr>
          <w:p w14:paraId="1B9240E2">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mg/g</w:t>
            </w:r>
          </w:p>
        </w:tc>
        <w:tc>
          <w:tcPr>
            <w:tcW w:w="807" w:type="pct"/>
            <w:vAlign w:val="center"/>
          </w:tcPr>
          <w:p w14:paraId="54CFDAF1">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w:t>
            </w:r>
          </w:p>
        </w:tc>
        <w:tc>
          <w:tcPr>
            <w:tcW w:w="769" w:type="pct"/>
            <w:vAlign w:val="center"/>
          </w:tcPr>
          <w:p w14:paraId="4C5D2C8A">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w:t>
            </w:r>
          </w:p>
        </w:tc>
      </w:tr>
      <w:tr w14:paraId="60333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2" w:type="pct"/>
            <w:vAlign w:val="center"/>
          </w:tcPr>
          <w:p w14:paraId="74881268">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pH值</w:t>
            </w:r>
          </w:p>
        </w:tc>
        <w:tc>
          <w:tcPr>
            <w:tcW w:w="582" w:type="pct"/>
            <w:vAlign w:val="center"/>
          </w:tcPr>
          <w:p w14:paraId="23371CD7">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w:t>
            </w:r>
          </w:p>
        </w:tc>
        <w:tc>
          <w:tcPr>
            <w:tcW w:w="807" w:type="pct"/>
            <w:vAlign w:val="center"/>
          </w:tcPr>
          <w:p w14:paraId="145A1DBA">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4～7</w:t>
            </w:r>
          </w:p>
        </w:tc>
        <w:tc>
          <w:tcPr>
            <w:tcW w:w="769" w:type="pct"/>
            <w:vAlign w:val="center"/>
          </w:tcPr>
          <w:p w14:paraId="03B75181">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5~7</w:t>
            </w:r>
          </w:p>
        </w:tc>
      </w:tr>
      <w:tr w14:paraId="6B1CA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2" w:type="pct"/>
            <w:vAlign w:val="center"/>
          </w:tcPr>
          <w:p w14:paraId="27B2FCE6">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水分及挥发分+不溶性杂质（质量分数）</w:t>
            </w:r>
          </w:p>
        </w:tc>
        <w:tc>
          <w:tcPr>
            <w:tcW w:w="582" w:type="pct"/>
            <w:vAlign w:val="center"/>
          </w:tcPr>
          <w:p w14:paraId="189CCA24">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w:t>
            </w:r>
          </w:p>
        </w:tc>
        <w:tc>
          <w:tcPr>
            <w:tcW w:w="807" w:type="pct"/>
            <w:vAlign w:val="center"/>
          </w:tcPr>
          <w:p w14:paraId="52037E99">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≤3.0</w:t>
            </w:r>
          </w:p>
        </w:tc>
        <w:tc>
          <w:tcPr>
            <w:tcW w:w="769" w:type="pct"/>
            <w:vAlign w:val="center"/>
          </w:tcPr>
          <w:p w14:paraId="65A5D36D">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≤3.0</w:t>
            </w:r>
          </w:p>
        </w:tc>
      </w:tr>
      <w:tr w14:paraId="66F13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2" w:type="pct"/>
            <w:vAlign w:val="center"/>
          </w:tcPr>
          <w:p w14:paraId="44D6F276">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密度（40℃）</w:t>
            </w:r>
          </w:p>
        </w:tc>
        <w:tc>
          <w:tcPr>
            <w:tcW w:w="582" w:type="pct"/>
            <w:vAlign w:val="center"/>
          </w:tcPr>
          <w:p w14:paraId="05207B67">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kg/m</w:t>
            </w:r>
            <w:r>
              <w:rPr>
                <w:rFonts w:hint="eastAsia" w:cs="宋体"/>
                <w:color w:val="0D0D0D" w:themeColor="text1" w:themeTint="F2"/>
                <w:sz w:val="21"/>
                <w:szCs w:val="21"/>
                <w:vertAlign w:val="superscript"/>
                <w14:textFill>
                  <w14:solidFill>
                    <w14:schemeClr w14:val="tx1">
                      <w14:lumMod w14:val="95000"/>
                      <w14:lumOff w14:val="5000"/>
                    </w14:schemeClr>
                  </w14:solidFill>
                </w14:textFill>
              </w:rPr>
              <w:t>3</w:t>
            </w:r>
          </w:p>
        </w:tc>
        <w:tc>
          <w:tcPr>
            <w:tcW w:w="807" w:type="pct"/>
            <w:vAlign w:val="center"/>
          </w:tcPr>
          <w:p w14:paraId="4A2ACC6C">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≤915</w:t>
            </w:r>
          </w:p>
        </w:tc>
        <w:tc>
          <w:tcPr>
            <w:tcW w:w="769" w:type="pct"/>
            <w:vAlign w:val="center"/>
          </w:tcPr>
          <w:p w14:paraId="73EA6A00">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≤915</w:t>
            </w:r>
          </w:p>
        </w:tc>
      </w:tr>
      <w:tr w14:paraId="22A15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2" w:type="pct"/>
            <w:vAlign w:val="center"/>
          </w:tcPr>
          <w:p w14:paraId="4F3038A8">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碘值</w:t>
            </w:r>
          </w:p>
        </w:tc>
        <w:tc>
          <w:tcPr>
            <w:tcW w:w="582" w:type="pct"/>
            <w:vAlign w:val="center"/>
          </w:tcPr>
          <w:p w14:paraId="07FA5E46">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g/100g</w:t>
            </w:r>
          </w:p>
        </w:tc>
        <w:tc>
          <w:tcPr>
            <w:tcW w:w="807" w:type="pct"/>
            <w:vAlign w:val="center"/>
          </w:tcPr>
          <w:p w14:paraId="2AFF63B8">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w:t>
            </w:r>
          </w:p>
        </w:tc>
        <w:tc>
          <w:tcPr>
            <w:tcW w:w="769" w:type="pct"/>
            <w:vAlign w:val="center"/>
          </w:tcPr>
          <w:p w14:paraId="067BB24C">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w:t>
            </w:r>
          </w:p>
        </w:tc>
      </w:tr>
      <w:tr w14:paraId="05907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2" w:type="pct"/>
            <w:vAlign w:val="center"/>
          </w:tcPr>
          <w:p w14:paraId="2399CC56">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皂化值（以KOH计）</w:t>
            </w:r>
          </w:p>
        </w:tc>
        <w:tc>
          <w:tcPr>
            <w:tcW w:w="582" w:type="pct"/>
            <w:vAlign w:val="center"/>
          </w:tcPr>
          <w:p w14:paraId="5E40C0CE">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mg/g</w:t>
            </w:r>
          </w:p>
        </w:tc>
        <w:tc>
          <w:tcPr>
            <w:tcW w:w="807" w:type="pct"/>
            <w:vAlign w:val="center"/>
          </w:tcPr>
          <w:p w14:paraId="75317633">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≥185</w:t>
            </w:r>
          </w:p>
        </w:tc>
        <w:tc>
          <w:tcPr>
            <w:tcW w:w="769" w:type="pct"/>
            <w:vAlign w:val="center"/>
          </w:tcPr>
          <w:p w14:paraId="404FD44D">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≥185</w:t>
            </w:r>
          </w:p>
        </w:tc>
      </w:tr>
      <w:tr w14:paraId="517B6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842" w:type="pct"/>
            <w:vAlign w:val="center"/>
          </w:tcPr>
          <w:p w14:paraId="12C35F64">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磷脂含量（质量分数）</w:t>
            </w:r>
          </w:p>
        </w:tc>
        <w:tc>
          <w:tcPr>
            <w:tcW w:w="582" w:type="pct"/>
            <w:vAlign w:val="center"/>
          </w:tcPr>
          <w:p w14:paraId="6C2F4828">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w:t>
            </w:r>
          </w:p>
        </w:tc>
        <w:tc>
          <w:tcPr>
            <w:tcW w:w="807" w:type="pct"/>
            <w:vAlign w:val="center"/>
          </w:tcPr>
          <w:p w14:paraId="6CF015A6">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≤1.0</w:t>
            </w:r>
          </w:p>
        </w:tc>
        <w:tc>
          <w:tcPr>
            <w:tcW w:w="769" w:type="pct"/>
            <w:vAlign w:val="center"/>
          </w:tcPr>
          <w:p w14:paraId="2BBD6A4E">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≤1.0</w:t>
            </w:r>
          </w:p>
        </w:tc>
      </w:tr>
      <w:tr w14:paraId="32C37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2" w:type="pct"/>
            <w:vAlign w:val="center"/>
          </w:tcPr>
          <w:p w14:paraId="068C535D">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不皂化物含量（质量分数）</w:t>
            </w:r>
          </w:p>
        </w:tc>
        <w:tc>
          <w:tcPr>
            <w:tcW w:w="582" w:type="pct"/>
            <w:vAlign w:val="center"/>
          </w:tcPr>
          <w:p w14:paraId="5066B8CD">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w:t>
            </w:r>
          </w:p>
        </w:tc>
        <w:tc>
          <w:tcPr>
            <w:tcW w:w="807" w:type="pct"/>
            <w:vAlign w:val="center"/>
          </w:tcPr>
          <w:p w14:paraId="0FCC7C26">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优级≤1.0</w:t>
            </w:r>
          </w:p>
        </w:tc>
        <w:tc>
          <w:tcPr>
            <w:tcW w:w="769" w:type="pct"/>
            <w:vAlign w:val="center"/>
          </w:tcPr>
          <w:p w14:paraId="5AC4BF6B">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≤1.0</w:t>
            </w:r>
          </w:p>
        </w:tc>
      </w:tr>
      <w:tr w14:paraId="08749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2" w:type="pct"/>
            <w:vAlign w:val="center"/>
          </w:tcPr>
          <w:p w14:paraId="24F3A50F">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可酯化物含量（质量分数）</w:t>
            </w:r>
          </w:p>
        </w:tc>
        <w:tc>
          <w:tcPr>
            <w:tcW w:w="582" w:type="pct"/>
            <w:vAlign w:val="center"/>
          </w:tcPr>
          <w:p w14:paraId="320FE593">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w:t>
            </w:r>
          </w:p>
        </w:tc>
        <w:tc>
          <w:tcPr>
            <w:tcW w:w="807" w:type="pct"/>
            <w:vAlign w:val="center"/>
          </w:tcPr>
          <w:p w14:paraId="26E709ED">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优级≥95</w:t>
            </w:r>
          </w:p>
        </w:tc>
        <w:tc>
          <w:tcPr>
            <w:tcW w:w="769" w:type="pct"/>
            <w:vAlign w:val="center"/>
          </w:tcPr>
          <w:p w14:paraId="2377BDA2">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≥95</w:t>
            </w:r>
          </w:p>
        </w:tc>
      </w:tr>
      <w:tr w14:paraId="3C7B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2" w:type="pct"/>
            <w:vAlign w:val="center"/>
          </w:tcPr>
          <w:p w14:paraId="4A5BC8BD">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硫含量</w:t>
            </w:r>
          </w:p>
        </w:tc>
        <w:tc>
          <w:tcPr>
            <w:tcW w:w="582" w:type="pct"/>
            <w:vAlign w:val="center"/>
          </w:tcPr>
          <w:p w14:paraId="3E30DB05">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mg/kg</w:t>
            </w:r>
          </w:p>
        </w:tc>
        <w:tc>
          <w:tcPr>
            <w:tcW w:w="807" w:type="pct"/>
            <w:vAlign w:val="center"/>
          </w:tcPr>
          <w:p w14:paraId="734F18EB">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≤500</w:t>
            </w:r>
          </w:p>
        </w:tc>
        <w:tc>
          <w:tcPr>
            <w:tcW w:w="769" w:type="pct"/>
            <w:vAlign w:val="center"/>
          </w:tcPr>
          <w:p w14:paraId="34938D28">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≤500</w:t>
            </w:r>
          </w:p>
        </w:tc>
      </w:tr>
      <w:tr w14:paraId="25D2D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2" w:type="pct"/>
            <w:vAlign w:val="center"/>
          </w:tcPr>
          <w:p w14:paraId="7794A3BD">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氯离子含量</w:t>
            </w:r>
          </w:p>
        </w:tc>
        <w:tc>
          <w:tcPr>
            <w:tcW w:w="582" w:type="pct"/>
            <w:vAlign w:val="center"/>
          </w:tcPr>
          <w:p w14:paraId="1C5A7C4E">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mg/kg</w:t>
            </w:r>
          </w:p>
        </w:tc>
        <w:tc>
          <w:tcPr>
            <w:tcW w:w="807" w:type="pct"/>
            <w:vAlign w:val="center"/>
          </w:tcPr>
          <w:p w14:paraId="565F6C84">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w:t>
            </w:r>
          </w:p>
        </w:tc>
        <w:tc>
          <w:tcPr>
            <w:tcW w:w="769" w:type="pct"/>
            <w:vAlign w:val="center"/>
          </w:tcPr>
          <w:p w14:paraId="22A66CD9">
            <w:pPr>
              <w:spacing w:line="240" w:lineRule="auto"/>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sz w:val="21"/>
                <w:szCs w:val="21"/>
                <w14:textFill>
                  <w14:solidFill>
                    <w14:schemeClr w14:val="tx1">
                      <w14:lumMod w14:val="95000"/>
                      <w14:lumOff w14:val="5000"/>
                    </w14:schemeClr>
                  </w14:solidFill>
                </w14:textFill>
              </w:rPr>
              <w:t>/</w:t>
            </w:r>
          </w:p>
        </w:tc>
      </w:tr>
    </w:tbl>
    <w:p w14:paraId="35E58317">
      <w:pPr>
        <w:ind w:firstLine="480" w:firstLineChars="200"/>
        <w:rPr>
          <w:color w:val="0D0D0D" w:themeColor="text1" w:themeTint="F2"/>
          <w:szCs w:val="24"/>
          <w14:textFill>
            <w14:solidFill>
              <w14:schemeClr w14:val="tx1">
                <w14:lumMod w14:val="95000"/>
                <w14:lumOff w14:val="5000"/>
              </w14:schemeClr>
            </w14:solidFill>
          </w14:textFill>
        </w:rPr>
      </w:pPr>
      <w:r>
        <w:rPr>
          <w:rFonts w:hint="eastAsia"/>
          <w:color w:val="0D0D0D" w:themeColor="text1" w:themeTint="F2"/>
          <w:szCs w:val="24"/>
          <w14:textFill>
            <w14:solidFill>
              <w14:schemeClr w14:val="tx1">
                <w14:lumMod w14:val="95000"/>
                <w14:lumOff w14:val="5000"/>
              </w14:schemeClr>
            </w14:solidFill>
          </w14:textFill>
        </w:rPr>
        <w:t>项目所使用的甲醇执行《工业用甲醇》（GB338-2011），详见表3.1-11。</w:t>
      </w:r>
    </w:p>
    <w:p w14:paraId="1C318F7F">
      <w:pPr>
        <w:pStyle w:val="11"/>
      </w:pPr>
      <w:r>
        <w:rPr>
          <w:rFonts w:hint="eastAsia"/>
        </w:rPr>
        <w:t xml:space="preserve"> 甲醇质量指标一览表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3"/>
        <w:gridCol w:w="2499"/>
        <w:gridCol w:w="880"/>
      </w:tblGrid>
      <w:tr w14:paraId="28E6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172" w:type="pct"/>
            <w:vAlign w:val="center"/>
          </w:tcPr>
          <w:p w14:paraId="28E0A01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项目</w:t>
            </w:r>
          </w:p>
        </w:tc>
        <w:tc>
          <w:tcPr>
            <w:tcW w:w="1352" w:type="pct"/>
            <w:vAlign w:val="center"/>
          </w:tcPr>
          <w:p w14:paraId="4C6A077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指标（优等品）</w:t>
            </w:r>
          </w:p>
        </w:tc>
        <w:tc>
          <w:tcPr>
            <w:tcW w:w="476" w:type="pct"/>
            <w:vAlign w:val="center"/>
          </w:tcPr>
          <w:p w14:paraId="1AAE39A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备注</w:t>
            </w:r>
          </w:p>
        </w:tc>
      </w:tr>
      <w:tr w14:paraId="7B296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2" w:type="pct"/>
            <w:vAlign w:val="center"/>
          </w:tcPr>
          <w:p w14:paraId="2D59580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色度，Hazen单位（铂-钴色号）≤</w:t>
            </w:r>
          </w:p>
        </w:tc>
        <w:tc>
          <w:tcPr>
            <w:tcW w:w="1352" w:type="pct"/>
            <w:vAlign w:val="center"/>
          </w:tcPr>
          <w:p w14:paraId="5794119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w:t>
            </w:r>
          </w:p>
        </w:tc>
        <w:tc>
          <w:tcPr>
            <w:tcW w:w="476" w:type="pct"/>
            <w:vMerge w:val="restart"/>
            <w:vAlign w:val="center"/>
          </w:tcPr>
          <w:p w14:paraId="66739509">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国内外有多家化工企业生产，市场来源有保障</w:t>
            </w:r>
          </w:p>
        </w:tc>
      </w:tr>
      <w:tr w14:paraId="671CB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2" w:type="pct"/>
            <w:vAlign w:val="center"/>
          </w:tcPr>
          <w:p w14:paraId="7EC2A2D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密度，ρ20/（g/cm</w:t>
            </w:r>
            <w:r>
              <w:rPr>
                <w:rFonts w:hint="eastAsia"/>
                <w:color w:val="0D0D0D" w:themeColor="text1" w:themeTint="F2"/>
                <w:sz w:val="21"/>
                <w:szCs w:val="21"/>
                <w:vertAlign w:val="superscript"/>
                <w14:textFill>
                  <w14:solidFill>
                    <w14:schemeClr w14:val="tx1">
                      <w14:lumMod w14:val="95000"/>
                      <w14:lumOff w14:val="5000"/>
                    </w14:schemeClr>
                  </w14:solidFill>
                </w14:textFill>
              </w:rPr>
              <w:t>3</w:t>
            </w:r>
            <w:r>
              <w:rPr>
                <w:rFonts w:hint="eastAsia"/>
                <w:color w:val="0D0D0D" w:themeColor="text1" w:themeTint="F2"/>
                <w:sz w:val="21"/>
                <w:szCs w:val="21"/>
                <w14:textFill>
                  <w14:solidFill>
                    <w14:schemeClr w14:val="tx1">
                      <w14:lumMod w14:val="95000"/>
                      <w14:lumOff w14:val="5000"/>
                    </w14:schemeClr>
                  </w14:solidFill>
                </w14:textFill>
              </w:rPr>
              <w:t>）</w:t>
            </w:r>
          </w:p>
        </w:tc>
        <w:tc>
          <w:tcPr>
            <w:tcW w:w="1352" w:type="pct"/>
            <w:vAlign w:val="center"/>
          </w:tcPr>
          <w:p w14:paraId="0BEE8F9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0.791~0.792</w:t>
            </w:r>
          </w:p>
        </w:tc>
        <w:tc>
          <w:tcPr>
            <w:tcW w:w="476" w:type="pct"/>
            <w:vMerge w:val="continue"/>
            <w:vAlign w:val="center"/>
          </w:tcPr>
          <w:p w14:paraId="5A075A36">
            <w:pPr>
              <w:spacing w:line="240" w:lineRule="auto"/>
              <w:jc w:val="center"/>
              <w:rPr>
                <w:color w:val="0D0D0D" w:themeColor="text1" w:themeTint="F2"/>
                <w:sz w:val="21"/>
                <w:szCs w:val="21"/>
                <w14:textFill>
                  <w14:solidFill>
                    <w14:schemeClr w14:val="tx1">
                      <w14:lumMod w14:val="95000"/>
                      <w14:lumOff w14:val="5000"/>
                    </w14:schemeClr>
                  </w14:solidFill>
                </w14:textFill>
              </w:rPr>
            </w:pPr>
          </w:p>
        </w:tc>
      </w:tr>
      <w:tr w14:paraId="63EB4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2" w:type="pct"/>
            <w:vAlign w:val="center"/>
          </w:tcPr>
          <w:p w14:paraId="53F08C0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沸程（0℃，101.3kpa）/℃≤</w:t>
            </w:r>
          </w:p>
        </w:tc>
        <w:tc>
          <w:tcPr>
            <w:tcW w:w="1352" w:type="pct"/>
            <w:vAlign w:val="center"/>
          </w:tcPr>
          <w:p w14:paraId="4E39FB5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0.8</w:t>
            </w:r>
          </w:p>
        </w:tc>
        <w:tc>
          <w:tcPr>
            <w:tcW w:w="476" w:type="pct"/>
            <w:vMerge w:val="continue"/>
            <w:vAlign w:val="center"/>
          </w:tcPr>
          <w:p w14:paraId="216CBF15">
            <w:pPr>
              <w:spacing w:line="240" w:lineRule="auto"/>
              <w:jc w:val="center"/>
              <w:rPr>
                <w:color w:val="0D0D0D" w:themeColor="text1" w:themeTint="F2"/>
                <w:sz w:val="21"/>
                <w:szCs w:val="21"/>
                <w14:textFill>
                  <w14:solidFill>
                    <w14:schemeClr w14:val="tx1">
                      <w14:lumMod w14:val="95000"/>
                      <w14:lumOff w14:val="5000"/>
                    </w14:schemeClr>
                  </w14:solidFill>
                </w14:textFill>
              </w:rPr>
            </w:pPr>
          </w:p>
        </w:tc>
      </w:tr>
      <w:tr w14:paraId="3FCAE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2" w:type="pct"/>
            <w:vAlign w:val="center"/>
          </w:tcPr>
          <w:p w14:paraId="5414367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高锰酸钾实验/min≥</w:t>
            </w:r>
          </w:p>
        </w:tc>
        <w:tc>
          <w:tcPr>
            <w:tcW w:w="1352" w:type="pct"/>
            <w:vAlign w:val="center"/>
          </w:tcPr>
          <w:p w14:paraId="267A7B0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50</w:t>
            </w:r>
          </w:p>
        </w:tc>
        <w:tc>
          <w:tcPr>
            <w:tcW w:w="476" w:type="pct"/>
            <w:vMerge w:val="continue"/>
            <w:vAlign w:val="center"/>
          </w:tcPr>
          <w:p w14:paraId="43CD8DEF">
            <w:pPr>
              <w:spacing w:line="240" w:lineRule="auto"/>
              <w:jc w:val="center"/>
              <w:rPr>
                <w:color w:val="0D0D0D" w:themeColor="text1" w:themeTint="F2"/>
                <w:sz w:val="21"/>
                <w:szCs w:val="21"/>
                <w14:textFill>
                  <w14:solidFill>
                    <w14:schemeClr w14:val="tx1">
                      <w14:lumMod w14:val="95000"/>
                      <w14:lumOff w14:val="5000"/>
                    </w14:schemeClr>
                  </w14:solidFill>
                </w14:textFill>
              </w:rPr>
            </w:pPr>
          </w:p>
        </w:tc>
      </w:tr>
      <w:tr w14:paraId="676D4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2" w:type="pct"/>
            <w:vAlign w:val="center"/>
          </w:tcPr>
          <w:p w14:paraId="6658D93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水溶性实验</w:t>
            </w:r>
          </w:p>
        </w:tc>
        <w:tc>
          <w:tcPr>
            <w:tcW w:w="1352" w:type="pct"/>
            <w:vAlign w:val="center"/>
          </w:tcPr>
          <w:p w14:paraId="79932D9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通过实验（1+3）</w:t>
            </w:r>
          </w:p>
        </w:tc>
        <w:tc>
          <w:tcPr>
            <w:tcW w:w="476" w:type="pct"/>
            <w:vMerge w:val="continue"/>
            <w:vAlign w:val="center"/>
          </w:tcPr>
          <w:p w14:paraId="1E48BC52">
            <w:pPr>
              <w:spacing w:line="240" w:lineRule="auto"/>
              <w:jc w:val="center"/>
              <w:rPr>
                <w:color w:val="0D0D0D" w:themeColor="text1" w:themeTint="F2"/>
                <w:sz w:val="21"/>
                <w:szCs w:val="21"/>
                <w14:textFill>
                  <w14:solidFill>
                    <w14:schemeClr w14:val="tx1">
                      <w14:lumMod w14:val="95000"/>
                      <w14:lumOff w14:val="5000"/>
                    </w14:schemeClr>
                  </w14:solidFill>
                </w14:textFill>
              </w:rPr>
            </w:pPr>
          </w:p>
        </w:tc>
      </w:tr>
      <w:tr w14:paraId="4270C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2" w:type="pct"/>
            <w:vAlign w:val="center"/>
          </w:tcPr>
          <w:p w14:paraId="3D0697C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水，w/%≤</w:t>
            </w:r>
          </w:p>
        </w:tc>
        <w:tc>
          <w:tcPr>
            <w:tcW w:w="1352" w:type="pct"/>
            <w:vAlign w:val="center"/>
          </w:tcPr>
          <w:p w14:paraId="40F929D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0.1</w:t>
            </w:r>
          </w:p>
        </w:tc>
        <w:tc>
          <w:tcPr>
            <w:tcW w:w="476" w:type="pct"/>
            <w:vMerge w:val="continue"/>
            <w:vAlign w:val="center"/>
          </w:tcPr>
          <w:p w14:paraId="31C73609">
            <w:pPr>
              <w:spacing w:line="240" w:lineRule="auto"/>
              <w:jc w:val="center"/>
              <w:rPr>
                <w:color w:val="0D0D0D" w:themeColor="text1" w:themeTint="F2"/>
                <w:sz w:val="21"/>
                <w:szCs w:val="21"/>
                <w14:textFill>
                  <w14:solidFill>
                    <w14:schemeClr w14:val="tx1">
                      <w14:lumMod w14:val="95000"/>
                      <w14:lumOff w14:val="5000"/>
                    </w14:schemeClr>
                  </w14:solidFill>
                </w14:textFill>
              </w:rPr>
            </w:pPr>
          </w:p>
        </w:tc>
      </w:tr>
      <w:tr w14:paraId="16863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2" w:type="pct"/>
            <w:vAlign w:val="center"/>
          </w:tcPr>
          <w:p w14:paraId="66447EA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酸（以HCOOH计），w/%≤</w:t>
            </w:r>
          </w:p>
          <w:p w14:paraId="193E6AB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或碱（以NH</w:t>
            </w:r>
            <w:r>
              <w:rPr>
                <w:rFonts w:hint="eastAsia"/>
                <w:color w:val="0D0D0D" w:themeColor="text1" w:themeTint="F2"/>
                <w:sz w:val="21"/>
                <w:szCs w:val="21"/>
                <w:vertAlign w:val="subscript"/>
                <w14:textFill>
                  <w14:solidFill>
                    <w14:schemeClr w14:val="tx1">
                      <w14:lumMod w14:val="95000"/>
                      <w14:lumOff w14:val="5000"/>
                    </w14:schemeClr>
                  </w14:solidFill>
                </w14:textFill>
              </w:rPr>
              <w:t>3</w:t>
            </w:r>
            <w:r>
              <w:rPr>
                <w:rFonts w:hint="eastAsia"/>
                <w:color w:val="0D0D0D" w:themeColor="text1" w:themeTint="F2"/>
                <w:sz w:val="21"/>
                <w:szCs w:val="21"/>
                <w14:textFill>
                  <w14:solidFill>
                    <w14:schemeClr w14:val="tx1">
                      <w14:lumMod w14:val="95000"/>
                      <w14:lumOff w14:val="5000"/>
                    </w14:schemeClr>
                  </w14:solidFill>
                </w14:textFill>
              </w:rPr>
              <w:t>计），w/%≤</w:t>
            </w:r>
          </w:p>
        </w:tc>
        <w:tc>
          <w:tcPr>
            <w:tcW w:w="1352" w:type="pct"/>
            <w:vAlign w:val="center"/>
          </w:tcPr>
          <w:p w14:paraId="78AB8F1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0.0015</w:t>
            </w:r>
          </w:p>
          <w:p w14:paraId="0A907A6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0.0002</w:t>
            </w:r>
          </w:p>
        </w:tc>
        <w:tc>
          <w:tcPr>
            <w:tcW w:w="476" w:type="pct"/>
            <w:vMerge w:val="continue"/>
            <w:vAlign w:val="center"/>
          </w:tcPr>
          <w:p w14:paraId="63B449F5">
            <w:pPr>
              <w:spacing w:line="240" w:lineRule="auto"/>
              <w:jc w:val="center"/>
              <w:rPr>
                <w:color w:val="0D0D0D" w:themeColor="text1" w:themeTint="F2"/>
                <w:sz w:val="21"/>
                <w:szCs w:val="21"/>
                <w14:textFill>
                  <w14:solidFill>
                    <w14:schemeClr w14:val="tx1">
                      <w14:lumMod w14:val="95000"/>
                      <w14:lumOff w14:val="5000"/>
                    </w14:schemeClr>
                  </w14:solidFill>
                </w14:textFill>
              </w:rPr>
            </w:pPr>
          </w:p>
        </w:tc>
      </w:tr>
      <w:tr w14:paraId="16240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2" w:type="pct"/>
            <w:vAlign w:val="center"/>
          </w:tcPr>
          <w:p w14:paraId="38068B7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蒸发残渣，w/%≤</w:t>
            </w:r>
          </w:p>
        </w:tc>
        <w:tc>
          <w:tcPr>
            <w:tcW w:w="1352" w:type="pct"/>
            <w:vAlign w:val="center"/>
          </w:tcPr>
          <w:p w14:paraId="6E22184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0.001</w:t>
            </w:r>
          </w:p>
        </w:tc>
        <w:tc>
          <w:tcPr>
            <w:tcW w:w="476" w:type="pct"/>
            <w:vMerge w:val="continue"/>
            <w:vAlign w:val="center"/>
          </w:tcPr>
          <w:p w14:paraId="2D0AE5F1">
            <w:pPr>
              <w:spacing w:line="240" w:lineRule="auto"/>
              <w:jc w:val="center"/>
              <w:rPr>
                <w:color w:val="0D0D0D" w:themeColor="text1" w:themeTint="F2"/>
                <w:sz w:val="21"/>
                <w:szCs w:val="21"/>
                <w14:textFill>
                  <w14:solidFill>
                    <w14:schemeClr w14:val="tx1">
                      <w14:lumMod w14:val="95000"/>
                      <w14:lumOff w14:val="5000"/>
                    </w14:schemeClr>
                  </w14:solidFill>
                </w14:textFill>
              </w:rPr>
            </w:pPr>
          </w:p>
        </w:tc>
      </w:tr>
      <w:tr w14:paraId="4E301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2" w:type="pct"/>
            <w:vAlign w:val="center"/>
          </w:tcPr>
          <w:p w14:paraId="51EFAF8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硫酸洗涤实验，Hazen单位（铂-钴色号）≤</w:t>
            </w:r>
          </w:p>
        </w:tc>
        <w:tc>
          <w:tcPr>
            <w:tcW w:w="1352" w:type="pct"/>
            <w:vAlign w:val="center"/>
          </w:tcPr>
          <w:p w14:paraId="732E55F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50</w:t>
            </w:r>
          </w:p>
        </w:tc>
        <w:tc>
          <w:tcPr>
            <w:tcW w:w="476" w:type="pct"/>
            <w:vMerge w:val="continue"/>
            <w:vAlign w:val="center"/>
          </w:tcPr>
          <w:p w14:paraId="53A3CE59">
            <w:pPr>
              <w:spacing w:line="240" w:lineRule="auto"/>
              <w:jc w:val="center"/>
              <w:rPr>
                <w:color w:val="0D0D0D" w:themeColor="text1" w:themeTint="F2"/>
                <w:sz w:val="21"/>
                <w:szCs w:val="21"/>
                <w14:textFill>
                  <w14:solidFill>
                    <w14:schemeClr w14:val="tx1">
                      <w14:lumMod w14:val="95000"/>
                      <w14:lumOff w14:val="5000"/>
                    </w14:schemeClr>
                  </w14:solidFill>
                </w14:textFill>
              </w:rPr>
            </w:pPr>
          </w:p>
        </w:tc>
      </w:tr>
    </w:tbl>
    <w:p w14:paraId="57D87026">
      <w:pPr>
        <w:ind w:firstLine="480" w:firstLineChars="200"/>
        <w:rPr>
          <w:color w:val="0D0D0D" w:themeColor="text1" w:themeTint="F2"/>
          <w:szCs w:val="24"/>
          <w14:textFill>
            <w14:solidFill>
              <w14:schemeClr w14:val="tx1">
                <w14:lumMod w14:val="95000"/>
                <w14:lumOff w14:val="5000"/>
              </w14:schemeClr>
            </w14:solidFill>
          </w14:textFill>
        </w:rPr>
      </w:pPr>
      <w:r>
        <w:rPr>
          <w:rFonts w:hint="eastAsia"/>
          <w:color w:val="0D0D0D" w:themeColor="text1" w:themeTint="F2"/>
          <w:szCs w:val="24"/>
          <w14:textFill>
            <w14:solidFill>
              <w14:schemeClr w14:val="tx1">
                <w14:lumMod w14:val="95000"/>
                <w14:lumOff w14:val="5000"/>
              </w14:schemeClr>
            </w14:solidFill>
          </w14:textFill>
        </w:rPr>
        <w:t>根据建设单位提供的资料，废弃动植物油脂、甲醇和生物酶的主要成分含量详见表3.1-12。</w:t>
      </w:r>
    </w:p>
    <w:p w14:paraId="32B5662C">
      <w:pPr>
        <w:pStyle w:val="11"/>
      </w:pPr>
      <w:r>
        <w:rPr>
          <w:rFonts w:hint="eastAsia"/>
        </w:rPr>
        <w:t xml:space="preserve"> 主要成分含量一览表</w:t>
      </w:r>
    </w:p>
    <w:p w14:paraId="04F5D3E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（涉密，公示本已删除）</w:t>
      </w:r>
    </w:p>
    <w:p w14:paraId="011FDA0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项目主要原辅材料理化性质详见表3.1-13。</w:t>
      </w:r>
    </w:p>
    <w:p w14:paraId="565C1C86">
      <w:pPr>
        <w:pStyle w:val="11"/>
      </w:pPr>
      <w:r>
        <w:rPr>
          <w:rFonts w:hint="eastAsia"/>
        </w:rPr>
        <w:t xml:space="preserve"> 主要原辅料理化性质一览表</w:t>
      </w:r>
    </w:p>
    <w:p w14:paraId="3641A2FD">
      <w:pPr>
        <w:ind w:firstLine="480" w:firstLineChars="200"/>
        <w:rPr>
          <w:rFonts w:hint="eastAsia"/>
        </w:rPr>
      </w:pPr>
      <w:r>
        <w:rPr>
          <w:rFonts w:hint="eastAsia"/>
        </w:rPr>
        <w:t>（涉密，公示本已删除）</w:t>
      </w:r>
    </w:p>
    <w:p w14:paraId="02C882EC">
      <w:pPr>
        <w:pStyle w:val="9"/>
      </w:pPr>
      <w:bookmarkStart w:id="90" w:name="_Toc204062566"/>
      <w:r>
        <w:rPr>
          <w:rFonts w:hint="eastAsia"/>
        </w:rPr>
        <w:t>公用工程</w:t>
      </w:r>
      <w:bookmarkEnd w:id="90"/>
    </w:p>
    <w:p w14:paraId="10352943">
      <w:pPr>
        <w:pStyle w:val="10"/>
      </w:pPr>
      <w:r>
        <w:rPr>
          <w:rFonts w:hint="eastAsia"/>
        </w:rPr>
        <w:t>给水</w:t>
      </w:r>
    </w:p>
    <w:p w14:paraId="1E98733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项目用水包括生产用水和生活用水，由园区市政管网供给，可满足生产和生活需求。</w:t>
      </w:r>
    </w:p>
    <w:p w14:paraId="7D806E10">
      <w:pPr>
        <w:pStyle w:val="10"/>
      </w:pPr>
      <w:r>
        <w:rPr>
          <w:rFonts w:hint="eastAsia"/>
        </w:rPr>
        <w:t>排水</w:t>
      </w:r>
    </w:p>
    <w:p w14:paraId="6A3B13B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实行雨污分流，初期雨水经初期雨水池收集后泵入厂区污水处理站与生产废水一起处理达标后排入市政污水管网，生活污水经三级化粪池处理后排入市政污水管网，外排废水输送至钦州胜科水务有限公司污水处理厂进一步处理。</w:t>
      </w:r>
    </w:p>
    <w:p w14:paraId="2EB7200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污水处理站采用“隔油+气浮+混凝沉淀+调节+UASB厌氧反应器+MBR膜生物反应器”处理工艺，为地上式模块化集成，主要采用钢结构框架和防腐板材（FBR/PP），主要安装流程为基础施工→模块组装→设备安装→管道与电气安装。</w:t>
      </w:r>
    </w:p>
    <w:p w14:paraId="484239AA">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（1）基础施工：按设计图纸定位各模块坐标，场地平整后，浇筑混凝土基础，预留模块螺栓孔，基础表面铺设2mm高密度聚乙烯（HDPE）膜防渗层，接缝处热熔焊接。</w:t>
      </w:r>
    </w:p>
    <w:p w14:paraId="2EE82E1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2）模块组装：采用螺栓连接钢结构框架，确保整体水平度；FBR/PP防腐板材通过自攻螺钉与框架连接，接缝处用耐候密封胶（如硅酮胶）填充；预处理模块与生化模块通过法兰连接（配橡胶密封垫），确保管道接口无泄漏。</w:t>
      </w:r>
    </w:p>
    <w:p w14:paraId="03DFC15D">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（3）设备安装：按污水处理工艺流程依次安装各污水处理设施。</w:t>
      </w:r>
    </w:p>
    <w:p w14:paraId="6A85C214">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（4）管道与电气安装：工艺管道</w:t>
      </w:r>
      <w:r>
        <w:rPr>
          <w:rFonts w:cs="Times New Roman"/>
          <w:color w:val="0D0D0D" w:themeColor="text1" w:themeTint="F2"/>
          <w:u w:val="single"/>
          <w14:textFill>
            <w14:solidFill>
              <w14:schemeClr w14:val="tx1">
                <w14:lumMod w14:val="95000"/>
                <w14:lumOff w14:val="5000"/>
              </w14:schemeClr>
            </w14:solidFill>
          </w14:textFill>
        </w:rPr>
        <w:t>​</w:t>
      </w:r>
      <w:r>
        <w:rPr>
          <w:rFonts w:hint="eastAsia" w:cs="宋体"/>
          <w:color w:val="0D0D0D" w:themeColor="text1" w:themeTint="F2"/>
          <w:u w:val="single"/>
          <w14:textFill>
            <w14:solidFill>
              <w14:schemeClr w14:val="tx1">
                <w14:lumMod w14:val="95000"/>
                <w14:lumOff w14:val="5000"/>
              </w14:schemeClr>
            </w14:solidFill>
          </w14:textFill>
        </w:rPr>
        <w:t>采用</w:t>
      </w:r>
      <w:r>
        <w:rPr>
          <w:color w:val="0D0D0D" w:themeColor="text1" w:themeTint="F2"/>
          <w:u w:val="single"/>
          <w14:textFill>
            <w14:solidFill>
              <w14:schemeClr w14:val="tx1">
                <w14:lumMod w14:val="95000"/>
                <w14:lumOff w14:val="5000"/>
              </w14:schemeClr>
            </w14:solidFill>
          </w14:textFill>
        </w:rPr>
        <w:t>UPVC/PPR</w:t>
      </w:r>
      <w:r>
        <w:rPr>
          <w:rFonts w:hint="eastAsia"/>
          <w:color w:val="0D0D0D" w:themeColor="text1" w:themeTint="F2"/>
          <w:u w:val="single"/>
          <w14:textFill>
            <w14:solidFill>
              <w14:schemeClr w14:val="tx1">
                <w14:lumMod w14:val="95000"/>
                <w14:lumOff w14:val="5000"/>
              </w14:schemeClr>
            </w14:solidFill>
          </w14:textFill>
        </w:rPr>
        <w:t>管（耐油腐蚀），</w:t>
      </w:r>
      <w:r>
        <w:rPr>
          <w:color w:val="0D0D0D" w:themeColor="text1" w:themeTint="F2"/>
          <w:u w:val="single"/>
          <w14:textFill>
            <w14:solidFill>
              <w14:schemeClr w14:val="tx1">
                <w14:lumMod w14:val="95000"/>
                <w14:lumOff w14:val="5000"/>
              </w14:schemeClr>
            </w14:solidFill>
          </w14:textFill>
        </w:rPr>
        <w:t>DN50</w:t>
      </w:r>
      <w:r>
        <w:rPr>
          <w:rFonts w:hint="eastAsia"/>
          <w:color w:val="0D0D0D" w:themeColor="text1" w:themeTint="F2"/>
          <w:u w:val="single"/>
          <w14:textFill>
            <w14:solidFill>
              <w14:schemeClr w14:val="tx1">
                <w14:lumMod w14:val="95000"/>
                <w14:lumOff w14:val="5000"/>
              </w14:schemeClr>
            </w14:solidFill>
          </w14:textFill>
        </w:rPr>
        <w:t>以上管道用法兰连接，</w:t>
      </w:r>
      <w:r>
        <w:rPr>
          <w:color w:val="0D0D0D" w:themeColor="text1" w:themeTint="F2"/>
          <w:u w:val="single"/>
          <w14:textFill>
            <w14:solidFill>
              <w14:schemeClr w14:val="tx1">
                <w14:lumMod w14:val="95000"/>
                <w14:lumOff w14:val="5000"/>
              </w14:schemeClr>
            </w14:solidFill>
          </w14:textFill>
        </w:rPr>
        <w:t>DN50</w:t>
      </w:r>
      <w:r>
        <w:rPr>
          <w:rFonts w:hint="eastAsia"/>
          <w:color w:val="0D0D0D" w:themeColor="text1" w:themeTint="F2"/>
          <w:u w:val="single"/>
          <w14:textFill>
            <w14:solidFill>
              <w14:schemeClr w14:val="tx1">
                <w14:lumMod w14:val="95000"/>
                <w14:lumOff w14:val="5000"/>
              </w14:schemeClr>
            </w14:solidFill>
          </w14:textFill>
        </w:rPr>
        <w:t>以下用承插粘接；所有金属设备、框架接地，防爆区域（如加药间）设备接地电阻。</w:t>
      </w:r>
    </w:p>
    <w:p w14:paraId="726BB4DF">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后续建设单位应委托专业设计公司设计施工方案并委托有资质单位施工。</w:t>
      </w:r>
    </w:p>
    <w:p w14:paraId="7ACDD004">
      <w:pPr>
        <w:pStyle w:val="10"/>
      </w:pPr>
      <w:r>
        <w:rPr>
          <w:rFonts w:hint="eastAsia"/>
        </w:rPr>
        <w:t>供电</w:t>
      </w:r>
    </w:p>
    <w:p w14:paraId="418702E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由市政电网供给，设置1台300KW备用柴油发电机。</w:t>
      </w:r>
    </w:p>
    <w:p w14:paraId="3D1EDC7E">
      <w:pPr>
        <w:pStyle w:val="10"/>
      </w:pPr>
      <w:r>
        <w:rPr>
          <w:rFonts w:hint="eastAsia"/>
        </w:rPr>
        <w:t>供热</w:t>
      </w:r>
    </w:p>
    <w:p w14:paraId="2DE4CDE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供热主要由导热油炉、余热蒸汽锅炉以及园区国投钦州发电有限公司供给，项目设置2台导热油炉，其中1＃导热油炉热负荷7.0MW（折合10t/h），配套设置1台1t/h的余热蒸汽锅炉给生物柴油生产线供热，可产1t/h的0.5MPa饱和蒸汽；2＃导热油炉热负荷4.2MW（折合6t/h），给工业级混合油生产线供热，不足部分由园区蒸汽管网供给。</w:t>
      </w:r>
    </w:p>
    <w:p w14:paraId="24D73C5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目前园区国投钦州发电有限公司四台机组蒸汽通过蒸汽联箱互为备用、互相保障，保证蒸汽不间断供应园区公共管廊蒸汽管网。该公司成立于2021年4月，规划建设4×660MW超临界燃煤发电机组，单台机组可对外供应中压过热蒸汽（4.5MPaG，480℃，出国投二电界区）的额定供汽能力为470t/h，最大供汽能力为840t/h，现1#和2#机组已建成投产，3#和4#机组预计分别于2025年底和2026年初建成投产，届时国投二电额定供汽能力为1880t/h，最大供汽能力为3360t/h，可满足本项目2t/h的用汽需求。蒸汽干管从园区公共管廊经过，项目从干管接入厂区，压力为0.6MPa。</w:t>
      </w:r>
    </w:p>
    <w:p w14:paraId="05AF07FD">
      <w:pPr>
        <w:pStyle w:val="10"/>
      </w:pPr>
      <w:r>
        <w:rPr>
          <w:rFonts w:hint="eastAsia"/>
        </w:rPr>
        <w:t>循环冷却水系统</w:t>
      </w:r>
    </w:p>
    <w:p w14:paraId="5C5CA88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项目设置4座500m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/h的冷却塔用于循环冷却水的冷却，冷却水循环使用。</w:t>
      </w:r>
    </w:p>
    <w:p w14:paraId="6D6ECFEF">
      <w:pPr>
        <w:pStyle w:val="10"/>
      </w:pPr>
      <w:r>
        <w:rPr>
          <w:rFonts w:hint="eastAsia"/>
        </w:rPr>
        <w:t>压缩空气和氮气</w:t>
      </w:r>
    </w:p>
    <w:p w14:paraId="5A75A926">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（涉密，公示本已删除）</w:t>
      </w:r>
      <w:r>
        <w:rPr>
          <w:rFonts w:hint="eastAsia" w:cs="Times New Roman"/>
          <w:color w:val="0D0D0D" w:themeColor="text1" w:themeTint="F2"/>
          <w:szCs w:val="24"/>
          <w14:textFill>
            <w14:solidFill>
              <w14:schemeClr w14:val="tx1">
                <w14:lumMod w14:val="95000"/>
                <w14:lumOff w14:val="5000"/>
              </w14:schemeClr>
            </w14:solidFill>
          </w14:textFill>
        </w:rPr>
        <w:t>。</w:t>
      </w:r>
    </w:p>
    <w:p w14:paraId="1B73EA69">
      <w:pPr>
        <w:pStyle w:val="9"/>
      </w:pPr>
      <w:bookmarkStart w:id="91" w:name="_Toc204062567"/>
      <w:r>
        <w:rPr>
          <w:rFonts w:hint="eastAsia"/>
        </w:rPr>
        <w:t>储运工程</w:t>
      </w:r>
      <w:bookmarkEnd w:id="91"/>
    </w:p>
    <w:p w14:paraId="6B567499">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（1）厂外运输</w:t>
      </w:r>
    </w:p>
    <w:p w14:paraId="752BD2C9">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项目原辅料主要通过槽罐车和汽车运输；生物柴油和工业级混合油通过专用管道经园区公共管廊输送至码头后装船；精甘油和重质脂肪酸通过槽罐车运输。货物运输依托社会的运输队。</w:t>
      </w:r>
    </w:p>
    <w:p w14:paraId="350FA8A4">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从安全风险和经济性考虑，项目原料和产品的运输全部委托有资质的专业运输公司承担运输。本次评价要求原料和产品运输路线在非高速路上行驶时，应避开居民居住点、学校、医院等环境敏感目标，选择合适的路线进行运输。</w:t>
      </w:r>
    </w:p>
    <w:p w14:paraId="38A9E58C">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生物柴油及工业级混合油管道走向：</w:t>
      </w:r>
    </w:p>
    <w:p w14:paraId="467760B7">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起点位于项目厂区西南角储罐区，沿园区管廊自北向南架设至勒沟东大街（397m处），自西向东架设至临海大道（888m处），沿临海大道自北向南架设至金鼓江作业区14号泊位（1790m处），详见附图3。</w:t>
      </w:r>
    </w:p>
    <w:p w14:paraId="5CBEE64C">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（2）厂内运输</w:t>
      </w:r>
    </w:p>
    <w:p w14:paraId="68C8E108">
      <w:pPr>
        <w:ind w:firstLine="480" w:firstLineChars="200"/>
        <w:rPr>
          <w:rFonts w:cs="Times New Roman"/>
          <w:color w:val="0D0D0D" w:themeColor="text1" w:themeTint="F2"/>
          <w:szCs w:val="24"/>
          <w:u w:val="single"/>
          <w14:textFill>
            <w14:solidFill>
              <w14:schemeClr w14:val="tx1">
                <w14:lumMod w14:val="95000"/>
                <w14:lumOff w14:val="5000"/>
              </w14:schemeClr>
            </w14:solidFill>
          </w14:textFill>
        </w:rPr>
      </w:pPr>
      <w:r>
        <w:rPr>
          <w:rFonts w:hint="eastAsia" w:cs="Times New Roman"/>
          <w:color w:val="0D0D0D" w:themeColor="text1" w:themeTint="F2"/>
          <w:szCs w:val="24"/>
          <w:u w:val="single"/>
          <w14:textFill>
            <w14:solidFill>
              <w14:schemeClr w14:val="tx1">
                <w14:lumMod w14:val="95000"/>
                <w14:lumOff w14:val="5000"/>
              </w14:schemeClr>
            </w14:solidFill>
          </w14:textFill>
        </w:rPr>
        <w:t>（涉密，公示本已删除）。</w:t>
      </w:r>
    </w:p>
    <w:p w14:paraId="59669310">
      <w:pPr>
        <w:ind w:firstLine="480" w:firstLineChars="200"/>
        <w:rPr>
          <w:rFonts w:cs="Times New Roman"/>
          <w:color w:val="0D0D0D" w:themeColor="text1" w:themeTint="F2"/>
          <w:szCs w:val="24"/>
          <w:u w:val="single"/>
          <w14:textFill>
            <w14:solidFill>
              <w14:schemeClr w14:val="tx1">
                <w14:lumMod w14:val="95000"/>
                <w14:lumOff w14:val="5000"/>
              </w14:schemeClr>
            </w14:solidFill>
          </w14:textFill>
        </w:rPr>
      </w:pPr>
      <w:r>
        <w:rPr>
          <w:rFonts w:hint="eastAsia" w:cs="Times New Roman"/>
          <w:color w:val="0D0D0D" w:themeColor="text1" w:themeTint="F2"/>
          <w:szCs w:val="24"/>
          <w:u w:val="single"/>
          <w14:textFill>
            <w14:solidFill>
              <w14:schemeClr w14:val="tx1">
                <w14:lumMod w14:val="95000"/>
                <w14:lumOff w14:val="5000"/>
              </w14:schemeClr>
            </w14:solidFill>
          </w14:textFill>
        </w:rPr>
        <w:t>（3）储罐工程</w:t>
      </w:r>
    </w:p>
    <w:p w14:paraId="4D3F73BB">
      <w:pPr>
        <w:ind w:firstLine="480" w:firstLineChars="200"/>
        <w:rPr>
          <w:rFonts w:cs="Times New Roman"/>
          <w:color w:val="0D0D0D" w:themeColor="text1" w:themeTint="F2"/>
          <w:szCs w:val="24"/>
          <w:u w:val="single"/>
          <w14:textFill>
            <w14:solidFill>
              <w14:schemeClr w14:val="tx1">
                <w14:lumMod w14:val="95000"/>
                <w14:lumOff w14:val="5000"/>
              </w14:schemeClr>
            </w14:solidFill>
          </w14:textFill>
        </w:rPr>
      </w:pPr>
      <w:r>
        <w:rPr>
          <w:rFonts w:hint="eastAsia" w:cs="Times New Roman"/>
          <w:color w:val="0D0D0D" w:themeColor="text1" w:themeTint="F2"/>
          <w:szCs w:val="24"/>
          <w:u w:val="single"/>
          <w14:textFill>
            <w14:solidFill>
              <w14:schemeClr w14:val="tx1">
                <w14:lumMod w14:val="95000"/>
                <w14:lumOff w14:val="5000"/>
              </w14:schemeClr>
            </w14:solidFill>
          </w14:textFill>
        </w:rPr>
        <w:t>（涉密，公示本已删除）。</w:t>
      </w:r>
    </w:p>
    <w:p w14:paraId="007733FC">
      <w:pPr>
        <w:ind w:firstLine="480" w:firstLineChars="200"/>
        <w:rPr>
          <w:rFonts w:cs="Times New Roman"/>
          <w:color w:val="0D0D0D" w:themeColor="text1" w:themeTint="F2"/>
          <w:szCs w:val="24"/>
          <w:u w:val="single"/>
          <w14:textFill>
            <w14:solidFill>
              <w14:schemeClr w14:val="tx1">
                <w14:lumMod w14:val="95000"/>
                <w14:lumOff w14:val="5000"/>
              </w14:schemeClr>
            </w14:solidFill>
          </w14:textFill>
        </w:rPr>
      </w:pPr>
      <w:r>
        <w:rPr>
          <w:rFonts w:hint="eastAsia" w:cs="Times New Roman"/>
          <w:color w:val="0D0D0D" w:themeColor="text1" w:themeTint="F2"/>
          <w:szCs w:val="24"/>
          <w:u w:val="single"/>
          <w14:textFill>
            <w14:solidFill>
              <w14:schemeClr w14:val="tx1">
                <w14:lumMod w14:val="95000"/>
                <w14:lumOff w14:val="5000"/>
              </w14:schemeClr>
            </w14:solidFill>
          </w14:textFill>
        </w:rPr>
        <w:t>储罐安装流程主要为基础验收→罐体预制→基础处理（含HDPE膜铺设）→底板安装→壁板组装→顶板安装→附件安装→焊接→无损检测→防腐→充水试验→验收，后续建设单位应委托专业设计公司设计施工方案并委托有资质单位施工</w:t>
      </w:r>
      <w:r>
        <w:rPr>
          <w:rFonts w:hint="eastAsia" w:cs="Times New Roman"/>
          <w:color w:val="0D0D0D" w:themeColor="text1" w:themeTint="F2"/>
          <w:szCs w:val="24"/>
          <w14:textFill>
            <w14:solidFill>
              <w14:schemeClr w14:val="tx1">
                <w14:lumMod w14:val="95000"/>
                <w14:lumOff w14:val="5000"/>
              </w14:schemeClr>
            </w14:solidFill>
          </w14:textFill>
        </w:rPr>
        <w:t>。</w:t>
      </w:r>
    </w:p>
    <w:p w14:paraId="04AED5C5">
      <w:pPr>
        <w:pStyle w:val="9"/>
      </w:pPr>
      <w:bookmarkStart w:id="92" w:name="_Toc204062568"/>
      <w:r>
        <w:rPr>
          <w:rFonts w:hint="eastAsia"/>
        </w:rPr>
        <w:t>项目平面布置</w:t>
      </w:r>
      <w:bookmarkEnd w:id="92"/>
    </w:p>
    <w:p w14:paraId="656F249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根据生产工艺流程和各生产单元之间联系的紧密程度，结合场地形状、主导风向，进行平面布置。厂区按不同功能分为办公区、生产区、储罐区和公用设施区。厂区设有两处出入口，其中行政出入口位于地块东南面，连接办公区，为人流出入口；物流出入口位于地块西南面，连接储罐区，主要为产品及物料出入口，便于产品和原料进出。</w:t>
      </w:r>
    </w:p>
    <w:p w14:paraId="57494FB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生产区生产车间主要布设于地块中部和北部，自西向东依次分布为生物柴油车间、工业级混合油车间和卸油车间。</w:t>
      </w:r>
    </w:p>
    <w:p w14:paraId="289A5C1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储罐区主要布设于地块南部和西部，其中废弃油脂和生物柴油罐区布设于地块南部，甲醇储罐区布设于地块西部，中转罐区布设于地块西南部。</w:t>
      </w:r>
    </w:p>
    <w:p w14:paraId="1334CBF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公用设施区布设于地块东北部，主要设置公用工程站和控制室，公用工程站设置变配电室和锅炉房等。</w:t>
      </w:r>
    </w:p>
    <w:p w14:paraId="07E1DF0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办公区位于地块东南部，主要设置综合楼和门卫。</w:t>
      </w:r>
    </w:p>
    <w:p w14:paraId="772AD30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总平面布置遵循工艺流程顺畅、物料运距短捷、功能分区明确、满足装卸、运输等要求，结合场地性状、周边环境和道路运输路线的连接方向进行布置。项目区域常年主导风向为北风，办公区位于生产区侧风向，对办公区影响较小。</w:t>
      </w:r>
    </w:p>
    <w:p w14:paraId="08053CE3">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经调查，项目东侧12m为220KW架空电力线路，高度为42.78m；东侧50m处为园区输煤管廊，位置关系详见附图6。根据《建筑设计防火规范》（</w:t>
      </w:r>
      <w:r>
        <w:rPr>
          <w:color w:val="0D0D0D" w:themeColor="text1" w:themeTint="F2"/>
          <w:u w:val="single"/>
          <w14:textFill>
            <w14:solidFill>
              <w14:schemeClr w14:val="tx1">
                <w14:lumMod w14:val="95000"/>
                <w14:lumOff w14:val="5000"/>
              </w14:schemeClr>
            </w14:solidFill>
          </w14:textFill>
        </w:rPr>
        <w:t>GB50016-2014</w:t>
      </w:r>
      <w:r>
        <w:rPr>
          <w:rFonts w:hint="eastAsia"/>
          <w:color w:val="0D0D0D" w:themeColor="text1" w:themeTint="F2"/>
          <w:u w:val="single"/>
          <w14:textFill>
            <w14:solidFill>
              <w14:schemeClr w14:val="tx1">
                <w14:lumMod w14:val="95000"/>
                <w14:lumOff w14:val="5000"/>
              </w14:schemeClr>
            </w14:solidFill>
          </w14:textFill>
        </w:rPr>
        <w:t>）（2018修订），甲类厂房、仓库，易燃材料堆垛，甲/乙类液体储罐，液化石油气储罐，可燃/助燃气体储罐等设施，与架空电力线路的最近水平距离不应小于电杆（塔）高度的1.5倍。丙类液体储罐与架空电力线路的最近水平距离不应小于电杆（塔）高度的1.2倍。</w:t>
      </w:r>
    </w:p>
    <w:p w14:paraId="044A0B00">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生物柴油车间和工业级混合油车间均为甲类厂房，与220KW架空电力线路最近距离约为116m，满足最近水平距离不应小于电杆（塔）高度的1.5倍（64.17m）要求；废弃油脂和生物柴油罐区为丙类液体储罐区，与220KW架空电力线路最近距离约为55m，满足最近水平距离不应小于电杆（塔）高度的1.2倍（51.34m）要求。</w:t>
      </w:r>
    </w:p>
    <w:p w14:paraId="6322D639">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综上，项目总平面布置在满足生产、物流顺畅的前提下，合理布置各建筑物，并考虑主导风向对内部环境的影响，总体来说，项目厂区总平面布置合理，平面布置详见附图2。</w:t>
      </w:r>
    </w:p>
    <w:p w14:paraId="7BC0A01F">
      <w:pPr>
        <w:pStyle w:val="9"/>
      </w:pPr>
      <w:bookmarkStart w:id="93" w:name="_Toc204062569"/>
      <w:r>
        <w:rPr>
          <w:rFonts w:hint="eastAsia"/>
        </w:rPr>
        <w:t>劳动定员和工作制度</w:t>
      </w:r>
      <w:bookmarkEnd w:id="93"/>
    </w:p>
    <w:p w14:paraId="493DB8D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项目劳动定员60人，均在厂内食宿，年工作时间300天，三班制生产，每班8小时。</w:t>
      </w:r>
    </w:p>
    <w:p w14:paraId="31542E4B">
      <w:pPr>
        <w:pStyle w:val="9"/>
      </w:pPr>
      <w:bookmarkStart w:id="94" w:name="_Toc204062570"/>
      <w:r>
        <w:rPr>
          <w:rFonts w:hint="eastAsia"/>
        </w:rPr>
        <w:t>依托工程</w:t>
      </w:r>
      <w:bookmarkEnd w:id="94"/>
    </w:p>
    <w:p w14:paraId="356EA306">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（1）金鼓江作业区14号泊位</w:t>
      </w:r>
    </w:p>
    <w:p w14:paraId="67CC39A7">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金鼓江作业区14号泊位位于广西钦州市钦州港金鼓江西岸金鼓江作业区内，于2018年12月29日取得《广西壮族自治区生态环境厅关于钦州港金谷港区金鼓江作业区14#、15#泊位工程环境影响报告书的批复》（桂环审〔2018〕296号），该泊位为5万吨级液体散货泊位，项目生物柴油与工业级混合油不在该泊位储存，仅作为货轮停靠点。经调查，金鼓江作业区14号泊位目前不具备生物柴油、工业混合油装船功能，根据码头合作合同意向书（附件13），广西自贸区逸海港务有限公司需负责靠泊船舶的泊位安排，负责船舶靠泊码头的指泊并监控接卸、输送作业，负责船舶靠泊码头的带缆、系缆和解缆工作，因此，依托可行。</w:t>
      </w:r>
    </w:p>
    <w:p w14:paraId="0305EA64">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（2）钦州胜科水务有限公司污水处理厂</w:t>
      </w:r>
    </w:p>
    <w:p w14:paraId="1DEA6F45">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钦州胜科水务有限公司污水处理厂服务范围为钦州港工业区西区，服务对象为钦州港区石化配套产业废水、酒精废水、化工废水和生活污水等。钦州胜科水务有限公司污水处理厂设计建设规模为3万m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/d，规模分为A部分和B部分，目前已建A部分1.5万m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/d污水处理规模，B部分未建设。A部分1.5万m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/d污水处理工程已于2013年1月投入运营，2020年进行提标改造。经调查，目前钦州胜科水务有限公司污水处理厂已无处理容量，无法接收园区新增废水。</w:t>
      </w:r>
    </w:p>
    <w:p w14:paraId="4E848D05">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根据该污水处理厂提供的资料，目前二期扩建工程正在开展前期工作，已在广西投资项目在线审批监管平台上取得《钦州港胜科污水处理厂提标改造工程备案证明》，项目代码为</w:t>
      </w:r>
      <w:r>
        <w:rPr>
          <w:color w:val="0D0D0D" w:themeColor="text1" w:themeTint="F2"/>
          <w:u w:val="single"/>
          <w14:textFill>
            <w14:solidFill>
              <w14:schemeClr w14:val="tx1">
                <w14:lumMod w14:val="95000"/>
                <w14:lumOff w14:val="5000"/>
              </w14:schemeClr>
            </w14:solidFill>
          </w14:textFill>
        </w:rPr>
        <w:t>2411-450704-04-02-187077</w:t>
      </w:r>
      <w:r>
        <w:rPr>
          <w:rFonts w:hint="eastAsia"/>
          <w:color w:val="0D0D0D" w:themeColor="text1" w:themeTint="F2"/>
          <w:u w:val="single"/>
          <w14:textFill>
            <w14:solidFill>
              <w14:schemeClr w14:val="tx1">
                <w14:lumMod w14:val="95000"/>
                <w14:lumOff w14:val="5000"/>
              </w14:schemeClr>
            </w14:solidFill>
          </w14:textFill>
        </w:rPr>
        <w:t>，预计2026年初建成投产，待二期扩建工程实施后将有足够的处理容量接纳本项目废水，且钦州胜科水务有限公司已与本项目签署排水协议（附件11）。钦州胜科水务有限公司污水处理厂提标改造工程投产时间在本项目投产时间之前，因此，依托可行。</w:t>
      </w:r>
    </w:p>
    <w:p w14:paraId="1019FF36">
      <w:pPr>
        <w:pStyle w:val="8"/>
      </w:pPr>
      <w:bookmarkStart w:id="95" w:name="_Toc204062571"/>
      <w:r>
        <w:rPr>
          <w:rFonts w:hint="eastAsia"/>
        </w:rPr>
        <w:t>工程分析</w:t>
      </w:r>
      <w:bookmarkEnd w:id="95"/>
    </w:p>
    <w:p w14:paraId="30A5EB67">
      <w:pPr>
        <w:pStyle w:val="9"/>
        <w:numPr>
          <w:ilvl w:val="2"/>
          <w:numId w:val="30"/>
        </w:numPr>
      </w:pPr>
      <w:bookmarkStart w:id="96" w:name="_Toc204062572"/>
      <w:r>
        <w:rPr>
          <w:rFonts w:hint="eastAsia"/>
        </w:rPr>
        <w:t>施工期工艺流程及产污环节分析</w:t>
      </w:r>
      <w:bookmarkEnd w:id="96"/>
    </w:p>
    <w:p w14:paraId="21F34F92">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1、主体工程施工</w:t>
      </w:r>
    </w:p>
    <w:p w14:paraId="2DB81D71">
      <w:pPr>
        <w:pStyle w:val="2"/>
        <w:spacing w:after="0"/>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项目主体工程施工期工艺流程及产污节点见图2.3-1。</w:t>
      </w:r>
    </w:p>
    <w:p w14:paraId="6488D13A">
      <w:pP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object>
          <v:shape id="_x0000_i1025" o:spt="75" type="#_x0000_t75" style="height:89.75pt;width:450.8pt;" o:ole="t" filled="f" o:preferrelative="t" stroked="f" coordsize="21600,21600">
            <v:path/>
            <v:fill on="f" focussize="0,0"/>
            <v:stroke on="f" joinstyle="miter"/>
            <v:imagedata r:id="rId14" o:title=""/>
            <o:lock v:ext="edit" aspectratio="t"/>
            <w10:wrap type="none"/>
            <w10:anchorlock/>
          </v:shape>
          <o:OLEObject Type="Embed" ProgID="Visio.Drawing.15" ShapeID="_x0000_i1025" DrawAspect="Content" ObjectID="_1468075725" r:id="rId13">
            <o:LockedField>false</o:LockedField>
          </o:OLEObject>
        </w:object>
      </w:r>
    </w:p>
    <w:p w14:paraId="6ED863AA">
      <w:pPr>
        <w:pStyle w:val="12"/>
      </w:pPr>
      <w:r>
        <w:rPr>
          <w:rFonts w:hint="eastAsia"/>
        </w:rPr>
        <w:t xml:space="preserve"> 主体工程施工期工艺流程及产污节点图</w:t>
      </w:r>
    </w:p>
    <w:p w14:paraId="7E9052B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项目主体工程施工期主要施工流程包括场地平整、基础开挖、主体工程及设备安装，施工过程会产生废气、废水、噪声和固体废物。</w:t>
      </w:r>
    </w:p>
    <w:p w14:paraId="5404805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施工期废气主要为扬尘、施工机械废气和运输车辆尾气；废水主要为施工废水和施工人员生活污水；机械运行及车辆行驶产生噪声；固体废物主要为建筑垃圾、弃土及施工人员生活垃圾。</w:t>
      </w:r>
    </w:p>
    <w:p w14:paraId="41DCFAC3">
      <w:pPr>
        <w:pStyle w:val="2"/>
        <w:spacing w:after="0"/>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2、管线施工</w:t>
      </w:r>
    </w:p>
    <w:p w14:paraId="1DB4D2AA">
      <w:pPr>
        <w:pStyle w:val="4"/>
        <w:spacing w:after="0"/>
        <w:ind w:left="0" w:leftChars="0" w:firstLine="48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输油管道依托园区的公共管廊敷设，管道及其他工艺部件均为预制件和成品设备，运至现场后均采用焊接及法兰连接方式进行，完成无损检测和强度测试后机械竣工。项目管线施工不涉及土建工程，施工过程应满足《工业金属管道工程施工规范》（GB50235-2010）相关要求。管线施工期工艺流程及产污节点见图2.3-2。</w:t>
      </w:r>
    </w:p>
    <w:p w14:paraId="1661F916">
      <w:pPr>
        <w:pStyle w:val="4"/>
        <w:spacing w:after="0" w:line="240" w:lineRule="auto"/>
        <w:ind w:left="0" w:leftChars="0" w:firstLine="0" w:firstLineChars="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object>
          <v:shape id="_x0000_i1026" o:spt="75" type="#_x0000_t75" style="height:300.9pt;width:313.8pt;" o:ole="t" filled="f" o:preferrelative="t" stroked="f" coordsize="21600,21600">
            <v:path/>
            <v:fill on="f" focussize="0,0"/>
            <v:stroke on="f" joinstyle="miter"/>
            <v:imagedata r:id="rId16" o:title=""/>
            <o:lock v:ext="edit" aspectratio="t"/>
            <w10:wrap type="none"/>
            <w10:anchorlock/>
          </v:shape>
          <o:OLEObject Type="Embed" ProgID="Visio.Drawing.15" ShapeID="_x0000_i1026" DrawAspect="Content" ObjectID="_1468075726" r:id="rId15">
            <o:LockedField>false</o:LockedField>
          </o:OLEObject>
        </w:object>
      </w:r>
    </w:p>
    <w:p w14:paraId="5AEC10A1">
      <w:pPr>
        <w:pStyle w:val="12"/>
      </w:pPr>
      <w:r>
        <w:rPr>
          <w:rFonts w:hint="eastAsia"/>
        </w:rPr>
        <w:t xml:space="preserve"> 管线施工期工艺流程及产污节点图</w:t>
      </w:r>
    </w:p>
    <w:p w14:paraId="56C768A8">
      <w:pPr>
        <w:pStyle w:val="4"/>
        <w:spacing w:after="0"/>
        <w:ind w:left="0" w:leftChars="0" w:firstLine="48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主要工艺流程简述：</w:t>
      </w:r>
    </w:p>
    <w:p w14:paraId="3B06E9C5">
      <w:pPr>
        <w:pStyle w:val="4"/>
        <w:spacing w:after="0"/>
        <w:ind w:left="0" w:leftChars="0" w:firstLine="48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（1）施工准备</w:t>
      </w:r>
    </w:p>
    <w:p w14:paraId="13430442">
      <w:pPr>
        <w:pStyle w:val="4"/>
        <w:spacing w:after="0"/>
        <w:ind w:left="0" w:leftChars="0" w:firstLine="48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①施工前与设计部门确定新建管架、管线的工艺流程、位置、用途等。</w:t>
      </w:r>
    </w:p>
    <w:p w14:paraId="0D071BB7">
      <w:pPr>
        <w:pStyle w:val="4"/>
        <w:spacing w:after="0"/>
        <w:ind w:left="0" w:leftChars="0" w:firstLine="48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②施工人员、设备、机具、材料按时进场。</w:t>
      </w:r>
    </w:p>
    <w:p w14:paraId="64BEF6BF">
      <w:pPr>
        <w:pStyle w:val="4"/>
        <w:spacing w:after="0"/>
        <w:ind w:left="0" w:leftChars="0" w:firstLine="48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③各种出入证件办理到位，一般作业、动火证、用电证等证件办理到位。</w:t>
      </w:r>
    </w:p>
    <w:p w14:paraId="0D0CF13B">
      <w:pPr>
        <w:pStyle w:val="4"/>
        <w:spacing w:after="0"/>
        <w:ind w:left="0" w:leftChars="0" w:firstLine="48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④施工前进行安全、技术交底。</w:t>
      </w:r>
    </w:p>
    <w:p w14:paraId="448F10DE">
      <w:pPr>
        <w:pStyle w:val="4"/>
        <w:spacing w:after="0"/>
        <w:ind w:left="0" w:leftChars="0" w:firstLine="48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⑤施工区域设立警戒线，动火点设置灭火器，设专人进行监护。</w:t>
      </w:r>
    </w:p>
    <w:p w14:paraId="3F86E379">
      <w:pPr>
        <w:pStyle w:val="4"/>
        <w:spacing w:after="0"/>
        <w:ind w:left="0" w:leftChars="0" w:firstLine="48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（2）现场吊装</w:t>
      </w:r>
    </w:p>
    <w:p w14:paraId="34D17618">
      <w:pPr>
        <w:pStyle w:val="4"/>
        <w:spacing w:after="0"/>
        <w:ind w:left="0" w:leftChars="0" w:firstLine="48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吊装前按设计规定的安装位置，确定管廊上支吊架位置并安装支吊架。将支吊架安装牢固后，采用起重机将经过检查的管道、管件等吊到所需安装的高度，并摆放到位。</w:t>
      </w:r>
    </w:p>
    <w:p w14:paraId="62AC4817">
      <w:pPr>
        <w:pStyle w:val="4"/>
        <w:spacing w:after="0"/>
        <w:ind w:left="0" w:leftChars="0" w:firstLine="48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（3）管道焊接</w:t>
      </w:r>
    </w:p>
    <w:p w14:paraId="06567E3D">
      <w:pPr>
        <w:pStyle w:val="4"/>
        <w:spacing w:after="0"/>
        <w:ind w:left="0" w:leftChars="0" w:firstLine="48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吊装到位的管道采用焊接连接，焊接方式为手工电弧焊（根部）+氩弧焊（填充盖面），焊缝按照有关规范进行检验，切割和坡口加工，采用机械加工，工具为外卡式管道液压切割坡口机，通过液压驱动机械刀具进行切断与坡口。</w:t>
      </w:r>
    </w:p>
    <w:p w14:paraId="3F35A282">
      <w:pPr>
        <w:pStyle w:val="4"/>
        <w:spacing w:after="0"/>
        <w:ind w:left="0" w:leftChars="0" w:firstLine="48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为确保管道焊接的质量，管道全部采用射线检测，氧气管道参照《氧气站设计规范》（GB50030-2013），抽检比例固定焊口为100%，其质量等级不低于《承压设备无损检测》（JB/T4730.1~4730.6-2005）的Ⅱ级即为合格。其余管道进行10%的射线照相检验，其质量等级不低于《承压设备无损检测》（JB/T4730.1~4730.6-2005）的Ⅱ级即为合格。</w:t>
      </w:r>
    </w:p>
    <w:p w14:paraId="07A81F7C">
      <w:pPr>
        <w:pStyle w:val="4"/>
        <w:spacing w:after="0"/>
        <w:ind w:left="0" w:leftChars="0" w:firstLine="48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（4）清管试压</w:t>
      </w:r>
    </w:p>
    <w:p w14:paraId="57CC8BBF">
      <w:pPr>
        <w:pStyle w:val="4"/>
        <w:spacing w:after="0"/>
        <w:ind w:left="0" w:leftChars="0" w:firstLine="48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管道在试压之前要进行清管，以确保将管道内的污物清除干净，项目管道均采用水压试压，分段进行。当达到试验压力且稳压10min后，无变形无泄漏即为强度合格。达到试验压力持续24h，平均小时泄漏率不超过0.5%即为严密性合格。项目清管用水及试压用水由市政提供。</w:t>
      </w:r>
    </w:p>
    <w:p w14:paraId="2B8395D4">
      <w:pPr>
        <w:pStyle w:val="4"/>
        <w:spacing w:after="0"/>
        <w:ind w:left="0" w:leftChars="0" w:firstLine="48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（5）防腐涂装</w:t>
      </w:r>
    </w:p>
    <w:p w14:paraId="0EF25F7C">
      <w:pPr>
        <w:pStyle w:val="4"/>
        <w:spacing w:after="0"/>
        <w:ind w:left="0" w:leftChars="0" w:firstLine="48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为保证管道长期安全、有效</w:t>
      </w:r>
      <w:r>
        <w:rPr>
          <w:rFonts w:hint="eastAsia"/>
          <w:color w:val="0D0D0D" w:themeColor="text1" w:themeTint="F2"/>
          <w:u w:val="single"/>
          <w:lang w:eastAsia="zh-CN"/>
          <w14:textFill>
            <w14:solidFill>
              <w14:schemeClr w14:val="tx1">
                <w14:lumMod w14:val="95000"/>
                <w14:lumOff w14:val="5000"/>
              </w14:schemeClr>
            </w14:solidFill>
          </w14:textFill>
        </w:rPr>
        <w:t>地</w:t>
      </w:r>
      <w:r>
        <w:rPr>
          <w:rFonts w:hint="eastAsia"/>
          <w:color w:val="0D0D0D" w:themeColor="text1" w:themeTint="F2"/>
          <w:u w:val="single"/>
          <w14:textFill>
            <w14:solidFill>
              <w14:schemeClr w14:val="tx1">
                <w14:lumMod w14:val="95000"/>
                <w14:lumOff w14:val="5000"/>
              </w14:schemeClr>
            </w14:solidFill>
          </w14:textFill>
        </w:rPr>
        <w:t>运行需求，要对管道采取有效的防腐措施。项目管道在厂家已进行防腐处理，施工过程不需要进行防腐处理，仅对焊接过程中防腐层遭到破坏的位置进行补漆，补漆过程会产生少量的补漆废气。</w:t>
      </w:r>
    </w:p>
    <w:p w14:paraId="76481CDC">
      <w:pPr>
        <w:pStyle w:val="9"/>
      </w:pPr>
      <w:bookmarkStart w:id="97" w:name="_Toc204062573"/>
      <w:r>
        <w:rPr>
          <w:rFonts w:hint="eastAsia"/>
        </w:rPr>
        <w:t>运营期工艺流程及产污环节分析</w:t>
      </w:r>
      <w:bookmarkEnd w:id="97"/>
    </w:p>
    <w:p w14:paraId="4AEBF986">
      <w:pPr>
        <w:pStyle w:val="10"/>
      </w:pPr>
      <w:r>
        <w:rPr>
          <w:rFonts w:hint="eastAsia"/>
        </w:rPr>
        <w:t>生物柴油生产线</w:t>
      </w:r>
    </w:p>
    <w:p w14:paraId="17293CA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（涉密，公示本已删除）</w:t>
      </w:r>
    </w:p>
    <w:p w14:paraId="077E6A0E">
      <w:pPr>
        <w:pStyle w:val="2"/>
        <w:ind w:firstLine="240"/>
      </w:pPr>
      <w:r>
        <w:br w:type="page"/>
      </w:r>
    </w:p>
    <w:p w14:paraId="2DFB3F01">
      <w:pPr>
        <w:pStyle w:val="10"/>
      </w:pPr>
      <w:r>
        <w:rPr>
          <w:rFonts w:hint="eastAsia"/>
        </w:rPr>
        <w:t>工业级混合油生产线</w:t>
      </w:r>
    </w:p>
    <w:p w14:paraId="26B7DEC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（涉密，公示本已删除）</w:t>
      </w:r>
    </w:p>
    <w:p w14:paraId="61D10440">
      <w:pPr>
        <w:spacing w:line="240" w:lineRule="auto"/>
        <w:jc w:val="center"/>
        <w:rPr>
          <w:color w:val="0D0D0D" w:themeColor="text1" w:themeTint="F2"/>
          <w14:textFill>
            <w14:solidFill>
              <w14:schemeClr w14:val="tx1">
                <w14:lumMod w14:val="95000"/>
                <w14:lumOff w14:val="5000"/>
              </w14:schemeClr>
            </w14:solidFill>
          </w14:textFill>
        </w:rPr>
        <w:sectPr>
          <w:pgSz w:w="11906" w:h="16838"/>
          <w:pgMar w:top="1440" w:right="1440" w:bottom="1440" w:left="1440" w:header="851" w:footer="992" w:gutter="0"/>
          <w:cols w:space="425" w:num="1"/>
          <w:docGrid w:type="lines" w:linePitch="312" w:charSpace="0"/>
        </w:sectPr>
      </w:pPr>
    </w:p>
    <w:p w14:paraId="0A50DBA3">
      <w:pPr>
        <w:spacing w:line="240" w:lineRule="auto"/>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（涉密，公示本已删除）</w:t>
      </w:r>
    </w:p>
    <w:p w14:paraId="568E8014">
      <w:pPr>
        <w:pStyle w:val="12"/>
        <w:numPr>
          <w:ilvl w:val="5"/>
          <w:numId w:val="31"/>
        </w:numPr>
      </w:pPr>
      <w:r>
        <w:rPr>
          <w:rFonts w:hint="eastAsia"/>
        </w:rPr>
        <w:t xml:space="preserve"> 运营期工艺流程及产污节点图</w:t>
      </w:r>
    </w:p>
    <w:p w14:paraId="19FC0A60">
      <w:pPr>
        <w:spacing w:line="240" w:lineRule="auto"/>
        <w:jc w:val="center"/>
        <w:rPr>
          <w:color w:val="0D0D0D" w:themeColor="text1" w:themeTint="F2"/>
          <w14:textFill>
            <w14:solidFill>
              <w14:schemeClr w14:val="tx1">
                <w14:lumMod w14:val="95000"/>
                <w14:lumOff w14:val="5000"/>
              </w14:schemeClr>
            </w14:solidFill>
          </w14:textFill>
        </w:rPr>
        <w:sectPr>
          <w:pgSz w:w="16838" w:h="11906" w:orient="landscape"/>
          <w:pgMar w:top="567" w:right="567" w:bottom="284" w:left="567" w:header="851" w:footer="850" w:gutter="0"/>
          <w:cols w:space="425" w:num="1"/>
          <w:docGrid w:type="lines" w:linePitch="326" w:charSpace="0"/>
        </w:sectPr>
      </w:pPr>
    </w:p>
    <w:p w14:paraId="46DFDB31">
      <w:pPr>
        <w:spacing w:line="240" w:lineRule="auto"/>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（涉密，公示本已删除）</w:t>
      </w:r>
    </w:p>
    <w:p w14:paraId="3AAC0DFF">
      <w:pPr>
        <w:pStyle w:val="12"/>
      </w:pPr>
      <w:r>
        <w:rPr>
          <w:rFonts w:hint="eastAsia"/>
        </w:rPr>
        <w:t xml:space="preserve"> 装置污染源分布流程图</w:t>
      </w:r>
    </w:p>
    <w:p w14:paraId="046B9275">
      <w:pPr>
        <w:widowControl/>
        <w:spacing w:line="240" w:lineRule="auto"/>
        <w:jc w:val="left"/>
        <w:rPr>
          <w:color w:val="0D0D0D" w:themeColor="text1" w:themeTint="F2"/>
          <w14:textFill>
            <w14:solidFill>
              <w14:schemeClr w14:val="tx1">
                <w14:lumMod w14:val="95000"/>
                <w14:lumOff w14:val="5000"/>
              </w14:schemeClr>
            </w14:solidFill>
          </w14:textFill>
        </w:rPr>
        <w:sectPr>
          <w:pgSz w:w="11906" w:h="16838"/>
          <w:pgMar w:top="1134" w:right="1134" w:bottom="1134" w:left="1134" w:header="851" w:footer="992" w:gutter="0"/>
          <w:cols w:space="425" w:num="1"/>
          <w:docGrid w:type="linesAndChars" w:linePitch="312" w:charSpace="0"/>
        </w:sectPr>
      </w:pPr>
    </w:p>
    <w:p w14:paraId="66C3AA63">
      <w:pPr>
        <w:pStyle w:val="11"/>
        <w:numPr>
          <w:ilvl w:val="4"/>
          <w:numId w:val="32"/>
        </w:numPr>
      </w:pPr>
      <w:r>
        <w:rPr>
          <w:rFonts w:hint="eastAsia"/>
        </w:rPr>
        <w:t xml:space="preserve"> 主要生产设备参数一览表</w:t>
      </w:r>
    </w:p>
    <w:p w14:paraId="47CFFE9E">
      <w:pPr>
        <w:jc w:val="center"/>
        <w:rPr>
          <w:rFonts w:hint="eastAsia"/>
        </w:rPr>
      </w:pPr>
      <w:r>
        <w:rPr>
          <w:rFonts w:hint="eastAsia"/>
        </w:rPr>
        <w:t>（涉密，公示本已删除）</w:t>
      </w:r>
    </w:p>
    <w:p w14:paraId="5CCD85C1">
      <w:pPr>
        <w:widowControl/>
        <w:spacing w:line="240" w:lineRule="auto"/>
        <w:jc w:val="left"/>
        <w:rPr>
          <w:rFonts w:cs="Times New Roman"/>
          <w:color w:val="0D0D0D" w:themeColor="text1" w:themeTint="F2"/>
          <w:szCs w:val="24"/>
          <w14:textFill>
            <w14:solidFill>
              <w14:schemeClr w14:val="tx1">
                <w14:lumMod w14:val="95000"/>
                <w14:lumOff w14:val="5000"/>
              </w14:schemeClr>
            </w14:solidFill>
          </w14:textFill>
        </w:rPr>
      </w:pPr>
    </w:p>
    <w:p w14:paraId="6BA7F2C9">
      <w:pPr>
        <w:pStyle w:val="11"/>
        <w:sectPr>
          <w:pgSz w:w="11906" w:h="16838"/>
          <w:pgMar w:top="1440" w:right="1440" w:bottom="1440" w:left="1440" w:header="851" w:footer="992" w:gutter="0"/>
          <w:cols w:space="425" w:num="1"/>
          <w:docGrid w:type="lines" w:linePitch="312" w:charSpace="0"/>
        </w:sectPr>
      </w:pPr>
    </w:p>
    <w:p w14:paraId="168E423D">
      <w:pPr>
        <w:pStyle w:val="11"/>
      </w:pPr>
      <w:r>
        <w:rPr>
          <w:rFonts w:hint="eastAsia"/>
        </w:rPr>
        <w:t xml:space="preserve"> 产排污环节一览表</w:t>
      </w:r>
    </w:p>
    <w:p w14:paraId="157D1150">
      <w:pPr>
        <w:jc w:val="center"/>
      </w:pPr>
      <w:r>
        <w:rPr>
          <w:rFonts w:hint="eastAsia"/>
        </w:rPr>
        <w:t>（涉密，公示本已删除）</w:t>
      </w:r>
    </w:p>
    <w:p w14:paraId="6B3A4F6F">
      <w:pPr>
        <w:pStyle w:val="2"/>
        <w:ind w:firstLine="240"/>
        <w:rPr>
          <w:rFonts w:hint="eastAsia"/>
        </w:rPr>
      </w:pPr>
    </w:p>
    <w:p w14:paraId="63757AFD">
      <w:pPr>
        <w:spacing w:line="480" w:lineRule="exact"/>
        <w:ind w:firstLine="480" w:firstLineChars="200"/>
        <w:rPr>
          <w:rFonts w:cs="Times New Roman"/>
          <w:color w:val="0D0D0D" w:themeColor="text1" w:themeTint="F2"/>
          <w:szCs w:val="24"/>
          <w14:textFill>
            <w14:solidFill>
              <w14:schemeClr w14:val="tx1">
                <w14:lumMod w14:val="95000"/>
                <w14:lumOff w14:val="5000"/>
              </w14:schemeClr>
            </w14:solidFill>
          </w14:textFill>
        </w:rPr>
        <w:sectPr>
          <w:pgSz w:w="11906" w:h="16838"/>
          <w:pgMar w:top="1440" w:right="1134" w:bottom="1440" w:left="1418" w:header="851" w:footer="992" w:gutter="0"/>
          <w:cols w:space="425" w:num="1"/>
          <w:docGrid w:type="lines" w:linePitch="312" w:charSpace="0"/>
        </w:sectPr>
      </w:pPr>
    </w:p>
    <w:p w14:paraId="14064319">
      <w:pPr>
        <w:pStyle w:val="9"/>
      </w:pPr>
      <w:bookmarkStart w:id="98" w:name="_Toc204062574"/>
      <w:r>
        <w:rPr>
          <w:rFonts w:hint="eastAsia"/>
        </w:rPr>
        <w:t>物料平衡</w:t>
      </w:r>
      <w:bookmarkEnd w:id="98"/>
    </w:p>
    <w:p w14:paraId="035781BF">
      <w:pPr>
        <w:pStyle w:val="10"/>
      </w:pPr>
      <w:r>
        <w:rPr>
          <w:rFonts w:hint="eastAsia"/>
        </w:rPr>
        <w:t>物料平衡</w:t>
      </w:r>
    </w:p>
    <w:p w14:paraId="4F1920E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根据建设单位提供的资料，生物柴油生产线物料平衡详见表3.2-3和图3.2-1。</w:t>
      </w:r>
    </w:p>
    <w:p w14:paraId="120F1CD3">
      <w:pPr>
        <w:pStyle w:val="11"/>
      </w:pPr>
      <w:r>
        <w:rPr>
          <w:rFonts w:hint="eastAsia"/>
        </w:rPr>
        <w:t xml:space="preserve"> 生物柴油生产线物料平衡表</w:t>
      </w:r>
    </w:p>
    <w:p w14:paraId="06402E12">
      <w:pPr>
        <w:jc w:val="center"/>
        <w:rPr>
          <w:rFonts w:hint="eastAsia"/>
        </w:rPr>
      </w:pPr>
      <w:r>
        <w:rPr>
          <w:rFonts w:hint="eastAsia"/>
        </w:rPr>
        <w:t>（涉密，公示本已删除）</w:t>
      </w:r>
    </w:p>
    <w:p w14:paraId="5A462B12">
      <w:pPr>
        <w:spacing w:line="240" w:lineRule="auto"/>
        <w:jc w:val="center"/>
        <w:rPr>
          <w:color w:val="0D0D0D" w:themeColor="text1" w:themeTint="F2"/>
          <w14:textFill>
            <w14:solidFill>
              <w14:schemeClr w14:val="tx1">
                <w14:lumMod w14:val="95000"/>
                <w14:lumOff w14:val="5000"/>
              </w14:schemeClr>
            </w14:solidFill>
          </w14:textFill>
        </w:rPr>
        <w:sectPr>
          <w:pgSz w:w="11906" w:h="16838"/>
          <w:pgMar w:top="1440" w:right="1440" w:bottom="1440" w:left="1440" w:header="851" w:footer="992" w:gutter="0"/>
          <w:cols w:space="425" w:num="1"/>
          <w:docGrid w:type="lines" w:linePitch="312" w:charSpace="0"/>
        </w:sectPr>
      </w:pPr>
    </w:p>
    <w:p w14:paraId="2B020D6F">
      <w:pPr>
        <w:spacing w:line="240" w:lineRule="auto"/>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（涉密，公示本已删除）</w:t>
      </w:r>
    </w:p>
    <w:p w14:paraId="08CA2150">
      <w:pPr>
        <w:pStyle w:val="12"/>
      </w:pPr>
      <w:r>
        <w:rPr>
          <w:rFonts w:hint="eastAsia"/>
        </w:rPr>
        <w:t xml:space="preserve"> </w:t>
      </w:r>
      <w:bookmarkStart w:id="99" w:name="_Hlk197445647"/>
      <w:r>
        <w:rPr>
          <w:rFonts w:hint="eastAsia"/>
        </w:rPr>
        <w:t>生物柴油生产线物料平衡图</w:t>
      </w:r>
      <w:bookmarkEnd w:id="99"/>
    </w:p>
    <w:p w14:paraId="3F688FD4">
      <w:pPr>
        <w:widowControl/>
        <w:spacing w:line="240" w:lineRule="auto"/>
        <w:jc w:val="left"/>
        <w:rPr>
          <w:color w:val="0D0D0D" w:themeColor="text1" w:themeTint="F2"/>
          <w14:textFill>
            <w14:solidFill>
              <w14:schemeClr w14:val="tx1">
                <w14:lumMod w14:val="95000"/>
                <w14:lumOff w14:val="5000"/>
              </w14:schemeClr>
            </w14:solidFill>
          </w14:textFill>
        </w:rPr>
        <w:sectPr>
          <w:pgSz w:w="11907" w:h="16840"/>
          <w:pgMar w:top="567" w:right="567" w:bottom="567" w:left="567" w:header="851" w:footer="992" w:gutter="0"/>
          <w:cols w:space="425" w:num="1"/>
          <w:docGrid w:type="lines" w:linePitch="312" w:charSpace="0"/>
        </w:sectPr>
      </w:pPr>
    </w:p>
    <w:p w14:paraId="6A483E5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根据建设单位提供的资料，工业级混合油生产线物料平衡详见表3.2-4和图3.2-2。</w:t>
      </w:r>
    </w:p>
    <w:p w14:paraId="5B4AAFD3">
      <w:pPr>
        <w:pStyle w:val="11"/>
      </w:pPr>
      <w:r>
        <w:rPr>
          <w:rFonts w:hint="eastAsia"/>
        </w:rPr>
        <w:t xml:space="preserve"> 工业级混合油生产线物料平衡表</w:t>
      </w:r>
    </w:p>
    <w:p w14:paraId="50D557EE">
      <w:pPr>
        <w:jc w:val="center"/>
        <w:rPr>
          <w:rFonts w:hint="eastAsia"/>
        </w:rPr>
      </w:pPr>
      <w:r>
        <w:rPr>
          <w:rFonts w:hint="eastAsia"/>
        </w:rPr>
        <w:t>（涉密，公示本已删除）</w:t>
      </w:r>
    </w:p>
    <w:p w14:paraId="4EB02896">
      <w:pPr>
        <w:spacing w:line="240" w:lineRule="auto"/>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（涉密，公示本已删除）</w:t>
      </w:r>
    </w:p>
    <w:p w14:paraId="5711DAE8">
      <w:pPr>
        <w:pStyle w:val="12"/>
      </w:pPr>
      <w:r>
        <w:rPr>
          <w:rFonts w:hint="eastAsia"/>
        </w:rPr>
        <w:t xml:space="preserve"> 工业级混合油生产线物料平衡图</w:t>
      </w:r>
    </w:p>
    <w:p w14:paraId="040321A0">
      <w:pPr>
        <w:pStyle w:val="2"/>
        <w:ind w:firstLine="240"/>
        <w:rPr>
          <w:rFonts w:cstheme="majorBidi"/>
          <w:color w:val="0D0D0D" w:themeColor="text1" w:themeTint="F2"/>
          <w:sz w:val="21"/>
          <w14:textFill>
            <w14:solidFill>
              <w14:schemeClr w14:val="tx1">
                <w14:lumMod w14:val="95000"/>
                <w14:lumOff w14:val="5000"/>
              </w14:schemeClr>
            </w14:solidFill>
          </w14:textFill>
        </w:rPr>
      </w:pPr>
      <w:r>
        <w:br w:type="page"/>
      </w:r>
    </w:p>
    <w:p w14:paraId="5237084A">
      <w:pPr>
        <w:pStyle w:val="10"/>
      </w:pPr>
      <w:r>
        <w:rPr>
          <w:rFonts w:hint="eastAsia"/>
        </w:rPr>
        <w:t>水平衡</w:t>
      </w:r>
    </w:p>
    <w:p w14:paraId="66934F64">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项目用水包括工艺用水、锅炉房用水、循环冷却水系统用水、地面清洗用水、化验室用水以及生活用水等，根据建设单位提供的资料，项目给排水情况如下：</w:t>
      </w:r>
    </w:p>
    <w:p w14:paraId="587C57DC">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（1）生物柴油生产线给排水</w:t>
      </w:r>
    </w:p>
    <w:p w14:paraId="1CBDA327">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（涉密，公示本已删除）。</w:t>
      </w:r>
    </w:p>
    <w:p w14:paraId="0FB21F26">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（2）工业级混合油生产线给排水</w:t>
      </w:r>
    </w:p>
    <w:p w14:paraId="79A17E7C">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（涉密，公示本已删除）。</w:t>
      </w:r>
    </w:p>
    <w:p w14:paraId="35DEB1F8">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（3）锅炉房给排水</w:t>
      </w:r>
    </w:p>
    <w:p w14:paraId="5FBECEB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①余热锅炉用水</w:t>
      </w:r>
    </w:p>
    <w:p w14:paraId="06B9950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根据建设单位提供的资料，项目设置1台1t/h的余热蒸汽锅炉，5~15%的蒸汽在热交换过程中损耗，本次评价按10%计，则损耗量为0.1t/h，2.4t/d，720t/a；剩余90%的蒸汽冷凝成水，冷凝水产生量为0.9m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/h，21.6m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/d，6480m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/a。冷凝水循环使用，在循环过程中，水中的含盐量不断增加，水中离子浓度增加，为避免形成离子结垢，需定期排水，排水量约为循环水量的0.3%，即排水量为0.0027m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/h，0.065m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/d，19.44m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/a。</w:t>
      </w:r>
    </w:p>
    <w:p w14:paraId="286F223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综上，余热锅炉补水量为损耗量和排水量之和，即0.1027m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/h，2.46m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/d，739.44m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/a。冷凝水中含盐量极低，定期排出盐类浓度较高的含盐水后回用可行。</w:t>
      </w:r>
    </w:p>
    <w:p w14:paraId="1E74E29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②纯水制备用水</w:t>
      </w:r>
    </w:p>
    <w:p w14:paraId="4B7CB2C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项目余热蒸汽锅炉补水需使用纯水，配套设置纯水制取设备，纯水设备采用反渗透法，根据建设单位提供的资料，纯水制取效率约为80%，余热蒸汽锅炉补水用量为0.10m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/h，2.46m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/d，739.44m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/a，则制纯水需要的新鲜水用量为0.13m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/h，3.08m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/d，924.3m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/a，产生的浓盐水含量为0.03m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/h，0.62m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/d，184.86m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/a，浓盐水中主要污染物为各类无机盐。</w:t>
      </w:r>
    </w:p>
    <w:p w14:paraId="5E0B76D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③余热系统用水</w:t>
      </w:r>
    </w:p>
    <w:p w14:paraId="5C29E4E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项目2＃导热油炉设有余热水箱进行温度调节，根据建设单位提供的资料，余热水箱容积为2.98m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，循环量为20m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/h，循环过程中约有1.5%的水分损耗，则损耗量为0.3m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/h，7.2m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/d，2160m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/a；在循环过程中，水中的含盐量不断增加，水中离子浓度增加，为避免形成离子结垢，需定期排水，排水量约为循环水量的0.3%，则排水量为0.06m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/h，1.44m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/d，432m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/a。</w:t>
      </w:r>
    </w:p>
    <w:p w14:paraId="0FA948F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综上，余热系统补水量为损耗量和排水量之和，即0.36m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/h，8.64m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/d，2592m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/a。水中含盐量极低，在定期排出盐类浓度较高的含盐水后回用可行。</w:t>
      </w:r>
    </w:p>
    <w:p w14:paraId="2E3A1942">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（4）循环冷却水系统给排水</w:t>
      </w:r>
    </w:p>
    <w:p w14:paraId="2199C9D7">
      <w:pPr>
        <w:ind w:firstLine="480" w:firstLineChars="200"/>
        <w:rPr>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项目生产过程中需使用冷却水和冷冻水对工艺设备进行间接冷却，循环水经冷却塔冷却后循环使用，冷却塔循环水流量Q=1500m</w:t>
      </w:r>
      <w:r>
        <w:rPr>
          <w:rFonts w:hint="eastAsia" w:cs="Times New Roman"/>
          <w:color w:val="0D0D0D" w:themeColor="text1" w:themeTint="F2"/>
          <w:szCs w:val="24"/>
          <w:vertAlign w:val="superscript"/>
          <w14:textFill>
            <w14:solidFill>
              <w14:schemeClr w14:val="tx1">
                <w14:lumMod w14:val="95000"/>
                <w14:lumOff w14:val="5000"/>
              </w14:schemeClr>
            </w14:solidFill>
          </w14:textFill>
        </w:rPr>
        <w:t>3</w:t>
      </w:r>
      <w:r>
        <w:rPr>
          <w:rFonts w:hint="eastAsia" w:cs="Times New Roman"/>
          <w:color w:val="0D0D0D" w:themeColor="text1" w:themeTint="F2"/>
          <w:szCs w:val="24"/>
          <w14:textFill>
            <w14:solidFill>
              <w14:schemeClr w14:val="tx1">
                <w14:lumMod w14:val="95000"/>
                <w14:lumOff w14:val="5000"/>
              </w14:schemeClr>
            </w14:solidFill>
          </w14:textFill>
        </w:rPr>
        <w:t>/h，根据《工业循环水冷却设计规范》（GB/T50102-2014）和项目设计资料，损耗量</w:t>
      </w:r>
      <w:r>
        <w:rPr>
          <w:rFonts w:hint="eastAsia"/>
          <w:color w:val="0D0D0D" w:themeColor="text1" w:themeTint="F2"/>
          <w14:textFill>
            <w14:solidFill>
              <w14:schemeClr w14:val="tx1">
                <w14:lumMod w14:val="95000"/>
                <w14:lumOff w14:val="5000"/>
              </w14:schemeClr>
            </w14:solidFill>
          </w14:textFill>
        </w:rPr>
        <w:t>约为循环水量</w:t>
      </w:r>
      <w:r>
        <w:rPr>
          <w:rFonts w:hint="eastAsia" w:cs="Times New Roman"/>
          <w:color w:val="0D0D0D" w:themeColor="text1" w:themeTint="F2"/>
          <w:szCs w:val="24"/>
          <w14:textFill>
            <w14:solidFill>
              <w14:schemeClr w14:val="tx1">
                <w14:lumMod w14:val="95000"/>
                <w14:lumOff w14:val="5000"/>
              </w14:schemeClr>
            </w14:solidFill>
          </w14:textFill>
        </w:rPr>
        <w:t>的1%，则</w:t>
      </w:r>
      <w:r>
        <w:rPr>
          <w:rFonts w:hint="eastAsia"/>
          <w:color w:val="0D0D0D" w:themeColor="text1" w:themeTint="F2"/>
          <w14:textFill>
            <w14:solidFill>
              <w14:schemeClr w14:val="tx1">
                <w14:lumMod w14:val="95000"/>
                <w14:lumOff w14:val="5000"/>
              </w14:schemeClr>
            </w14:solidFill>
          </w14:textFill>
        </w:rPr>
        <w:t>循环冷却水系统</w:t>
      </w:r>
      <w:r>
        <w:rPr>
          <w:rFonts w:hint="eastAsia" w:cs="Times New Roman"/>
          <w:color w:val="0D0D0D" w:themeColor="text1" w:themeTint="F2"/>
          <w:szCs w:val="24"/>
          <w14:textFill>
            <w14:solidFill>
              <w14:schemeClr w14:val="tx1">
                <w14:lumMod w14:val="95000"/>
                <w14:lumOff w14:val="5000"/>
              </w14:schemeClr>
            </w14:solidFill>
          </w14:textFill>
        </w:rPr>
        <w:t>损耗量为</w:t>
      </w:r>
      <w:r>
        <w:rPr>
          <w:rFonts w:hint="eastAsia"/>
          <w:color w:val="0D0D0D" w:themeColor="text1" w:themeTint="F2"/>
          <w14:textFill>
            <w14:solidFill>
              <w14:schemeClr w14:val="tx1">
                <w14:lumMod w14:val="95000"/>
                <w14:lumOff w14:val="5000"/>
              </w14:schemeClr>
            </w14:solidFill>
          </w14:textFill>
        </w:rPr>
        <w:t>15</w:t>
      </w:r>
      <w:r>
        <w:rPr>
          <w:color w:val="0D0D0D" w:themeColor="text1" w:themeTint="F2"/>
          <w14:textFill>
            <w14:solidFill>
              <w14:schemeClr w14:val="tx1">
                <w14:lumMod w14:val="95000"/>
                <w14:lumOff w14:val="5000"/>
              </w14:schemeClr>
            </w14:solidFill>
          </w14:textFill>
        </w:rPr>
        <w:t>m</w:t>
      </w:r>
      <w:r>
        <w:rPr>
          <w:color w:val="0D0D0D" w:themeColor="text1" w:themeTint="F2"/>
          <w:vertAlign w:val="superscript"/>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/h</w:t>
      </w:r>
      <w:r>
        <w:rPr>
          <w:rFonts w:hint="eastAsia"/>
          <w:color w:val="0D0D0D" w:themeColor="text1" w:themeTint="F2"/>
          <w14:textFill>
            <w14:solidFill>
              <w14:schemeClr w14:val="tx1">
                <w14:lumMod w14:val="95000"/>
                <w14:lumOff w14:val="5000"/>
              </w14:schemeClr>
            </w14:solidFill>
          </w14:textFill>
        </w:rPr>
        <w:t>，360</w:t>
      </w:r>
      <w:r>
        <w:rPr>
          <w:color w:val="0D0D0D" w:themeColor="text1" w:themeTint="F2"/>
          <w14:textFill>
            <w14:solidFill>
              <w14:schemeClr w14:val="tx1">
                <w14:lumMod w14:val="95000"/>
                <w14:lumOff w14:val="5000"/>
              </w14:schemeClr>
            </w14:solidFill>
          </w14:textFill>
        </w:rPr>
        <w:t>m</w:t>
      </w:r>
      <w:r>
        <w:rPr>
          <w:color w:val="0D0D0D" w:themeColor="text1" w:themeTint="F2"/>
          <w:vertAlign w:val="superscript"/>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/d，</w:t>
      </w:r>
      <w:r>
        <w:rPr>
          <w:rFonts w:hint="eastAsia"/>
          <w:color w:val="0D0D0D" w:themeColor="text1" w:themeTint="F2"/>
          <w14:textFill>
            <w14:solidFill>
              <w14:schemeClr w14:val="tx1">
                <w14:lumMod w14:val="95000"/>
                <w14:lumOff w14:val="5000"/>
              </w14:schemeClr>
            </w14:solidFill>
          </w14:textFill>
        </w:rPr>
        <w:t>108000</w:t>
      </w:r>
      <w:r>
        <w:rPr>
          <w:color w:val="0D0D0D" w:themeColor="text1" w:themeTint="F2"/>
          <w14:textFill>
            <w14:solidFill>
              <w14:schemeClr w14:val="tx1">
                <w14:lumMod w14:val="95000"/>
                <w14:lumOff w14:val="5000"/>
              </w14:schemeClr>
            </w14:solidFill>
          </w14:textFill>
        </w:rPr>
        <w:t>m</w:t>
      </w:r>
      <w:r>
        <w:rPr>
          <w:color w:val="0D0D0D" w:themeColor="text1" w:themeTint="F2"/>
          <w:vertAlign w:val="superscript"/>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/a</w:t>
      </w:r>
      <w:r>
        <w:rPr>
          <w:rFonts w:hint="eastAsia"/>
          <w:color w:val="0D0D0D" w:themeColor="text1" w:themeTint="F2"/>
          <w14:textFill>
            <w14:solidFill>
              <w14:schemeClr w14:val="tx1">
                <w14:lumMod w14:val="95000"/>
                <w14:lumOff w14:val="5000"/>
              </w14:schemeClr>
            </w14:solidFill>
          </w14:textFill>
        </w:rPr>
        <w:t>。为保证循环水水质，控制盐分含量，需定期排水，</w:t>
      </w:r>
      <w:r>
        <w:rPr>
          <w:rFonts w:hint="eastAsia" w:cs="Times New Roman"/>
          <w:color w:val="0D0D0D" w:themeColor="text1" w:themeTint="F2"/>
          <w:szCs w:val="24"/>
          <w14:textFill>
            <w14:solidFill>
              <w14:schemeClr w14:val="tx1">
                <w14:lumMod w14:val="95000"/>
                <w14:lumOff w14:val="5000"/>
              </w14:schemeClr>
            </w14:solidFill>
          </w14:textFill>
        </w:rPr>
        <w:t>排水量约为循环水量的0.1%，即排水量为</w:t>
      </w:r>
      <w:r>
        <w:rPr>
          <w:rFonts w:hint="eastAsia"/>
          <w:color w:val="0D0D0D" w:themeColor="text1" w:themeTint="F2"/>
          <w14:textFill>
            <w14:solidFill>
              <w14:schemeClr w14:val="tx1">
                <w14:lumMod w14:val="95000"/>
                <w14:lumOff w14:val="5000"/>
              </w14:schemeClr>
            </w14:solidFill>
          </w14:textFill>
        </w:rPr>
        <w:t>1.5</w:t>
      </w:r>
      <w:r>
        <w:rPr>
          <w:color w:val="0D0D0D" w:themeColor="text1" w:themeTint="F2"/>
          <w14:textFill>
            <w14:solidFill>
              <w14:schemeClr w14:val="tx1">
                <w14:lumMod w14:val="95000"/>
                <w14:lumOff w14:val="5000"/>
              </w14:schemeClr>
            </w14:solidFill>
          </w14:textFill>
        </w:rPr>
        <w:t>m</w:t>
      </w:r>
      <w:r>
        <w:rPr>
          <w:color w:val="0D0D0D" w:themeColor="text1" w:themeTint="F2"/>
          <w:vertAlign w:val="superscript"/>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/h</w:t>
      </w:r>
      <w:r>
        <w:rPr>
          <w:rFonts w:hint="eastAsia"/>
          <w:color w:val="0D0D0D" w:themeColor="text1" w:themeTint="F2"/>
          <w14:textFill>
            <w14:solidFill>
              <w14:schemeClr w14:val="tx1">
                <w14:lumMod w14:val="95000"/>
                <w14:lumOff w14:val="5000"/>
              </w14:schemeClr>
            </w14:solidFill>
          </w14:textFill>
        </w:rPr>
        <w:t>，36</w:t>
      </w:r>
      <w:r>
        <w:rPr>
          <w:color w:val="0D0D0D" w:themeColor="text1" w:themeTint="F2"/>
          <w14:textFill>
            <w14:solidFill>
              <w14:schemeClr w14:val="tx1">
                <w14:lumMod w14:val="95000"/>
                <w14:lumOff w14:val="5000"/>
              </w14:schemeClr>
            </w14:solidFill>
          </w14:textFill>
        </w:rPr>
        <w:t>m</w:t>
      </w:r>
      <w:r>
        <w:rPr>
          <w:color w:val="0D0D0D" w:themeColor="text1" w:themeTint="F2"/>
          <w:vertAlign w:val="superscript"/>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/d，</w:t>
      </w:r>
      <w:r>
        <w:rPr>
          <w:rFonts w:hint="eastAsia"/>
          <w:color w:val="0D0D0D" w:themeColor="text1" w:themeTint="F2"/>
          <w14:textFill>
            <w14:solidFill>
              <w14:schemeClr w14:val="tx1">
                <w14:lumMod w14:val="95000"/>
                <w14:lumOff w14:val="5000"/>
              </w14:schemeClr>
            </w14:solidFill>
          </w14:textFill>
        </w:rPr>
        <w:t>10800</w:t>
      </w:r>
      <w:r>
        <w:rPr>
          <w:color w:val="0D0D0D" w:themeColor="text1" w:themeTint="F2"/>
          <w14:textFill>
            <w14:solidFill>
              <w14:schemeClr w14:val="tx1">
                <w14:lumMod w14:val="95000"/>
                <w14:lumOff w14:val="5000"/>
              </w14:schemeClr>
            </w14:solidFill>
          </w14:textFill>
        </w:rPr>
        <w:t>m</w:t>
      </w:r>
      <w:r>
        <w:rPr>
          <w:color w:val="0D0D0D" w:themeColor="text1" w:themeTint="F2"/>
          <w:vertAlign w:val="superscript"/>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/a</w:t>
      </w:r>
      <w:r>
        <w:rPr>
          <w:rFonts w:hint="eastAsia"/>
          <w:color w:val="0D0D0D" w:themeColor="text1" w:themeTint="F2"/>
          <w14:textFill>
            <w14:solidFill>
              <w14:schemeClr w14:val="tx1">
                <w14:lumMod w14:val="95000"/>
                <w14:lumOff w14:val="5000"/>
              </w14:schemeClr>
            </w14:solidFill>
          </w14:textFill>
        </w:rPr>
        <w:t>。</w:t>
      </w:r>
    </w:p>
    <w:p w14:paraId="4F818DE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综上，循环冷却水系统补水量为损耗量和排水量之和，即16.5</w:t>
      </w:r>
      <w:r>
        <w:rPr>
          <w:color w:val="0D0D0D" w:themeColor="text1" w:themeTint="F2"/>
          <w14:textFill>
            <w14:solidFill>
              <w14:schemeClr w14:val="tx1">
                <w14:lumMod w14:val="95000"/>
                <w14:lumOff w14:val="5000"/>
              </w14:schemeClr>
            </w14:solidFill>
          </w14:textFill>
        </w:rPr>
        <w:t>m</w:t>
      </w:r>
      <w:r>
        <w:rPr>
          <w:color w:val="0D0D0D" w:themeColor="text1" w:themeTint="F2"/>
          <w:vertAlign w:val="superscript"/>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/h</w:t>
      </w:r>
      <w:r>
        <w:rPr>
          <w:rFonts w:hint="eastAsia"/>
          <w:color w:val="0D0D0D" w:themeColor="text1" w:themeTint="F2"/>
          <w14:textFill>
            <w14:solidFill>
              <w14:schemeClr w14:val="tx1">
                <w14:lumMod w14:val="95000"/>
                <w14:lumOff w14:val="5000"/>
              </w14:schemeClr>
            </w14:solidFill>
          </w14:textFill>
        </w:rPr>
        <w:t>，396</w:t>
      </w:r>
      <w:r>
        <w:rPr>
          <w:color w:val="0D0D0D" w:themeColor="text1" w:themeTint="F2"/>
          <w14:textFill>
            <w14:solidFill>
              <w14:schemeClr w14:val="tx1">
                <w14:lumMod w14:val="95000"/>
                <w14:lumOff w14:val="5000"/>
              </w14:schemeClr>
            </w14:solidFill>
          </w14:textFill>
        </w:rPr>
        <w:t>m</w:t>
      </w:r>
      <w:r>
        <w:rPr>
          <w:color w:val="0D0D0D" w:themeColor="text1" w:themeTint="F2"/>
          <w:vertAlign w:val="superscript"/>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/d，</w:t>
      </w:r>
      <w:r>
        <w:rPr>
          <w:rFonts w:hint="eastAsia"/>
          <w:color w:val="0D0D0D" w:themeColor="text1" w:themeTint="F2"/>
          <w14:textFill>
            <w14:solidFill>
              <w14:schemeClr w14:val="tx1">
                <w14:lumMod w14:val="95000"/>
                <w14:lumOff w14:val="5000"/>
              </w14:schemeClr>
            </w14:solidFill>
          </w14:textFill>
        </w:rPr>
        <w:t>118800</w:t>
      </w:r>
      <w:r>
        <w:rPr>
          <w:color w:val="0D0D0D" w:themeColor="text1" w:themeTint="F2"/>
          <w14:textFill>
            <w14:solidFill>
              <w14:schemeClr w14:val="tx1">
                <w14:lumMod w14:val="95000"/>
                <w14:lumOff w14:val="5000"/>
              </w14:schemeClr>
            </w14:solidFill>
          </w14:textFill>
        </w:rPr>
        <w:t>m</w:t>
      </w:r>
      <w:r>
        <w:rPr>
          <w:color w:val="0D0D0D" w:themeColor="text1" w:themeTint="F2"/>
          <w:vertAlign w:val="superscript"/>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/a</w:t>
      </w:r>
      <w:r>
        <w:rPr>
          <w:rFonts w:hint="eastAsia"/>
          <w:color w:val="0D0D0D" w:themeColor="text1" w:themeTint="F2"/>
          <w14:textFill>
            <w14:solidFill>
              <w14:schemeClr w14:val="tx1">
                <w14:lumMod w14:val="95000"/>
                <w14:lumOff w14:val="5000"/>
              </w14:schemeClr>
            </w14:solidFill>
          </w14:textFill>
        </w:rPr>
        <w:t>。</w:t>
      </w:r>
    </w:p>
    <w:p w14:paraId="2FE4F35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项目园区蒸汽使用量为2t/h，5~15%的蒸汽在热交换过程中损耗，本次评价按10%计，剩余90%的蒸汽冷凝成水，冷凝水产生量为1.8</w:t>
      </w:r>
      <w:r>
        <w:rPr>
          <w:color w:val="0D0D0D" w:themeColor="text1" w:themeTint="F2"/>
          <w14:textFill>
            <w14:solidFill>
              <w14:schemeClr w14:val="tx1">
                <w14:lumMod w14:val="95000"/>
                <w14:lumOff w14:val="5000"/>
              </w14:schemeClr>
            </w14:solidFill>
          </w14:textFill>
        </w:rPr>
        <w:t>m</w:t>
      </w:r>
      <w:r>
        <w:rPr>
          <w:color w:val="0D0D0D" w:themeColor="text1" w:themeTint="F2"/>
          <w:vertAlign w:val="superscript"/>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/h</w:t>
      </w:r>
      <w:r>
        <w:rPr>
          <w:rFonts w:hint="eastAsia"/>
          <w:color w:val="0D0D0D" w:themeColor="text1" w:themeTint="F2"/>
          <w14:textFill>
            <w14:solidFill>
              <w14:schemeClr w14:val="tx1">
                <w14:lumMod w14:val="95000"/>
                <w14:lumOff w14:val="5000"/>
              </w14:schemeClr>
            </w14:solidFill>
          </w14:textFill>
        </w:rPr>
        <w:t>，43.2</w:t>
      </w:r>
      <w:r>
        <w:rPr>
          <w:color w:val="0D0D0D" w:themeColor="text1" w:themeTint="F2"/>
          <w14:textFill>
            <w14:solidFill>
              <w14:schemeClr w14:val="tx1">
                <w14:lumMod w14:val="95000"/>
                <w14:lumOff w14:val="5000"/>
              </w14:schemeClr>
            </w14:solidFill>
          </w14:textFill>
        </w:rPr>
        <w:t>m</w:t>
      </w:r>
      <w:r>
        <w:rPr>
          <w:color w:val="0D0D0D" w:themeColor="text1" w:themeTint="F2"/>
          <w:vertAlign w:val="superscript"/>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/d，</w:t>
      </w:r>
      <w:r>
        <w:rPr>
          <w:rFonts w:hint="eastAsia"/>
          <w:color w:val="0D0D0D" w:themeColor="text1" w:themeTint="F2"/>
          <w14:textFill>
            <w14:solidFill>
              <w14:schemeClr w14:val="tx1">
                <w14:lumMod w14:val="95000"/>
                <w14:lumOff w14:val="5000"/>
              </w14:schemeClr>
            </w14:solidFill>
          </w14:textFill>
        </w:rPr>
        <w:t>12960</w:t>
      </w:r>
      <w:r>
        <w:rPr>
          <w:color w:val="0D0D0D" w:themeColor="text1" w:themeTint="F2"/>
          <w14:textFill>
            <w14:solidFill>
              <w14:schemeClr w14:val="tx1">
                <w14:lumMod w14:val="95000"/>
                <w14:lumOff w14:val="5000"/>
              </w14:schemeClr>
            </w14:solidFill>
          </w14:textFill>
        </w:rPr>
        <w:t>m</w:t>
      </w:r>
      <w:r>
        <w:rPr>
          <w:color w:val="0D0D0D" w:themeColor="text1" w:themeTint="F2"/>
          <w:vertAlign w:val="superscript"/>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/a</w:t>
      </w:r>
      <w:r>
        <w:rPr>
          <w:rFonts w:hint="eastAsia"/>
          <w:color w:val="0D0D0D" w:themeColor="text1" w:themeTint="F2"/>
          <w14:textFill>
            <w14:solidFill>
              <w14:schemeClr w14:val="tx1">
                <w14:lumMod w14:val="95000"/>
                <w14:lumOff w14:val="5000"/>
              </w14:schemeClr>
            </w14:solidFill>
          </w14:textFill>
        </w:rPr>
        <w:t>，作为循环冷却水系统补水。即循环冷却水系统补水新鲜水使用量为14.7</w:t>
      </w:r>
      <w:r>
        <w:rPr>
          <w:color w:val="0D0D0D" w:themeColor="text1" w:themeTint="F2"/>
          <w14:textFill>
            <w14:solidFill>
              <w14:schemeClr w14:val="tx1">
                <w14:lumMod w14:val="95000"/>
                <w14:lumOff w14:val="5000"/>
              </w14:schemeClr>
            </w14:solidFill>
          </w14:textFill>
        </w:rPr>
        <w:t>m</w:t>
      </w:r>
      <w:r>
        <w:rPr>
          <w:color w:val="0D0D0D" w:themeColor="text1" w:themeTint="F2"/>
          <w:vertAlign w:val="superscript"/>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/h</w:t>
      </w:r>
      <w:r>
        <w:rPr>
          <w:rFonts w:hint="eastAsia"/>
          <w:color w:val="0D0D0D" w:themeColor="text1" w:themeTint="F2"/>
          <w14:textFill>
            <w14:solidFill>
              <w14:schemeClr w14:val="tx1">
                <w14:lumMod w14:val="95000"/>
                <w14:lumOff w14:val="5000"/>
              </w14:schemeClr>
            </w14:solidFill>
          </w14:textFill>
        </w:rPr>
        <w:t>，352.8</w:t>
      </w:r>
      <w:r>
        <w:rPr>
          <w:color w:val="0D0D0D" w:themeColor="text1" w:themeTint="F2"/>
          <w14:textFill>
            <w14:solidFill>
              <w14:schemeClr w14:val="tx1">
                <w14:lumMod w14:val="95000"/>
                <w14:lumOff w14:val="5000"/>
              </w14:schemeClr>
            </w14:solidFill>
          </w14:textFill>
        </w:rPr>
        <w:t>m</w:t>
      </w:r>
      <w:r>
        <w:rPr>
          <w:color w:val="0D0D0D" w:themeColor="text1" w:themeTint="F2"/>
          <w:vertAlign w:val="superscript"/>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/d，</w:t>
      </w:r>
      <w:r>
        <w:rPr>
          <w:rFonts w:hint="eastAsia"/>
          <w:color w:val="0D0D0D" w:themeColor="text1" w:themeTint="F2"/>
          <w14:textFill>
            <w14:solidFill>
              <w14:schemeClr w14:val="tx1">
                <w14:lumMod w14:val="95000"/>
                <w14:lumOff w14:val="5000"/>
              </w14:schemeClr>
            </w14:solidFill>
          </w14:textFill>
        </w:rPr>
        <w:t>105840</w:t>
      </w:r>
      <w:r>
        <w:rPr>
          <w:color w:val="0D0D0D" w:themeColor="text1" w:themeTint="F2"/>
          <w14:textFill>
            <w14:solidFill>
              <w14:schemeClr w14:val="tx1">
                <w14:lumMod w14:val="95000"/>
                <w14:lumOff w14:val="5000"/>
              </w14:schemeClr>
            </w14:solidFill>
          </w14:textFill>
        </w:rPr>
        <w:t>m</w:t>
      </w:r>
      <w:r>
        <w:rPr>
          <w:color w:val="0D0D0D" w:themeColor="text1" w:themeTint="F2"/>
          <w:vertAlign w:val="superscript"/>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/a</w:t>
      </w:r>
      <w:r>
        <w:rPr>
          <w:rFonts w:hint="eastAsia"/>
          <w:color w:val="0D0D0D" w:themeColor="text1" w:themeTint="F2"/>
          <w14:textFill>
            <w14:solidFill>
              <w14:schemeClr w14:val="tx1">
                <w14:lumMod w14:val="95000"/>
                <w14:lumOff w14:val="5000"/>
              </w14:schemeClr>
            </w14:solidFill>
          </w14:textFill>
        </w:rPr>
        <w:t>。</w:t>
      </w:r>
      <w:r>
        <w:rPr>
          <w:rFonts w:hint="eastAsia" w:cs="Times New Roman"/>
          <w:color w:val="0D0D0D" w:themeColor="text1" w:themeTint="F2"/>
          <w:szCs w:val="24"/>
          <w14:textFill>
            <w14:solidFill>
              <w14:schemeClr w14:val="tx1">
                <w14:lumMod w14:val="95000"/>
                <w14:lumOff w14:val="5000"/>
              </w14:schemeClr>
            </w14:solidFill>
          </w14:textFill>
        </w:rPr>
        <w:t>项目冷却过程均为间接冷却，对水质要求不高，在定期排出含盐水，避免离子结垢后，回用可行。</w:t>
      </w:r>
    </w:p>
    <w:p w14:paraId="6D34E652">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（5）化验室给排水</w:t>
      </w:r>
    </w:p>
    <w:p w14:paraId="06720BF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项目设置1个化验室，主要用于检测原料和产品的pH、粘度等参数，根据建设单位提供的资料，化验室用水量为1m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/d，300m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/a。</w:t>
      </w:r>
    </w:p>
    <w:p w14:paraId="4A7DFAD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根据《未纳入排污许可管理行业适用的排污系数、物料衡算方法（试行）》（生态环境部 公告2017年第81号），污水排放系数取0.7～0.9，本次评价化验室废水产生量按用水量的0.8计，即化验室废水产生量为</w:t>
      </w:r>
      <w:r>
        <w:rPr>
          <w:rFonts w:hint="eastAsia" w:cs="Times New Roman"/>
          <w:color w:val="0D0D0D" w:themeColor="text1" w:themeTint="F2"/>
          <w:szCs w:val="24"/>
          <w14:textFill>
            <w14:solidFill>
              <w14:schemeClr w14:val="tx1">
                <w14:lumMod w14:val="95000"/>
                <w14:lumOff w14:val="5000"/>
              </w14:schemeClr>
            </w14:solidFill>
          </w14:textFill>
        </w:rPr>
        <w:t>0.8</w:t>
      </w:r>
      <w:r>
        <w:rPr>
          <w:rFonts w:cs="Times New Roman"/>
          <w:color w:val="0D0D0D" w:themeColor="text1" w:themeTint="F2"/>
          <w:szCs w:val="24"/>
          <w14:textFill>
            <w14:solidFill>
              <w14:schemeClr w14:val="tx1">
                <w14:lumMod w14:val="95000"/>
                <w14:lumOff w14:val="5000"/>
              </w14:schemeClr>
            </w14:solidFill>
          </w14:textFill>
        </w:rPr>
        <w:t>m</w:t>
      </w:r>
      <w:r>
        <w:rPr>
          <w:rFonts w:cs="Times New Roman"/>
          <w:color w:val="0D0D0D" w:themeColor="text1" w:themeTint="F2"/>
          <w:szCs w:val="24"/>
          <w:vertAlign w:val="superscript"/>
          <w14:textFill>
            <w14:solidFill>
              <w14:schemeClr w14:val="tx1">
                <w14:lumMod w14:val="95000"/>
                <w14:lumOff w14:val="5000"/>
              </w14:schemeClr>
            </w14:solidFill>
          </w14:textFill>
        </w:rPr>
        <w:t>3</w:t>
      </w:r>
      <w:r>
        <w:rPr>
          <w:rFonts w:cs="Times New Roman"/>
          <w:color w:val="0D0D0D" w:themeColor="text1" w:themeTint="F2"/>
          <w:szCs w:val="24"/>
          <w14:textFill>
            <w14:solidFill>
              <w14:schemeClr w14:val="tx1">
                <w14:lumMod w14:val="95000"/>
                <w14:lumOff w14:val="5000"/>
              </w14:schemeClr>
            </w14:solidFill>
          </w14:textFill>
        </w:rPr>
        <w:t>/</w:t>
      </w:r>
      <w:r>
        <w:rPr>
          <w:rFonts w:hint="eastAsia" w:cs="Times New Roman"/>
          <w:color w:val="0D0D0D" w:themeColor="text1" w:themeTint="F2"/>
          <w:szCs w:val="24"/>
          <w14:textFill>
            <w14:solidFill>
              <w14:schemeClr w14:val="tx1">
                <w14:lumMod w14:val="95000"/>
                <w14:lumOff w14:val="5000"/>
              </w14:schemeClr>
            </w14:solidFill>
          </w14:textFill>
        </w:rPr>
        <w:t>d</w:t>
      </w:r>
      <w:r>
        <w:rPr>
          <w:rFonts w:cs="Times New Roman"/>
          <w:color w:val="0D0D0D" w:themeColor="text1" w:themeTint="F2"/>
          <w:szCs w:val="24"/>
          <w14:textFill>
            <w14:solidFill>
              <w14:schemeClr w14:val="tx1">
                <w14:lumMod w14:val="95000"/>
                <w14:lumOff w14:val="5000"/>
              </w14:schemeClr>
            </w14:solidFill>
          </w14:textFill>
        </w:rPr>
        <w:t>，</w:t>
      </w:r>
      <w:r>
        <w:rPr>
          <w:rFonts w:hint="eastAsia" w:cs="Times New Roman"/>
          <w:color w:val="0D0D0D" w:themeColor="text1" w:themeTint="F2"/>
          <w:szCs w:val="24"/>
          <w14:textFill>
            <w14:solidFill>
              <w14:schemeClr w14:val="tx1">
                <w14:lumMod w14:val="95000"/>
                <w14:lumOff w14:val="5000"/>
              </w14:schemeClr>
            </w14:solidFill>
          </w14:textFill>
        </w:rPr>
        <w:t>240</w:t>
      </w:r>
      <w:r>
        <w:rPr>
          <w:rFonts w:cs="Times New Roman"/>
          <w:color w:val="0D0D0D" w:themeColor="text1" w:themeTint="F2"/>
          <w:szCs w:val="24"/>
          <w14:textFill>
            <w14:solidFill>
              <w14:schemeClr w14:val="tx1">
                <w14:lumMod w14:val="95000"/>
                <w14:lumOff w14:val="5000"/>
              </w14:schemeClr>
            </w14:solidFill>
          </w14:textFill>
        </w:rPr>
        <w:t>m</w:t>
      </w:r>
      <w:r>
        <w:rPr>
          <w:rFonts w:cs="Times New Roman"/>
          <w:color w:val="0D0D0D" w:themeColor="text1" w:themeTint="F2"/>
          <w:szCs w:val="24"/>
          <w:vertAlign w:val="superscript"/>
          <w14:textFill>
            <w14:solidFill>
              <w14:schemeClr w14:val="tx1">
                <w14:lumMod w14:val="95000"/>
                <w14:lumOff w14:val="5000"/>
              </w14:schemeClr>
            </w14:solidFill>
          </w14:textFill>
        </w:rPr>
        <w:t>3</w:t>
      </w:r>
      <w:r>
        <w:rPr>
          <w:rFonts w:cs="Times New Roman"/>
          <w:color w:val="0D0D0D" w:themeColor="text1" w:themeTint="F2"/>
          <w:szCs w:val="24"/>
          <w14:textFill>
            <w14:solidFill>
              <w14:schemeClr w14:val="tx1">
                <w14:lumMod w14:val="95000"/>
                <w14:lumOff w14:val="5000"/>
              </w14:schemeClr>
            </w14:solidFill>
          </w14:textFill>
        </w:rPr>
        <w:t>/a</w:t>
      </w:r>
      <w:r>
        <w:rPr>
          <w:rFonts w:hint="eastAsia"/>
          <w:color w:val="0D0D0D" w:themeColor="text1" w:themeTint="F2"/>
          <w14:textFill>
            <w14:solidFill>
              <w14:schemeClr w14:val="tx1">
                <w14:lumMod w14:val="95000"/>
                <w14:lumOff w14:val="5000"/>
              </w14:schemeClr>
            </w14:solidFill>
          </w14:textFill>
        </w:rPr>
        <w:t>。</w:t>
      </w:r>
    </w:p>
    <w:p w14:paraId="638F0EB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w:t>
      </w:r>
      <w:r>
        <w:rPr>
          <w:rFonts w:hint="eastAsia"/>
          <w:b/>
          <w:bCs/>
          <w:color w:val="0D0D0D" w:themeColor="text1" w:themeTint="F2"/>
          <w14:textFill>
            <w14:solidFill>
              <w14:schemeClr w14:val="tx1">
                <w14:lumMod w14:val="95000"/>
                <w14:lumOff w14:val="5000"/>
              </w14:schemeClr>
            </w14:solidFill>
          </w14:textFill>
        </w:rPr>
        <w:t>6）地面清洗用水</w:t>
      </w:r>
    </w:p>
    <w:p w14:paraId="101AC48E">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cs="Times New Roman"/>
          <w:color w:val="0D0D0D" w:themeColor="text1" w:themeTint="F2"/>
          <w:szCs w:val="24"/>
          <w14:textFill>
            <w14:solidFill>
              <w14:schemeClr w14:val="tx1">
                <w14:lumMod w14:val="95000"/>
                <w14:lumOff w14:val="5000"/>
              </w14:schemeClr>
            </w14:solidFill>
          </w14:textFill>
        </w:rPr>
        <w:t>项目生产车间地面每月需清洗一次，根据《建筑给水排水设计规范》（GB50015</w:t>
      </w:r>
      <w:r>
        <w:rPr>
          <w:rFonts w:hint="eastAsia" w:cs="Times New Roman"/>
          <w:color w:val="0D0D0D" w:themeColor="text1" w:themeTint="F2"/>
          <w:szCs w:val="24"/>
          <w14:textFill>
            <w14:solidFill>
              <w14:schemeClr w14:val="tx1">
                <w14:lumMod w14:val="95000"/>
                <w14:lumOff w14:val="5000"/>
              </w14:schemeClr>
            </w14:solidFill>
          </w14:textFill>
        </w:rPr>
        <w:t>-</w:t>
      </w:r>
      <w:r>
        <w:rPr>
          <w:rFonts w:cs="Times New Roman"/>
          <w:color w:val="0D0D0D" w:themeColor="text1" w:themeTint="F2"/>
          <w:szCs w:val="24"/>
          <w14:textFill>
            <w14:solidFill>
              <w14:schemeClr w14:val="tx1">
                <w14:lumMod w14:val="95000"/>
                <w14:lumOff w14:val="5000"/>
              </w14:schemeClr>
            </w14:solidFill>
          </w14:textFill>
        </w:rPr>
        <w:t>2019），地面冲洗用水定额一般按2～3L/m</w:t>
      </w:r>
      <w:r>
        <w:rPr>
          <w:rFonts w:cs="Times New Roman"/>
          <w:color w:val="0D0D0D" w:themeColor="text1" w:themeTint="F2"/>
          <w:szCs w:val="24"/>
          <w:vertAlign w:val="superscript"/>
          <w14:textFill>
            <w14:solidFill>
              <w14:schemeClr w14:val="tx1">
                <w14:lumMod w14:val="95000"/>
                <w14:lumOff w14:val="5000"/>
              </w14:schemeClr>
            </w14:solidFill>
          </w14:textFill>
        </w:rPr>
        <w:t>2</w:t>
      </w:r>
      <w:r>
        <w:rPr>
          <w:rFonts w:cs="Times New Roman"/>
          <w:color w:val="0D0D0D" w:themeColor="text1" w:themeTint="F2"/>
          <w:szCs w:val="24"/>
          <w14:textFill>
            <w14:solidFill>
              <w14:schemeClr w14:val="tx1">
                <w14:lumMod w14:val="95000"/>
                <w14:lumOff w14:val="5000"/>
              </w14:schemeClr>
            </w14:solidFill>
          </w14:textFill>
        </w:rPr>
        <w:t>▪次计，本次评价按3L/m</w:t>
      </w:r>
      <w:r>
        <w:rPr>
          <w:rFonts w:cs="Times New Roman"/>
          <w:color w:val="0D0D0D" w:themeColor="text1" w:themeTint="F2"/>
          <w:szCs w:val="24"/>
          <w:vertAlign w:val="superscript"/>
          <w14:textFill>
            <w14:solidFill>
              <w14:schemeClr w14:val="tx1">
                <w14:lumMod w14:val="95000"/>
                <w14:lumOff w14:val="5000"/>
              </w14:schemeClr>
            </w14:solidFill>
          </w14:textFill>
        </w:rPr>
        <w:t>2</w:t>
      </w:r>
      <w:r>
        <w:rPr>
          <w:rFonts w:cs="Times New Roman"/>
          <w:color w:val="0D0D0D" w:themeColor="text1" w:themeTint="F2"/>
          <w:szCs w:val="24"/>
          <w14:textFill>
            <w14:solidFill>
              <w14:schemeClr w14:val="tx1">
                <w14:lumMod w14:val="95000"/>
                <w14:lumOff w14:val="5000"/>
              </w14:schemeClr>
            </w14:solidFill>
          </w14:textFill>
        </w:rPr>
        <w:t>▪次计</w:t>
      </w:r>
      <w:r>
        <w:rPr>
          <w:rFonts w:hint="eastAsia" w:cs="Times New Roman"/>
          <w:color w:val="0D0D0D" w:themeColor="text1" w:themeTint="F2"/>
          <w:szCs w:val="24"/>
          <w14:textFill>
            <w14:solidFill>
              <w14:schemeClr w14:val="tx1">
                <w14:lumMod w14:val="95000"/>
                <w14:lumOff w14:val="5000"/>
              </w14:schemeClr>
            </w14:solidFill>
          </w14:textFill>
        </w:rPr>
        <w:t>。地面清洗用水核算情况详见表3.2-5。</w:t>
      </w:r>
    </w:p>
    <w:p w14:paraId="2AF4F5AE">
      <w:pPr>
        <w:pStyle w:val="11"/>
      </w:pPr>
      <w:r>
        <w:rPr>
          <w:rFonts w:hint="eastAsia"/>
        </w:rPr>
        <w:t xml:space="preserve"> 地面清洗用水核算表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2737"/>
        <w:gridCol w:w="1523"/>
        <w:gridCol w:w="1935"/>
        <w:gridCol w:w="2130"/>
      </w:tblGrid>
      <w:tr w14:paraId="69175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6" w:type="pct"/>
            <w:vAlign w:val="center"/>
          </w:tcPr>
          <w:p w14:paraId="7C0D0E28">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1480" w:type="pct"/>
            <w:vAlign w:val="center"/>
          </w:tcPr>
          <w:p w14:paraId="1BE51CAE">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824" w:type="pct"/>
            <w:vAlign w:val="center"/>
          </w:tcPr>
          <w:p w14:paraId="3F89F456">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1047" w:type="pct"/>
            <w:vAlign w:val="center"/>
          </w:tcPr>
          <w:p w14:paraId="2A6F58C4">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1152" w:type="pct"/>
            <w:vAlign w:val="center"/>
          </w:tcPr>
          <w:p w14:paraId="0CAD22A9">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r>
      <w:tr w14:paraId="5305E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6" w:type="pct"/>
            <w:vAlign w:val="center"/>
          </w:tcPr>
          <w:p w14:paraId="406AC281">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1480" w:type="pct"/>
            <w:vAlign w:val="center"/>
          </w:tcPr>
          <w:p w14:paraId="5AB4A1E2">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824" w:type="pct"/>
            <w:vAlign w:val="center"/>
          </w:tcPr>
          <w:p w14:paraId="5EB33ED4">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1047" w:type="pct"/>
            <w:vAlign w:val="center"/>
          </w:tcPr>
          <w:p w14:paraId="1D7E4227">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1152" w:type="pct"/>
            <w:vAlign w:val="center"/>
          </w:tcPr>
          <w:p w14:paraId="0FBCA4AB">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r>
      <w:tr w14:paraId="747EB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6" w:type="pct"/>
            <w:vAlign w:val="center"/>
          </w:tcPr>
          <w:p w14:paraId="247E8B29">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1480" w:type="pct"/>
            <w:vAlign w:val="center"/>
          </w:tcPr>
          <w:p w14:paraId="25AD73C5">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824" w:type="pct"/>
            <w:vAlign w:val="center"/>
          </w:tcPr>
          <w:p w14:paraId="0A3F182C">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1047" w:type="pct"/>
            <w:vAlign w:val="center"/>
          </w:tcPr>
          <w:p w14:paraId="318F0E07">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1152" w:type="pct"/>
            <w:vAlign w:val="center"/>
          </w:tcPr>
          <w:p w14:paraId="5819E54E">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r>
      <w:tr w14:paraId="35767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6" w:type="pct"/>
            <w:vAlign w:val="center"/>
          </w:tcPr>
          <w:p w14:paraId="3BF6A97F">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1480" w:type="pct"/>
            <w:vAlign w:val="center"/>
          </w:tcPr>
          <w:p w14:paraId="00D13B24">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824" w:type="pct"/>
            <w:vAlign w:val="center"/>
          </w:tcPr>
          <w:p w14:paraId="75D68AEC">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1047" w:type="pct"/>
            <w:vAlign w:val="center"/>
          </w:tcPr>
          <w:p w14:paraId="429C7E71">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1152" w:type="pct"/>
            <w:vAlign w:val="center"/>
          </w:tcPr>
          <w:p w14:paraId="08AB7A10">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r>
      <w:tr w14:paraId="7415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77" w:type="pct"/>
            <w:gridSpan w:val="2"/>
            <w:vAlign w:val="center"/>
          </w:tcPr>
          <w:p w14:paraId="6A360DAF">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824" w:type="pct"/>
            <w:vAlign w:val="center"/>
          </w:tcPr>
          <w:p w14:paraId="36B7D242">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1047" w:type="pct"/>
            <w:vAlign w:val="center"/>
          </w:tcPr>
          <w:p w14:paraId="450A0618">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1152" w:type="pct"/>
            <w:vAlign w:val="center"/>
          </w:tcPr>
          <w:p w14:paraId="2C989193">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r>
    </w:tbl>
    <w:p w14:paraId="22C2A655">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由上表可知，</w:t>
      </w:r>
      <w:r>
        <w:rPr>
          <w:rFonts w:cs="Times New Roman"/>
          <w:color w:val="0D0D0D" w:themeColor="text1" w:themeTint="F2"/>
          <w:szCs w:val="24"/>
          <w14:textFill>
            <w14:solidFill>
              <w14:schemeClr w14:val="tx1">
                <w14:lumMod w14:val="95000"/>
                <w14:lumOff w14:val="5000"/>
              </w14:schemeClr>
            </w14:solidFill>
          </w14:textFill>
        </w:rPr>
        <w:t>地面</w:t>
      </w:r>
      <w:r>
        <w:rPr>
          <w:rFonts w:hint="eastAsia" w:cs="Times New Roman"/>
          <w:color w:val="0D0D0D" w:themeColor="text1" w:themeTint="F2"/>
          <w:szCs w:val="24"/>
          <w14:textFill>
            <w14:solidFill>
              <w14:schemeClr w14:val="tx1">
                <w14:lumMod w14:val="95000"/>
                <w14:lumOff w14:val="5000"/>
              </w14:schemeClr>
            </w14:solidFill>
          </w14:textFill>
        </w:rPr>
        <w:t>清洗</w:t>
      </w:r>
      <w:r>
        <w:rPr>
          <w:rFonts w:cs="Times New Roman"/>
          <w:color w:val="0D0D0D" w:themeColor="text1" w:themeTint="F2"/>
          <w:szCs w:val="24"/>
          <w14:textFill>
            <w14:solidFill>
              <w14:schemeClr w14:val="tx1">
                <w14:lumMod w14:val="95000"/>
                <w14:lumOff w14:val="5000"/>
              </w14:schemeClr>
            </w14:solidFill>
          </w14:textFill>
        </w:rPr>
        <w:t>用水为</w:t>
      </w:r>
      <w:r>
        <w:rPr>
          <w:rFonts w:hint="eastAsia" w:cs="Times New Roman"/>
          <w:color w:val="0D0D0D" w:themeColor="text1" w:themeTint="F2"/>
          <w:szCs w:val="24"/>
          <w14:textFill>
            <w14:solidFill>
              <w14:schemeClr w14:val="tx1">
                <w14:lumMod w14:val="95000"/>
                <w14:lumOff w14:val="5000"/>
              </w14:schemeClr>
            </w14:solidFill>
          </w14:textFill>
        </w:rPr>
        <w:t>11.47</w:t>
      </w:r>
      <w:r>
        <w:rPr>
          <w:rFonts w:cs="Times New Roman"/>
          <w:color w:val="0D0D0D" w:themeColor="text1" w:themeTint="F2"/>
          <w:szCs w:val="24"/>
          <w14:textFill>
            <w14:solidFill>
              <w14:schemeClr w14:val="tx1">
                <w14:lumMod w14:val="95000"/>
                <w14:lumOff w14:val="5000"/>
              </w14:schemeClr>
            </w14:solidFill>
          </w14:textFill>
        </w:rPr>
        <w:t>m</w:t>
      </w:r>
      <w:r>
        <w:rPr>
          <w:rFonts w:cs="Times New Roman"/>
          <w:color w:val="0D0D0D" w:themeColor="text1" w:themeTint="F2"/>
          <w:szCs w:val="24"/>
          <w:vertAlign w:val="superscript"/>
          <w14:textFill>
            <w14:solidFill>
              <w14:schemeClr w14:val="tx1">
                <w14:lumMod w14:val="95000"/>
                <w14:lumOff w14:val="5000"/>
              </w14:schemeClr>
            </w14:solidFill>
          </w14:textFill>
        </w:rPr>
        <w:t>3</w:t>
      </w:r>
      <w:r>
        <w:rPr>
          <w:rFonts w:cs="Times New Roman"/>
          <w:color w:val="0D0D0D" w:themeColor="text1" w:themeTint="F2"/>
          <w:szCs w:val="24"/>
          <w14:textFill>
            <w14:solidFill>
              <w14:schemeClr w14:val="tx1">
                <w14:lumMod w14:val="95000"/>
                <w14:lumOff w14:val="5000"/>
              </w14:schemeClr>
            </w14:solidFill>
          </w14:textFill>
        </w:rPr>
        <w:t>/次，</w:t>
      </w:r>
      <w:r>
        <w:rPr>
          <w:rFonts w:hint="eastAsia" w:cs="Times New Roman"/>
          <w:color w:val="0D0D0D" w:themeColor="text1" w:themeTint="F2"/>
          <w:szCs w:val="24"/>
          <w14:textFill>
            <w14:solidFill>
              <w14:schemeClr w14:val="tx1">
                <w14:lumMod w14:val="95000"/>
                <w14:lumOff w14:val="5000"/>
              </w14:schemeClr>
            </w14:solidFill>
          </w14:textFill>
        </w:rPr>
        <w:t>137.59</w:t>
      </w:r>
      <w:r>
        <w:rPr>
          <w:rFonts w:cs="Times New Roman"/>
          <w:color w:val="0D0D0D" w:themeColor="text1" w:themeTint="F2"/>
          <w:szCs w:val="24"/>
          <w14:textFill>
            <w14:solidFill>
              <w14:schemeClr w14:val="tx1">
                <w14:lumMod w14:val="95000"/>
                <w14:lumOff w14:val="5000"/>
              </w14:schemeClr>
            </w14:solidFill>
          </w14:textFill>
        </w:rPr>
        <w:t>m</w:t>
      </w:r>
      <w:r>
        <w:rPr>
          <w:rFonts w:cs="Times New Roman"/>
          <w:color w:val="0D0D0D" w:themeColor="text1" w:themeTint="F2"/>
          <w:szCs w:val="24"/>
          <w:vertAlign w:val="superscript"/>
          <w14:textFill>
            <w14:solidFill>
              <w14:schemeClr w14:val="tx1">
                <w14:lumMod w14:val="95000"/>
                <w14:lumOff w14:val="5000"/>
              </w14:schemeClr>
            </w14:solidFill>
          </w14:textFill>
        </w:rPr>
        <w:t>3</w:t>
      </w:r>
      <w:r>
        <w:rPr>
          <w:rFonts w:cs="Times New Roman"/>
          <w:color w:val="0D0D0D" w:themeColor="text1" w:themeTint="F2"/>
          <w:szCs w:val="24"/>
          <w14:textFill>
            <w14:solidFill>
              <w14:schemeClr w14:val="tx1">
                <w14:lumMod w14:val="95000"/>
                <w14:lumOff w14:val="5000"/>
              </w14:schemeClr>
            </w14:solidFill>
          </w14:textFill>
        </w:rPr>
        <w:t>/a</w:t>
      </w:r>
      <w:r>
        <w:rPr>
          <w:rFonts w:hint="eastAsia" w:cs="Times New Roman"/>
          <w:color w:val="0D0D0D" w:themeColor="text1" w:themeTint="F2"/>
          <w:szCs w:val="24"/>
          <w14:textFill>
            <w14:solidFill>
              <w14:schemeClr w14:val="tx1">
                <w14:lumMod w14:val="95000"/>
                <w14:lumOff w14:val="5000"/>
              </w14:schemeClr>
            </w14:solidFill>
          </w14:textFill>
        </w:rPr>
        <w:t>。</w:t>
      </w:r>
    </w:p>
    <w:p w14:paraId="5C4822B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根据《未纳入排污许可管理行业适用的排污系数、物料衡算方法（试行）》（生态环境部 公告2017年第81号），污水排放系数取0.7～0.9，本次评价地面清洗废水产生量按用水量的0.8计，即地面冲洗废水产生量为</w:t>
      </w:r>
      <w:r>
        <w:rPr>
          <w:rFonts w:hint="eastAsia" w:cs="Times New Roman"/>
          <w:color w:val="0D0D0D" w:themeColor="text1" w:themeTint="F2"/>
          <w:szCs w:val="24"/>
          <w14:textFill>
            <w14:solidFill>
              <w14:schemeClr w14:val="tx1">
                <w14:lumMod w14:val="95000"/>
                <w14:lumOff w14:val="5000"/>
              </w14:schemeClr>
            </w14:solidFill>
          </w14:textFill>
        </w:rPr>
        <w:t>9.17</w:t>
      </w:r>
      <w:r>
        <w:rPr>
          <w:rFonts w:cs="Times New Roman"/>
          <w:color w:val="0D0D0D" w:themeColor="text1" w:themeTint="F2"/>
          <w:szCs w:val="24"/>
          <w14:textFill>
            <w14:solidFill>
              <w14:schemeClr w14:val="tx1">
                <w14:lumMod w14:val="95000"/>
                <w14:lumOff w14:val="5000"/>
              </w14:schemeClr>
            </w14:solidFill>
          </w14:textFill>
        </w:rPr>
        <w:t>m</w:t>
      </w:r>
      <w:r>
        <w:rPr>
          <w:rFonts w:cs="Times New Roman"/>
          <w:color w:val="0D0D0D" w:themeColor="text1" w:themeTint="F2"/>
          <w:szCs w:val="24"/>
          <w:vertAlign w:val="superscript"/>
          <w14:textFill>
            <w14:solidFill>
              <w14:schemeClr w14:val="tx1">
                <w14:lumMod w14:val="95000"/>
                <w14:lumOff w14:val="5000"/>
              </w14:schemeClr>
            </w14:solidFill>
          </w14:textFill>
        </w:rPr>
        <w:t>3</w:t>
      </w:r>
      <w:r>
        <w:rPr>
          <w:rFonts w:cs="Times New Roman"/>
          <w:color w:val="0D0D0D" w:themeColor="text1" w:themeTint="F2"/>
          <w:szCs w:val="24"/>
          <w14:textFill>
            <w14:solidFill>
              <w14:schemeClr w14:val="tx1">
                <w14:lumMod w14:val="95000"/>
                <w14:lumOff w14:val="5000"/>
              </w14:schemeClr>
            </w14:solidFill>
          </w14:textFill>
        </w:rPr>
        <w:t>/次，</w:t>
      </w:r>
      <w:r>
        <w:rPr>
          <w:rFonts w:hint="eastAsia" w:cs="Times New Roman"/>
          <w:color w:val="0D0D0D" w:themeColor="text1" w:themeTint="F2"/>
          <w:szCs w:val="24"/>
          <w14:textFill>
            <w14:solidFill>
              <w14:schemeClr w14:val="tx1">
                <w14:lumMod w14:val="95000"/>
                <w14:lumOff w14:val="5000"/>
              </w14:schemeClr>
            </w14:solidFill>
          </w14:textFill>
        </w:rPr>
        <w:t>110.07</w:t>
      </w:r>
      <w:r>
        <w:rPr>
          <w:rFonts w:cs="Times New Roman"/>
          <w:color w:val="0D0D0D" w:themeColor="text1" w:themeTint="F2"/>
          <w:szCs w:val="24"/>
          <w14:textFill>
            <w14:solidFill>
              <w14:schemeClr w14:val="tx1">
                <w14:lumMod w14:val="95000"/>
                <w14:lumOff w14:val="5000"/>
              </w14:schemeClr>
            </w14:solidFill>
          </w14:textFill>
        </w:rPr>
        <w:t>m</w:t>
      </w:r>
      <w:r>
        <w:rPr>
          <w:rFonts w:cs="Times New Roman"/>
          <w:color w:val="0D0D0D" w:themeColor="text1" w:themeTint="F2"/>
          <w:szCs w:val="24"/>
          <w:vertAlign w:val="superscript"/>
          <w14:textFill>
            <w14:solidFill>
              <w14:schemeClr w14:val="tx1">
                <w14:lumMod w14:val="95000"/>
                <w14:lumOff w14:val="5000"/>
              </w14:schemeClr>
            </w14:solidFill>
          </w14:textFill>
        </w:rPr>
        <w:t>3</w:t>
      </w:r>
      <w:r>
        <w:rPr>
          <w:rFonts w:cs="Times New Roman"/>
          <w:color w:val="0D0D0D" w:themeColor="text1" w:themeTint="F2"/>
          <w:szCs w:val="24"/>
          <w14:textFill>
            <w14:solidFill>
              <w14:schemeClr w14:val="tx1">
                <w14:lumMod w14:val="95000"/>
                <w14:lumOff w14:val="5000"/>
              </w14:schemeClr>
            </w14:solidFill>
          </w14:textFill>
        </w:rPr>
        <w:t>/a</w:t>
      </w:r>
      <w:r>
        <w:rPr>
          <w:rFonts w:hint="eastAsia"/>
          <w:color w:val="0D0D0D" w:themeColor="text1" w:themeTint="F2"/>
          <w14:textFill>
            <w14:solidFill>
              <w14:schemeClr w14:val="tx1">
                <w14:lumMod w14:val="95000"/>
                <w14:lumOff w14:val="5000"/>
              </w14:schemeClr>
            </w14:solidFill>
          </w14:textFill>
        </w:rPr>
        <w:t>。</w:t>
      </w:r>
    </w:p>
    <w:p w14:paraId="6035D8D3">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（7）碱液喷淋系统用水</w:t>
      </w:r>
    </w:p>
    <w:p w14:paraId="724D0E9A">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项目设有1套二级碱液喷淋系统，设计风量为5000m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/h，按0.2L/m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用水量计，则碱液喷淋系统用水为1m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，喷淋水循环使用，每个月整体更换一次，用水量为12m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/a，约有10%损耗，则排水量为10.8m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/a。</w:t>
      </w:r>
    </w:p>
    <w:p w14:paraId="1CC82FD4">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（8）生活用水</w:t>
      </w:r>
    </w:p>
    <w:p w14:paraId="46DF97A1">
      <w:pPr>
        <w:tabs>
          <w:tab w:val="left" w:pos="0"/>
          <w:tab w:val="left" w:pos="1820"/>
        </w:tabs>
        <w:ind w:firstLine="480" w:firstLineChars="200"/>
        <w:rPr>
          <w:color w:val="0D0D0D" w:themeColor="text1" w:themeTint="F2"/>
          <w:spacing w:val="1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项目劳动定员60人，年工作时间300天，均在厂内食宿。</w:t>
      </w:r>
      <w:r>
        <w:rPr>
          <w:rFonts w:hint="eastAsia"/>
          <w:color w:val="0D0D0D" w:themeColor="text1" w:themeTint="F2"/>
          <w:spacing w:val="12"/>
          <w14:textFill>
            <w14:solidFill>
              <w14:schemeClr w14:val="tx1">
                <w14:lumMod w14:val="95000"/>
                <w14:lumOff w14:val="5000"/>
              </w14:schemeClr>
            </w14:solidFill>
          </w14:textFill>
        </w:rPr>
        <w:t>根据《城镇生活用水定额》（</w:t>
      </w:r>
      <w:r>
        <w:rPr>
          <w:color w:val="0D0D0D" w:themeColor="text1" w:themeTint="F2"/>
          <w:spacing w:val="12"/>
          <w14:textFill>
            <w14:solidFill>
              <w14:schemeClr w14:val="tx1">
                <w14:lumMod w14:val="95000"/>
                <w14:lumOff w14:val="5000"/>
              </w14:schemeClr>
            </w14:solidFill>
          </w14:textFill>
        </w:rPr>
        <w:t>DB45/T679-2023</w:t>
      </w:r>
      <w:r>
        <w:rPr>
          <w:rFonts w:hint="eastAsia"/>
          <w:color w:val="0D0D0D" w:themeColor="text1" w:themeTint="F2"/>
          <w:spacing w:val="12"/>
          <w14:textFill>
            <w14:solidFill>
              <w14:schemeClr w14:val="tx1">
                <w14:lumMod w14:val="95000"/>
                <w14:lumOff w14:val="5000"/>
              </w14:schemeClr>
            </w14:solidFill>
          </w14:textFill>
        </w:rPr>
        <w:t>），员工生活用水定额按</w:t>
      </w:r>
      <w:r>
        <w:rPr>
          <w:color w:val="0D0D0D" w:themeColor="text1" w:themeTint="F2"/>
          <w:spacing w:val="12"/>
          <w14:textFill>
            <w14:solidFill>
              <w14:schemeClr w14:val="tx1">
                <w14:lumMod w14:val="95000"/>
                <w14:lumOff w14:val="5000"/>
              </w14:schemeClr>
            </w14:solidFill>
          </w14:textFill>
        </w:rPr>
        <w:t>150L/</w:t>
      </w:r>
      <w:r>
        <w:rPr>
          <w:rFonts w:hint="eastAsia"/>
          <w:color w:val="0D0D0D" w:themeColor="text1" w:themeTint="F2"/>
          <w:spacing w:val="12"/>
          <w14:textFill>
            <w14:solidFill>
              <w14:schemeClr w14:val="tx1">
                <w14:lumMod w14:val="95000"/>
                <w14:lumOff w14:val="5000"/>
              </w14:schemeClr>
            </w14:solidFill>
          </w14:textFill>
        </w:rPr>
        <w:t>人</w:t>
      </w:r>
      <w:r>
        <w:rPr>
          <w:color w:val="0D0D0D" w:themeColor="text1" w:themeTint="F2"/>
          <w:spacing w:val="12"/>
          <w14:textFill>
            <w14:solidFill>
              <w14:schemeClr w14:val="tx1">
                <w14:lumMod w14:val="95000"/>
                <w14:lumOff w14:val="5000"/>
              </w14:schemeClr>
            </w14:solidFill>
          </w14:textFill>
        </w:rPr>
        <w:t>·d</w:t>
      </w:r>
      <w:r>
        <w:rPr>
          <w:rFonts w:hint="eastAsia"/>
          <w:color w:val="0D0D0D" w:themeColor="text1" w:themeTint="F2"/>
          <w:spacing w:val="12"/>
          <w14:textFill>
            <w14:solidFill>
              <w14:schemeClr w14:val="tx1">
                <w14:lumMod w14:val="95000"/>
                <w14:lumOff w14:val="5000"/>
              </w14:schemeClr>
            </w14:solidFill>
          </w14:textFill>
        </w:rPr>
        <w:t>计，则生活用水量为9</w:t>
      </w:r>
      <w:r>
        <w:rPr>
          <w:color w:val="0D0D0D" w:themeColor="text1" w:themeTint="F2"/>
          <w:spacing w:val="12"/>
          <w14:textFill>
            <w14:solidFill>
              <w14:schemeClr w14:val="tx1">
                <w14:lumMod w14:val="95000"/>
                <w14:lumOff w14:val="5000"/>
              </w14:schemeClr>
            </w14:solidFill>
          </w14:textFill>
        </w:rPr>
        <w:t>m</w:t>
      </w:r>
      <w:r>
        <w:rPr>
          <w:color w:val="0D0D0D" w:themeColor="text1" w:themeTint="F2"/>
          <w:spacing w:val="12"/>
          <w:vertAlign w:val="superscript"/>
          <w14:textFill>
            <w14:solidFill>
              <w14:schemeClr w14:val="tx1">
                <w14:lumMod w14:val="95000"/>
                <w14:lumOff w14:val="5000"/>
              </w14:schemeClr>
            </w14:solidFill>
          </w14:textFill>
        </w:rPr>
        <w:t>3</w:t>
      </w:r>
      <w:r>
        <w:rPr>
          <w:color w:val="0D0D0D" w:themeColor="text1" w:themeTint="F2"/>
          <w:spacing w:val="12"/>
          <w14:textFill>
            <w14:solidFill>
              <w14:schemeClr w14:val="tx1">
                <w14:lumMod w14:val="95000"/>
                <w14:lumOff w14:val="5000"/>
              </w14:schemeClr>
            </w14:solidFill>
          </w14:textFill>
        </w:rPr>
        <w:t>/d</w:t>
      </w:r>
      <w:r>
        <w:rPr>
          <w:rFonts w:hint="eastAsia"/>
          <w:color w:val="0D0D0D" w:themeColor="text1" w:themeTint="F2"/>
          <w:spacing w:val="12"/>
          <w14:textFill>
            <w14:solidFill>
              <w14:schemeClr w14:val="tx1">
                <w14:lumMod w14:val="95000"/>
                <w14:lumOff w14:val="5000"/>
              </w14:schemeClr>
            </w14:solidFill>
          </w14:textFill>
        </w:rPr>
        <w:t>，2700</w:t>
      </w:r>
      <w:r>
        <w:rPr>
          <w:color w:val="0D0D0D" w:themeColor="text1" w:themeTint="F2"/>
          <w:spacing w:val="12"/>
          <w14:textFill>
            <w14:solidFill>
              <w14:schemeClr w14:val="tx1">
                <w14:lumMod w14:val="95000"/>
                <w14:lumOff w14:val="5000"/>
              </w14:schemeClr>
            </w14:solidFill>
          </w14:textFill>
        </w:rPr>
        <w:t>m</w:t>
      </w:r>
      <w:r>
        <w:rPr>
          <w:color w:val="0D0D0D" w:themeColor="text1" w:themeTint="F2"/>
          <w:spacing w:val="12"/>
          <w:vertAlign w:val="superscript"/>
          <w14:textFill>
            <w14:solidFill>
              <w14:schemeClr w14:val="tx1">
                <w14:lumMod w14:val="95000"/>
                <w14:lumOff w14:val="5000"/>
              </w14:schemeClr>
            </w14:solidFill>
          </w14:textFill>
        </w:rPr>
        <w:t>3</w:t>
      </w:r>
      <w:r>
        <w:rPr>
          <w:color w:val="0D0D0D" w:themeColor="text1" w:themeTint="F2"/>
          <w:spacing w:val="12"/>
          <w14:textFill>
            <w14:solidFill>
              <w14:schemeClr w14:val="tx1">
                <w14:lumMod w14:val="95000"/>
                <w14:lumOff w14:val="5000"/>
              </w14:schemeClr>
            </w14:solidFill>
          </w14:textFill>
        </w:rPr>
        <w:t>/a</w:t>
      </w:r>
      <w:r>
        <w:rPr>
          <w:rFonts w:hint="eastAsia"/>
          <w:color w:val="0D0D0D" w:themeColor="text1" w:themeTint="F2"/>
          <w:spacing w:val="12"/>
          <w14:textFill>
            <w14:solidFill>
              <w14:schemeClr w14:val="tx1">
                <w14:lumMod w14:val="95000"/>
                <w14:lumOff w14:val="5000"/>
              </w14:schemeClr>
            </w14:solidFill>
          </w14:textFill>
        </w:rPr>
        <w:t>。</w:t>
      </w:r>
    </w:p>
    <w:p w14:paraId="30D8FCC5">
      <w:pPr>
        <w:tabs>
          <w:tab w:val="left" w:pos="0"/>
          <w:tab w:val="left" w:pos="1820"/>
        </w:tabs>
        <w:ind w:firstLine="480" w:firstLineChars="200"/>
        <w:rPr>
          <w:color w:val="0D0D0D" w:themeColor="text1" w:themeTint="F2"/>
          <w:spacing w:val="1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生活污水排放系数按0.8计，则生活污水产生量为7.2m</w:t>
      </w:r>
      <w:r>
        <w:rPr>
          <w:rFonts w:hint="eastAsia" w:cs="Times New Roman"/>
          <w:color w:val="0D0D0D" w:themeColor="text1" w:themeTint="F2"/>
          <w:vertAlign w:val="superscript"/>
          <w14:textFill>
            <w14:solidFill>
              <w14:schemeClr w14:val="tx1">
                <w14:lumMod w14:val="95000"/>
                <w14:lumOff w14:val="5000"/>
              </w14:schemeClr>
            </w14:solidFill>
          </w14:textFill>
        </w:rPr>
        <w:t>3</w:t>
      </w:r>
      <w:r>
        <w:rPr>
          <w:rFonts w:hint="eastAsia" w:cs="Times New Roman"/>
          <w:color w:val="0D0D0D" w:themeColor="text1" w:themeTint="F2"/>
          <w14:textFill>
            <w14:solidFill>
              <w14:schemeClr w14:val="tx1">
                <w14:lumMod w14:val="95000"/>
                <w14:lumOff w14:val="5000"/>
              </w14:schemeClr>
            </w14:solidFill>
          </w14:textFill>
        </w:rPr>
        <w:t>/d，</w:t>
      </w:r>
      <w:r>
        <w:rPr>
          <w:rFonts w:hint="eastAsia"/>
          <w:color w:val="0D0D0D" w:themeColor="text1" w:themeTint="F2"/>
          <w:spacing w:val="12"/>
          <w14:textFill>
            <w14:solidFill>
              <w14:schemeClr w14:val="tx1">
                <w14:lumMod w14:val="95000"/>
                <w14:lumOff w14:val="5000"/>
              </w14:schemeClr>
            </w14:solidFill>
          </w14:textFill>
        </w:rPr>
        <w:t>2160</w:t>
      </w:r>
      <w:r>
        <w:rPr>
          <w:color w:val="0D0D0D" w:themeColor="text1" w:themeTint="F2"/>
          <w:spacing w:val="12"/>
          <w14:textFill>
            <w14:solidFill>
              <w14:schemeClr w14:val="tx1">
                <w14:lumMod w14:val="95000"/>
                <w14:lumOff w14:val="5000"/>
              </w14:schemeClr>
            </w14:solidFill>
          </w14:textFill>
        </w:rPr>
        <w:t>m</w:t>
      </w:r>
      <w:r>
        <w:rPr>
          <w:color w:val="0D0D0D" w:themeColor="text1" w:themeTint="F2"/>
          <w:spacing w:val="12"/>
          <w:vertAlign w:val="superscript"/>
          <w14:textFill>
            <w14:solidFill>
              <w14:schemeClr w14:val="tx1">
                <w14:lumMod w14:val="95000"/>
                <w14:lumOff w14:val="5000"/>
              </w14:schemeClr>
            </w14:solidFill>
          </w14:textFill>
        </w:rPr>
        <w:t>3</w:t>
      </w:r>
      <w:r>
        <w:rPr>
          <w:color w:val="0D0D0D" w:themeColor="text1" w:themeTint="F2"/>
          <w:spacing w:val="12"/>
          <w14:textFill>
            <w14:solidFill>
              <w14:schemeClr w14:val="tx1">
                <w14:lumMod w14:val="95000"/>
                <w14:lumOff w14:val="5000"/>
              </w14:schemeClr>
            </w14:solidFill>
          </w14:textFill>
        </w:rPr>
        <w:t>/a</w:t>
      </w:r>
      <w:r>
        <w:rPr>
          <w:rFonts w:hint="eastAsia"/>
          <w:color w:val="0D0D0D" w:themeColor="text1" w:themeTint="F2"/>
          <w:spacing w:val="12"/>
          <w14:textFill>
            <w14:solidFill>
              <w14:schemeClr w14:val="tx1">
                <w14:lumMod w14:val="95000"/>
                <w14:lumOff w14:val="5000"/>
              </w14:schemeClr>
            </w14:solidFill>
          </w14:textFill>
        </w:rPr>
        <w:t>。</w:t>
      </w:r>
    </w:p>
    <w:p w14:paraId="5AA0757F">
      <w:pPr>
        <w:ind w:firstLine="530" w:firstLineChars="200"/>
        <w:rPr>
          <w:b/>
          <w:bCs/>
          <w:color w:val="0D0D0D" w:themeColor="text1" w:themeTint="F2"/>
          <w:spacing w:val="12"/>
          <w14:textFill>
            <w14:solidFill>
              <w14:schemeClr w14:val="tx1">
                <w14:lumMod w14:val="95000"/>
                <w14:lumOff w14:val="5000"/>
              </w14:schemeClr>
            </w14:solidFill>
          </w14:textFill>
        </w:rPr>
      </w:pPr>
      <w:r>
        <w:rPr>
          <w:rFonts w:hint="eastAsia"/>
          <w:b/>
          <w:bCs/>
          <w:color w:val="0D0D0D" w:themeColor="text1" w:themeTint="F2"/>
          <w:spacing w:val="12"/>
          <w14:textFill>
            <w14:solidFill>
              <w14:schemeClr w14:val="tx1">
                <w14:lumMod w14:val="95000"/>
                <w14:lumOff w14:val="5000"/>
              </w14:schemeClr>
            </w14:solidFill>
          </w14:textFill>
        </w:rPr>
        <w:t>（9）初期雨水</w:t>
      </w:r>
    </w:p>
    <w:p w14:paraId="3271B4BA">
      <w:pPr>
        <w:adjustRightInd w:val="0"/>
        <w:snapToGrid w:val="0"/>
        <w:ind w:firstLine="48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根据广西32城</w:t>
      </w:r>
      <w:r>
        <w:rPr>
          <w:rFonts w:hint="eastAsia"/>
          <w:color w:val="0D0D0D" w:themeColor="text1" w:themeTint="F2"/>
          <w14:textFill>
            <w14:solidFill>
              <w14:schemeClr w14:val="tx1">
                <w14:lumMod w14:val="95000"/>
                <w14:lumOff w14:val="5000"/>
              </w14:schemeClr>
            </w14:solidFill>
          </w14:textFill>
        </w:rPr>
        <w:t>镇</w:t>
      </w:r>
      <w:r>
        <w:rPr>
          <w:color w:val="0D0D0D" w:themeColor="text1" w:themeTint="F2"/>
          <w14:textFill>
            <w14:solidFill>
              <w14:schemeClr w14:val="tx1">
                <w14:lumMod w14:val="95000"/>
                <w14:lumOff w14:val="5000"/>
              </w14:schemeClr>
            </w14:solidFill>
          </w14:textFill>
        </w:rPr>
        <w:t>暴雨强度公式（由曲申酉教授推导，摘自中国土木工程学会-排水委员会二届二次年会论文集461~463页）</w:t>
      </w:r>
      <w:r>
        <w:rPr>
          <w:rFonts w:hint="eastAsia"/>
          <w:color w:val="0D0D0D" w:themeColor="text1" w:themeTint="F2"/>
          <w14:textFill>
            <w14:solidFill>
              <w14:schemeClr w14:val="tx1">
                <w14:lumMod w14:val="95000"/>
                <w14:lumOff w14:val="5000"/>
              </w14:schemeClr>
            </w14:solidFill>
          </w14:textFill>
        </w:rPr>
        <w:t>，钦州</w:t>
      </w:r>
      <w:r>
        <w:rPr>
          <w:color w:val="0D0D0D" w:themeColor="text1" w:themeTint="F2"/>
          <w14:textFill>
            <w14:solidFill>
              <w14:schemeClr w14:val="tx1">
                <w14:lumMod w14:val="95000"/>
                <w14:lumOff w14:val="5000"/>
              </w14:schemeClr>
            </w14:solidFill>
          </w14:textFill>
        </w:rPr>
        <w:t>市暴雨强度公式如下：</w:t>
      </w:r>
    </w:p>
    <w:p w14:paraId="4F2F1E28">
      <w:pPr>
        <w:tabs>
          <w:tab w:val="left" w:pos="312"/>
          <w:tab w:val="left" w:pos="468"/>
        </w:tabs>
        <w:jc w:val="center"/>
        <w:rPr>
          <w:rFonts w:cs="Times New Roman"/>
          <w:bCs/>
          <w:iCs/>
          <w:color w:val="0D0D0D" w:themeColor="text1" w:themeTint="F2"/>
          <w14:textFill>
            <w14:solidFill>
              <w14:schemeClr w14:val="tx1">
                <w14:lumMod w14:val="95000"/>
                <w14:lumOff w14:val="5000"/>
              </w14:schemeClr>
            </w14:solidFill>
          </w14:textFill>
        </w:rPr>
      </w:pPr>
      <m:oMathPara>
        <m:oMathParaPr>
          <m:jc m:val="center"/>
        </m:oMathParaPr>
        <m:oMath>
          <m:r>
            <m:rPr>
              <m:nor/>
              <m:sty m:val="p"/>
            </m:rPr>
            <w:rPr>
              <w:rFonts w:cs="Times New Roman"/>
              <w:b w:val="0"/>
              <w:i w:val="0"/>
              <w:color w:val="0D0D0D" w:themeColor="text1" w:themeTint="F2"/>
              <w14:textFill>
                <w14:solidFill>
                  <w14:schemeClr w14:val="tx1">
                    <w14:lumMod w14:val="95000"/>
                    <w14:lumOff w14:val="5000"/>
                  </w14:schemeClr>
                </w14:solidFill>
              </w14:textFill>
            </w:rPr>
            <m:t>q=1815.359</m:t>
          </m:r>
          <m:r>
            <m:rPr>
              <m:nor/>
              <m:sty m:val="p"/>
            </m:rPr>
            <w:rPr>
              <w:rFonts w:hint="eastAsia" w:cs="Times New Roman"/>
              <w:b w:val="0"/>
              <w:i w:val="0"/>
              <w:color w:val="0D0D0D" w:themeColor="text1" w:themeTint="F2"/>
              <w14:textFill>
                <w14:solidFill>
                  <w14:schemeClr w14:val="tx1">
                    <w14:lumMod w14:val="95000"/>
                    <w14:lumOff w14:val="5000"/>
                  </w14:schemeClr>
                </w14:solidFill>
              </w14:textFill>
            </w:rPr>
            <m:t>（</m:t>
          </m:r>
          <m:r>
            <m:rPr>
              <m:nor/>
              <m:sty m:val="p"/>
            </m:rPr>
            <w:rPr>
              <w:rFonts w:cs="Times New Roman"/>
              <w:b w:val="0"/>
              <w:i w:val="0"/>
              <w:color w:val="0D0D0D" w:themeColor="text1" w:themeTint="F2"/>
              <w14:textFill>
                <w14:solidFill>
                  <w14:schemeClr w14:val="tx1">
                    <w14:lumMod w14:val="95000"/>
                    <w14:lumOff w14:val="5000"/>
                  </w14:schemeClr>
                </w14:solidFill>
              </w14:textFill>
            </w:rPr>
            <m:t>1+0.594lgP</m:t>
          </m:r>
          <m:r>
            <m:rPr>
              <m:nor/>
              <m:sty m:val="p"/>
            </m:rPr>
            <w:rPr>
              <w:rFonts w:hint="eastAsia" w:cs="Times New Roman"/>
              <w:b w:val="0"/>
              <w:i w:val="0"/>
              <w:color w:val="0D0D0D" w:themeColor="text1" w:themeTint="F2"/>
              <w14:textFill>
                <w14:solidFill>
                  <w14:schemeClr w14:val="tx1">
                    <w14:lumMod w14:val="95000"/>
                    <w14:lumOff w14:val="5000"/>
                  </w14:schemeClr>
                </w14:solidFill>
              </w14:textFill>
            </w:rPr>
            <m:t>）</m:t>
          </m:r>
          <m:r>
            <m:rPr>
              <m:nor/>
              <m:sty m:val="p"/>
            </m:rPr>
            <w:rPr>
              <w:rFonts w:cs="Times New Roman"/>
              <w:b w:val="0"/>
              <w:i w:val="0"/>
              <w:color w:val="0D0D0D" w:themeColor="text1" w:themeTint="F2"/>
              <w14:textFill>
                <w14:solidFill>
                  <w14:schemeClr w14:val="tx1">
                    <w14:lumMod w14:val="95000"/>
                    <w14:lumOff w14:val="5000"/>
                  </w14:schemeClr>
                </w14:solidFill>
              </w14:textFill>
            </w:rPr>
            <m:t>/</m:t>
          </m:r>
          <m:sSup>
            <m:sSupPr>
              <m:ctrlPr>
                <w:rPr>
                  <w:rFonts w:ascii="Cambria Math" w:hAnsi="Cambria Math" w:cs="Times New Roman"/>
                  <w:bCs/>
                  <w:iCs/>
                  <w:color w:val="0D0D0D" w:themeColor="text1" w:themeTint="F2"/>
                  <w14:textFill>
                    <w14:solidFill>
                      <w14:schemeClr w14:val="tx1">
                        <w14:lumMod w14:val="95000"/>
                        <w14:lumOff w14:val="5000"/>
                      </w14:schemeClr>
                    </w14:solidFill>
                  </w14:textFill>
                </w:rPr>
              </m:ctrlPr>
            </m:sSupPr>
            <m:e>
              <m:d>
                <m:dPr>
                  <m:ctrlPr>
                    <w:rPr>
                      <w:rFonts w:ascii="Cambria Math" w:hAnsi="Cambria Math" w:cs="Times New Roman"/>
                      <w:bCs/>
                      <w:iCs/>
                      <w:color w:val="0D0D0D" w:themeColor="text1" w:themeTint="F2"/>
                      <w14:textFill>
                        <w14:solidFill>
                          <w14:schemeClr w14:val="tx1">
                            <w14:lumMod w14:val="95000"/>
                            <w14:lumOff w14:val="5000"/>
                          </w14:schemeClr>
                        </w14:solidFill>
                      </w14:textFill>
                    </w:rPr>
                  </m:ctrlPr>
                </m:dPr>
                <m:e>
                  <m:r>
                    <m:rPr>
                      <m:nor/>
                      <m:sty m:val="p"/>
                    </m:rPr>
                    <w:rPr>
                      <w:rFonts w:cs="Times New Roman"/>
                      <w:b w:val="0"/>
                      <w:i w:val="0"/>
                      <w:color w:val="0D0D0D" w:themeColor="text1" w:themeTint="F2"/>
                      <w14:textFill>
                        <w14:solidFill>
                          <w14:schemeClr w14:val="tx1">
                            <w14:lumMod w14:val="95000"/>
                            <w14:lumOff w14:val="5000"/>
                          </w14:schemeClr>
                        </w14:solidFill>
                      </w14:textFill>
                    </w:rPr>
                    <m:t>t+6.669</m:t>
                  </m:r>
                  <m:ctrlPr>
                    <w:rPr>
                      <w:rFonts w:ascii="Cambria Math" w:hAnsi="Cambria Math" w:cs="Times New Roman"/>
                      <w:bCs/>
                      <w:iCs/>
                      <w:color w:val="0D0D0D" w:themeColor="text1" w:themeTint="F2"/>
                      <w14:textFill>
                        <w14:solidFill>
                          <w14:schemeClr w14:val="tx1">
                            <w14:lumMod w14:val="95000"/>
                            <w14:lumOff w14:val="5000"/>
                          </w14:schemeClr>
                        </w14:solidFill>
                      </w14:textFill>
                    </w:rPr>
                  </m:ctrlPr>
                </m:e>
              </m:d>
              <m:ctrlPr>
                <w:rPr>
                  <w:rFonts w:ascii="Cambria Math" w:hAnsi="Cambria Math" w:cs="Times New Roman"/>
                  <w:bCs/>
                  <w:iCs/>
                  <w:color w:val="0D0D0D" w:themeColor="text1" w:themeTint="F2"/>
                  <w14:textFill>
                    <w14:solidFill>
                      <w14:schemeClr w14:val="tx1">
                        <w14:lumMod w14:val="95000"/>
                        <w14:lumOff w14:val="5000"/>
                      </w14:schemeClr>
                    </w14:solidFill>
                  </w14:textFill>
                </w:rPr>
              </m:ctrlPr>
            </m:e>
            <m:sup>
              <m:r>
                <m:rPr>
                  <m:nor/>
                  <m:sty m:val="p"/>
                </m:rPr>
                <w:rPr>
                  <w:rFonts w:cs="Times New Roman"/>
                  <w:b w:val="0"/>
                  <w:i w:val="0"/>
                  <w:color w:val="0D0D0D" w:themeColor="text1" w:themeTint="F2"/>
                  <w14:textFill>
                    <w14:solidFill>
                      <w14:schemeClr w14:val="tx1">
                        <w14:lumMod w14:val="95000"/>
                        <w14:lumOff w14:val="5000"/>
                      </w14:schemeClr>
                    </w14:solidFill>
                  </w14:textFill>
                </w:rPr>
                <m:t>0.596</m:t>
              </m:r>
              <m:ctrlPr>
                <w:rPr>
                  <w:rFonts w:ascii="Cambria Math" w:hAnsi="Cambria Math" w:cs="Times New Roman"/>
                  <w:bCs/>
                  <w:iCs/>
                  <w:color w:val="0D0D0D" w:themeColor="text1" w:themeTint="F2"/>
                  <w14:textFill>
                    <w14:solidFill>
                      <w14:schemeClr w14:val="tx1">
                        <w14:lumMod w14:val="95000"/>
                        <w14:lumOff w14:val="5000"/>
                      </w14:schemeClr>
                    </w14:solidFill>
                  </w14:textFill>
                </w:rPr>
              </m:ctrlPr>
            </m:sup>
          </m:sSup>
        </m:oMath>
      </m:oMathPara>
    </w:p>
    <w:p w14:paraId="5119776B">
      <w:pPr>
        <w:tabs>
          <w:tab w:val="left" w:pos="312"/>
          <w:tab w:val="left" w:pos="468"/>
        </w:tabs>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式中：</w:t>
      </w:r>
    </w:p>
    <w:p w14:paraId="4B6D62CC">
      <w:pPr>
        <w:tabs>
          <w:tab w:val="left" w:pos="312"/>
          <w:tab w:val="left" w:pos="468"/>
        </w:tabs>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q——暴雨强度</w:t>
      </w:r>
      <w:r>
        <w:rPr>
          <w:rFonts w:hint="eastAsia"/>
          <w:color w:val="0D0D0D" w:themeColor="text1" w:themeTint="F2"/>
          <w14:textFill>
            <w14:solidFill>
              <w14:schemeClr w14:val="tx1">
                <w14:lumMod w14:val="95000"/>
                <w14:lumOff w14:val="5000"/>
              </w14:schemeClr>
            </w14:solidFill>
          </w14:textFill>
        </w:rPr>
        <w:t>（L/</w:t>
      </w:r>
      <w:r>
        <w:rPr>
          <w:color w:val="0D0D0D" w:themeColor="text1" w:themeTint="F2"/>
          <w14:textFill>
            <w14:solidFill>
              <w14:schemeClr w14:val="tx1">
                <w14:lumMod w14:val="95000"/>
                <w14:lumOff w14:val="5000"/>
              </w14:schemeClr>
            </w14:solidFill>
          </w14:textFill>
        </w:rPr>
        <w:t>s·</w:t>
      </w:r>
      <w:r>
        <w:rPr>
          <w:rFonts w:hint="eastAsia"/>
          <w:color w:val="0D0D0D" w:themeColor="text1" w:themeTint="F2"/>
          <w14:textFill>
            <w14:solidFill>
              <w14:schemeClr w14:val="tx1">
                <w14:lumMod w14:val="95000"/>
                <w14:lumOff w14:val="5000"/>
              </w14:schemeClr>
            </w14:solidFill>
          </w14:textFill>
        </w:rPr>
        <w:t>hm</w:t>
      </w:r>
      <w:r>
        <w:rPr>
          <w:rFonts w:hint="eastAsia"/>
          <w:color w:val="0D0D0D" w:themeColor="text1" w:themeTint="F2"/>
          <w:vertAlign w:val="superscript"/>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w:t>
      </w:r>
    </w:p>
    <w:p w14:paraId="46351EFD">
      <w:pPr>
        <w:tabs>
          <w:tab w:val="left" w:pos="312"/>
          <w:tab w:val="left" w:pos="468"/>
        </w:tabs>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P——重现期，取</w:t>
      </w:r>
      <w:r>
        <w:rPr>
          <w:rFonts w:hint="eastAsia"/>
          <w:color w:val="0D0D0D" w:themeColor="text1" w:themeTint="F2"/>
          <w14:textFill>
            <w14:solidFill>
              <w14:schemeClr w14:val="tx1">
                <w14:lumMod w14:val="95000"/>
                <w14:lumOff w14:val="5000"/>
              </w14:schemeClr>
            </w14:solidFill>
          </w14:textFill>
        </w:rPr>
        <w:t>2</w:t>
      </w:r>
      <w:r>
        <w:rPr>
          <w:color w:val="0D0D0D" w:themeColor="text1" w:themeTint="F2"/>
          <w14:textFill>
            <w14:solidFill>
              <w14:schemeClr w14:val="tx1">
                <w14:lumMod w14:val="95000"/>
                <w14:lumOff w14:val="5000"/>
              </w14:schemeClr>
            </w14:solidFill>
          </w14:textFill>
        </w:rPr>
        <w:t>年；</w:t>
      </w:r>
    </w:p>
    <w:p w14:paraId="7B98F8AD">
      <w:pPr>
        <w:tabs>
          <w:tab w:val="left" w:pos="312"/>
          <w:tab w:val="left" w:pos="468"/>
        </w:tabs>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t——</w:t>
      </w:r>
      <w:r>
        <w:rPr>
          <w:rFonts w:hint="eastAsia"/>
          <w:color w:val="0D0D0D" w:themeColor="text1" w:themeTint="F2"/>
          <w14:textFill>
            <w14:solidFill>
              <w14:schemeClr w14:val="tx1">
                <w14:lumMod w14:val="95000"/>
                <w14:lumOff w14:val="5000"/>
              </w14:schemeClr>
            </w14:solidFill>
          </w14:textFill>
        </w:rPr>
        <w:t>降雨历时，</w:t>
      </w:r>
      <w:r>
        <w:rPr>
          <w:color w:val="0D0D0D" w:themeColor="text1" w:themeTint="F2"/>
          <w14:textFill>
            <w14:solidFill>
              <w14:schemeClr w14:val="tx1">
                <w14:lumMod w14:val="95000"/>
                <w14:lumOff w14:val="5000"/>
              </w14:schemeClr>
            </w14:solidFill>
          </w14:textFill>
        </w:rPr>
        <w:t>取</w:t>
      </w:r>
      <w:r>
        <w:rPr>
          <w:rFonts w:hint="eastAsia"/>
          <w:color w:val="0D0D0D" w:themeColor="text1" w:themeTint="F2"/>
          <w14:textFill>
            <w14:solidFill>
              <w14:schemeClr w14:val="tx1">
                <w14:lumMod w14:val="95000"/>
                <w14:lumOff w14:val="5000"/>
              </w14:schemeClr>
            </w14:solidFill>
          </w14:textFill>
        </w:rPr>
        <w:t>60min</w:t>
      </w:r>
      <w:r>
        <w:rPr>
          <w:color w:val="0D0D0D" w:themeColor="text1" w:themeTint="F2"/>
          <w14:textFill>
            <w14:solidFill>
              <w14:schemeClr w14:val="tx1">
                <w14:lumMod w14:val="95000"/>
                <w14:lumOff w14:val="5000"/>
              </w14:schemeClr>
            </w14:solidFill>
          </w14:textFill>
        </w:rPr>
        <w:t>；</w:t>
      </w:r>
    </w:p>
    <w:p w14:paraId="3688FA1D">
      <w:pPr>
        <w:tabs>
          <w:tab w:val="left" w:pos="312"/>
          <w:tab w:val="left" w:pos="468"/>
        </w:tabs>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由上式计算出暴雨强度为175.13L/</w:t>
      </w:r>
      <w:r>
        <w:rPr>
          <w:color w:val="0D0D0D" w:themeColor="text1" w:themeTint="F2"/>
          <w14:textFill>
            <w14:solidFill>
              <w14:schemeClr w14:val="tx1">
                <w14:lumMod w14:val="95000"/>
                <w14:lumOff w14:val="5000"/>
              </w14:schemeClr>
            </w14:solidFill>
          </w14:textFill>
        </w:rPr>
        <w:t>s·</w:t>
      </w:r>
      <w:r>
        <w:rPr>
          <w:rFonts w:hint="eastAsia"/>
          <w:color w:val="0D0D0D" w:themeColor="text1" w:themeTint="F2"/>
          <w14:textFill>
            <w14:solidFill>
              <w14:schemeClr w14:val="tx1">
                <w14:lumMod w14:val="95000"/>
                <w14:lumOff w14:val="5000"/>
              </w14:schemeClr>
            </w14:solidFill>
          </w14:textFill>
        </w:rPr>
        <w:t>hm</w:t>
      </w:r>
      <w:r>
        <w:rPr>
          <w:rFonts w:hint="eastAsia"/>
          <w:color w:val="0D0D0D" w:themeColor="text1" w:themeTint="F2"/>
          <w:vertAlign w:val="superscript"/>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w:t>
      </w:r>
    </w:p>
    <w:p w14:paraId="3FEFE85A">
      <w:pPr>
        <w:tabs>
          <w:tab w:val="left" w:pos="312"/>
          <w:tab w:val="left" w:pos="468"/>
        </w:tabs>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参照</w:t>
      </w:r>
      <w:r>
        <w:rPr>
          <w:rFonts w:hint="eastAsia"/>
          <w:color w:val="0D0D0D" w:themeColor="text1" w:themeTint="F2"/>
          <w14:textFill>
            <w14:solidFill>
              <w14:schemeClr w14:val="tx1">
                <w14:lumMod w14:val="95000"/>
                <w14:lumOff w14:val="5000"/>
              </w14:schemeClr>
            </w14:solidFill>
          </w14:textFill>
        </w:rPr>
        <w:t>《室外排水设计标准》（</w:t>
      </w:r>
      <w:r>
        <w:rPr>
          <w:color w:val="0D0D0D" w:themeColor="text1" w:themeTint="F2"/>
          <w14:textFill>
            <w14:solidFill>
              <w14:schemeClr w14:val="tx1">
                <w14:lumMod w14:val="95000"/>
                <w14:lumOff w14:val="5000"/>
              </w14:schemeClr>
            </w14:solidFill>
          </w14:textFill>
        </w:rPr>
        <w:t>GB50014-2021</w:t>
      </w:r>
      <w:r>
        <w:rPr>
          <w:rFonts w:hint="eastAsia"/>
          <w:color w:val="0D0D0D" w:themeColor="text1" w:themeTint="F2"/>
          <w14:textFill>
            <w14:solidFill>
              <w14:schemeClr w14:val="tx1">
                <w14:lumMod w14:val="95000"/>
                <w14:lumOff w14:val="5000"/>
              </w14:schemeClr>
            </w14:solidFill>
          </w14:textFill>
        </w:rPr>
        <w:t>）</w:t>
      </w:r>
      <w:r>
        <w:rPr>
          <w:color w:val="0D0D0D" w:themeColor="text1" w:themeTint="F2"/>
          <w14:textFill>
            <w14:solidFill>
              <w14:schemeClr w14:val="tx1">
                <w14:lumMod w14:val="95000"/>
                <w14:lumOff w14:val="5000"/>
              </w14:schemeClr>
            </w14:solidFill>
          </w14:textFill>
        </w:rPr>
        <w:t>，初期雨水按下式进行估算：</w:t>
      </w:r>
    </w:p>
    <w:p w14:paraId="71B198E9">
      <w:pPr>
        <w:tabs>
          <w:tab w:val="left" w:pos="312"/>
          <w:tab w:val="left" w:pos="468"/>
        </w:tabs>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Q=q</w:t>
      </w:r>
      <w:r>
        <w:rPr>
          <w:rFonts w:hint="eastAsia"/>
          <w:color w:val="0D0D0D" w:themeColor="text1" w:themeTint="F2"/>
          <w14:textFill>
            <w14:solidFill>
              <w14:schemeClr w14:val="tx1">
                <w14:lumMod w14:val="95000"/>
                <w14:lumOff w14:val="5000"/>
              </w14:schemeClr>
            </w14:solidFill>
          </w14:textFill>
        </w:rPr>
        <w:t>×</w:t>
      </w:r>
      <w:r>
        <w:rPr>
          <w:color w:val="0D0D0D" w:themeColor="text1" w:themeTint="F2"/>
          <w14:textFill>
            <w14:solidFill>
              <w14:schemeClr w14:val="tx1">
                <w14:lumMod w14:val="95000"/>
                <w14:lumOff w14:val="5000"/>
              </w14:schemeClr>
            </w14:solidFill>
          </w14:textFill>
        </w:rPr>
        <w:t>F</w:t>
      </w:r>
      <w:r>
        <w:rPr>
          <w:rFonts w:hint="eastAsia"/>
          <w:color w:val="0D0D0D" w:themeColor="text1" w:themeTint="F2"/>
          <w14:textFill>
            <w14:solidFill>
              <w14:schemeClr w14:val="tx1">
                <w14:lumMod w14:val="95000"/>
                <w14:lumOff w14:val="5000"/>
              </w14:schemeClr>
            </w14:solidFill>
          </w14:textFill>
        </w:rPr>
        <w:t>×</w:t>
      </w:r>
      <w:r>
        <w:rPr>
          <w:color w:val="0D0D0D" w:themeColor="text1" w:themeTint="F2"/>
          <w14:textFill>
            <w14:solidFill>
              <w14:schemeClr w14:val="tx1">
                <w14:lumMod w14:val="95000"/>
                <w14:lumOff w14:val="5000"/>
              </w14:schemeClr>
            </w14:solidFill>
          </w14:textFill>
        </w:rPr>
        <w:t>φ</w:t>
      </w:r>
    </w:p>
    <w:p w14:paraId="3E83D222">
      <w:pPr>
        <w:tabs>
          <w:tab w:val="left" w:pos="312"/>
          <w:tab w:val="left" w:pos="468"/>
        </w:tabs>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式中：</w:t>
      </w:r>
    </w:p>
    <w:p w14:paraId="23D02648">
      <w:pPr>
        <w:tabs>
          <w:tab w:val="left" w:pos="312"/>
          <w:tab w:val="left" w:pos="468"/>
        </w:tabs>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Q——雨水</w:t>
      </w:r>
      <w:r>
        <w:rPr>
          <w:rFonts w:hint="eastAsia"/>
          <w:color w:val="0D0D0D" w:themeColor="text1" w:themeTint="F2"/>
          <w14:textFill>
            <w14:solidFill>
              <w14:schemeClr w14:val="tx1">
                <w14:lumMod w14:val="95000"/>
                <w14:lumOff w14:val="5000"/>
              </w14:schemeClr>
            </w14:solidFill>
          </w14:textFill>
        </w:rPr>
        <w:t>设计流</w:t>
      </w:r>
      <w:r>
        <w:rPr>
          <w:color w:val="0D0D0D" w:themeColor="text1" w:themeTint="F2"/>
          <w14:textFill>
            <w14:solidFill>
              <w14:schemeClr w14:val="tx1">
                <w14:lumMod w14:val="95000"/>
                <w14:lumOff w14:val="5000"/>
              </w14:schemeClr>
            </w14:solidFill>
          </w14:textFill>
        </w:rPr>
        <w:t>量L</w:t>
      </w:r>
      <w:r>
        <w:rPr>
          <w:rFonts w:hint="eastAsia"/>
          <w:color w:val="0D0D0D" w:themeColor="text1" w:themeTint="F2"/>
          <w14:textFill>
            <w14:solidFill>
              <w14:schemeClr w14:val="tx1">
                <w14:lumMod w14:val="95000"/>
                <w14:lumOff w14:val="5000"/>
              </w14:schemeClr>
            </w14:solidFill>
          </w14:textFill>
        </w:rPr>
        <w:t>/s；</w:t>
      </w:r>
    </w:p>
    <w:p w14:paraId="171FCDB7">
      <w:pPr>
        <w:tabs>
          <w:tab w:val="left" w:pos="312"/>
          <w:tab w:val="left" w:pos="468"/>
        </w:tabs>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q——暴雨强度</w:t>
      </w:r>
      <w:r>
        <w:rPr>
          <w:rFonts w:hint="eastAsia"/>
          <w:color w:val="0D0D0D" w:themeColor="text1" w:themeTint="F2"/>
          <w14:textFill>
            <w14:solidFill>
              <w14:schemeClr w14:val="tx1">
                <w14:lumMod w14:val="95000"/>
                <w14:lumOff w14:val="5000"/>
              </w14:schemeClr>
            </w14:solidFill>
          </w14:textFill>
        </w:rPr>
        <w:t>（L/</w:t>
      </w:r>
      <w:r>
        <w:rPr>
          <w:color w:val="0D0D0D" w:themeColor="text1" w:themeTint="F2"/>
          <w14:textFill>
            <w14:solidFill>
              <w14:schemeClr w14:val="tx1">
                <w14:lumMod w14:val="95000"/>
                <w14:lumOff w14:val="5000"/>
              </w14:schemeClr>
            </w14:solidFill>
          </w14:textFill>
        </w:rPr>
        <w:t>s·</w:t>
      </w:r>
      <w:r>
        <w:rPr>
          <w:rFonts w:hint="eastAsia"/>
          <w:color w:val="0D0D0D" w:themeColor="text1" w:themeTint="F2"/>
          <w14:textFill>
            <w14:solidFill>
              <w14:schemeClr w14:val="tx1">
                <w14:lumMod w14:val="95000"/>
                <w14:lumOff w14:val="5000"/>
              </w14:schemeClr>
            </w14:solidFill>
          </w14:textFill>
        </w:rPr>
        <w:t>hm</w:t>
      </w:r>
      <w:r>
        <w:rPr>
          <w:rFonts w:hint="eastAsia"/>
          <w:color w:val="0D0D0D" w:themeColor="text1" w:themeTint="F2"/>
          <w:vertAlign w:val="superscript"/>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w:t>
      </w:r>
    </w:p>
    <w:p w14:paraId="7040C065">
      <w:pPr>
        <w:tabs>
          <w:tab w:val="left" w:pos="312"/>
          <w:tab w:val="left" w:pos="468"/>
        </w:tabs>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F——汇水面积</w:t>
      </w:r>
      <w:r>
        <w:rPr>
          <w:rFonts w:hint="eastAsia"/>
          <w:color w:val="0D0D0D" w:themeColor="text1" w:themeTint="F2"/>
          <w14:textFill>
            <w14:solidFill>
              <w14:schemeClr w14:val="tx1">
                <w14:lumMod w14:val="95000"/>
                <w14:lumOff w14:val="5000"/>
              </w14:schemeClr>
            </w14:solidFill>
          </w14:textFill>
        </w:rPr>
        <w:t>（hm</w:t>
      </w:r>
      <w:r>
        <w:rPr>
          <w:rFonts w:hint="eastAsia"/>
          <w:color w:val="0D0D0D" w:themeColor="text1" w:themeTint="F2"/>
          <w:vertAlign w:val="superscript"/>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w:t>
      </w:r>
    </w:p>
    <w:p w14:paraId="53E72CC3">
      <w:pPr>
        <w:tabs>
          <w:tab w:val="left" w:pos="312"/>
          <w:tab w:val="left" w:pos="468"/>
        </w:tabs>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φ——为径流系数</w:t>
      </w:r>
      <w:r>
        <w:rPr>
          <w:rFonts w:hint="eastAsia"/>
          <w:color w:val="0D0D0D" w:themeColor="text1" w:themeTint="F2"/>
          <w14:textFill>
            <w14:solidFill>
              <w14:schemeClr w14:val="tx1">
                <w14:lumMod w14:val="95000"/>
                <w14:lumOff w14:val="5000"/>
              </w14:schemeClr>
            </w14:solidFill>
          </w14:textFill>
        </w:rPr>
        <w:t>，项目罐区、装卸区等均</w:t>
      </w:r>
      <w:r>
        <w:rPr>
          <w:color w:val="0D0D0D" w:themeColor="text1" w:themeTint="F2"/>
          <w14:textFill>
            <w14:solidFill>
              <w14:schemeClr w14:val="tx1">
                <w14:lumMod w14:val="95000"/>
                <w14:lumOff w14:val="5000"/>
              </w14:schemeClr>
            </w14:solidFill>
          </w14:textFill>
        </w:rPr>
        <w:t>进行</w:t>
      </w:r>
      <w:r>
        <w:rPr>
          <w:rFonts w:hint="eastAsia"/>
          <w:color w:val="0D0D0D" w:themeColor="text1" w:themeTint="F2"/>
          <w14:textFill>
            <w14:solidFill>
              <w14:schemeClr w14:val="tx1">
                <w14:lumMod w14:val="95000"/>
                <w14:lumOff w14:val="5000"/>
              </w14:schemeClr>
            </w14:solidFill>
          </w14:textFill>
        </w:rPr>
        <w:t>水泥硬化</w:t>
      </w:r>
      <w:r>
        <w:rPr>
          <w:color w:val="0D0D0D" w:themeColor="text1" w:themeTint="F2"/>
          <w14:textFill>
            <w14:solidFill>
              <w14:schemeClr w14:val="tx1">
                <w14:lumMod w14:val="95000"/>
                <w14:lumOff w14:val="5000"/>
              </w14:schemeClr>
            </w14:solidFill>
          </w14:textFill>
        </w:rPr>
        <w:t>，各种屋面、混凝土或沥青路面径流系数</w:t>
      </w:r>
      <w:r>
        <w:rPr>
          <w:rFonts w:hint="eastAsia"/>
          <w:color w:val="0D0D0D" w:themeColor="text1" w:themeTint="F2"/>
          <w14:textFill>
            <w14:solidFill>
              <w14:schemeClr w14:val="tx1">
                <w14:lumMod w14:val="95000"/>
                <w14:lumOff w14:val="5000"/>
              </w14:schemeClr>
            </w14:solidFill>
          </w14:textFill>
        </w:rPr>
        <w:t>为0.85~0.95，本次</w:t>
      </w:r>
      <w:r>
        <w:rPr>
          <w:color w:val="0D0D0D" w:themeColor="text1" w:themeTint="F2"/>
          <w14:textFill>
            <w14:solidFill>
              <w14:schemeClr w14:val="tx1">
                <w14:lumMod w14:val="95000"/>
                <w14:lumOff w14:val="5000"/>
              </w14:schemeClr>
            </w14:solidFill>
          </w14:textFill>
        </w:rPr>
        <w:t>取0.</w:t>
      </w:r>
      <w:r>
        <w:rPr>
          <w:rFonts w:hint="eastAsia"/>
          <w:color w:val="0D0D0D" w:themeColor="text1" w:themeTint="F2"/>
          <w14:textFill>
            <w14:solidFill>
              <w14:schemeClr w14:val="tx1">
                <w14:lumMod w14:val="95000"/>
                <w14:lumOff w14:val="5000"/>
              </w14:schemeClr>
            </w14:solidFill>
          </w14:textFill>
        </w:rPr>
        <w:t>9。</w:t>
      </w:r>
    </w:p>
    <w:p w14:paraId="1519488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实行雨污分流，参照《石油化工污水处理设计规范》（GB50747-2012）和《石油化工企业给水排水系统设计规范》（SH3015-2003）规定：生产装置区、罐区、装卸油区雨水易受污染，应收集初期雨水排入生产污水处理系统。项目初期雨水主要收集对象为生产区、储罐区和装卸平台等。初期雨水核算结果详见表3.2-6。</w:t>
      </w:r>
    </w:p>
    <w:p w14:paraId="13072B54">
      <w:pPr>
        <w:pStyle w:val="11"/>
      </w:pPr>
      <w:r>
        <w:rPr>
          <w:rFonts w:hint="eastAsia"/>
        </w:rPr>
        <w:t xml:space="preserve"> 初期雨水收集情况一览表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2978"/>
        <w:gridCol w:w="1965"/>
        <w:gridCol w:w="3331"/>
      </w:tblGrid>
      <w:tr w14:paraId="55BFB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24" w:type="pct"/>
            <w:vAlign w:val="center"/>
          </w:tcPr>
          <w:p w14:paraId="1515F548">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611" w:type="pct"/>
            <w:vAlign w:val="center"/>
          </w:tcPr>
          <w:p w14:paraId="066F94BD">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063" w:type="pct"/>
            <w:vAlign w:val="center"/>
          </w:tcPr>
          <w:p w14:paraId="01A9D860">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803" w:type="pct"/>
            <w:vAlign w:val="center"/>
          </w:tcPr>
          <w:p w14:paraId="6BDE99D0">
            <w:pPr>
              <w:spacing w:line="240" w:lineRule="auto"/>
              <w:jc w:val="center"/>
              <w:rPr>
                <w:color w:val="0D0D0D" w:themeColor="text1" w:themeTint="F2"/>
                <w:sz w:val="21"/>
                <w:szCs w:val="21"/>
                <w14:textFill>
                  <w14:solidFill>
                    <w14:schemeClr w14:val="tx1">
                      <w14:lumMod w14:val="95000"/>
                      <w14:lumOff w14:val="5000"/>
                    </w14:schemeClr>
                  </w14:solidFill>
                </w14:textFill>
              </w:rPr>
            </w:pPr>
          </w:p>
        </w:tc>
      </w:tr>
      <w:tr w14:paraId="47C34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4" w:type="pct"/>
            <w:vAlign w:val="center"/>
          </w:tcPr>
          <w:p w14:paraId="35E6186D">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611" w:type="pct"/>
            <w:vAlign w:val="center"/>
          </w:tcPr>
          <w:p w14:paraId="5743CE56">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063" w:type="pct"/>
            <w:vAlign w:val="center"/>
          </w:tcPr>
          <w:p w14:paraId="5F4F90AF">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803" w:type="pct"/>
            <w:vAlign w:val="center"/>
          </w:tcPr>
          <w:p w14:paraId="0A6E6271">
            <w:pPr>
              <w:spacing w:line="240" w:lineRule="auto"/>
              <w:jc w:val="center"/>
              <w:rPr>
                <w:color w:val="0D0D0D" w:themeColor="text1" w:themeTint="F2"/>
                <w:sz w:val="21"/>
                <w:szCs w:val="21"/>
                <w14:textFill>
                  <w14:solidFill>
                    <w14:schemeClr w14:val="tx1">
                      <w14:lumMod w14:val="95000"/>
                      <w14:lumOff w14:val="5000"/>
                    </w14:schemeClr>
                  </w14:solidFill>
                </w14:textFill>
              </w:rPr>
            </w:pPr>
          </w:p>
        </w:tc>
      </w:tr>
      <w:tr w14:paraId="3F651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4" w:type="pct"/>
            <w:vAlign w:val="center"/>
          </w:tcPr>
          <w:p w14:paraId="2A687C86">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611" w:type="pct"/>
            <w:vAlign w:val="center"/>
          </w:tcPr>
          <w:p w14:paraId="057DEA0A">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063" w:type="pct"/>
            <w:vAlign w:val="center"/>
          </w:tcPr>
          <w:p w14:paraId="4A882E71">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803" w:type="pct"/>
            <w:vAlign w:val="center"/>
          </w:tcPr>
          <w:p w14:paraId="656A705A">
            <w:pPr>
              <w:spacing w:line="240" w:lineRule="auto"/>
              <w:jc w:val="center"/>
              <w:rPr>
                <w:color w:val="0D0D0D" w:themeColor="text1" w:themeTint="F2"/>
                <w:sz w:val="21"/>
                <w:szCs w:val="21"/>
                <w14:textFill>
                  <w14:solidFill>
                    <w14:schemeClr w14:val="tx1">
                      <w14:lumMod w14:val="95000"/>
                      <w14:lumOff w14:val="5000"/>
                    </w14:schemeClr>
                  </w14:solidFill>
                </w14:textFill>
              </w:rPr>
            </w:pPr>
          </w:p>
        </w:tc>
      </w:tr>
      <w:tr w14:paraId="710D0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4" w:type="pct"/>
            <w:vAlign w:val="center"/>
          </w:tcPr>
          <w:p w14:paraId="24E0431A">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611" w:type="pct"/>
            <w:vAlign w:val="center"/>
          </w:tcPr>
          <w:p w14:paraId="4A7B0EB7">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063" w:type="pct"/>
            <w:vAlign w:val="center"/>
          </w:tcPr>
          <w:p w14:paraId="6DF06D40">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803" w:type="pct"/>
            <w:vAlign w:val="center"/>
          </w:tcPr>
          <w:p w14:paraId="3B9C2A3C">
            <w:pPr>
              <w:spacing w:line="240" w:lineRule="auto"/>
              <w:jc w:val="center"/>
              <w:rPr>
                <w:color w:val="0D0D0D" w:themeColor="text1" w:themeTint="F2"/>
                <w:sz w:val="21"/>
                <w:szCs w:val="21"/>
                <w14:textFill>
                  <w14:solidFill>
                    <w14:schemeClr w14:val="tx1">
                      <w14:lumMod w14:val="95000"/>
                      <w14:lumOff w14:val="5000"/>
                    </w14:schemeClr>
                  </w14:solidFill>
                </w14:textFill>
              </w:rPr>
            </w:pPr>
          </w:p>
        </w:tc>
      </w:tr>
      <w:tr w14:paraId="20945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4" w:type="pct"/>
            <w:vAlign w:val="center"/>
          </w:tcPr>
          <w:p w14:paraId="1CF3E708">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611" w:type="pct"/>
            <w:vAlign w:val="center"/>
          </w:tcPr>
          <w:p w14:paraId="53F2CD2F">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063" w:type="pct"/>
            <w:vAlign w:val="center"/>
          </w:tcPr>
          <w:p w14:paraId="24B67585">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803" w:type="pct"/>
            <w:vAlign w:val="center"/>
          </w:tcPr>
          <w:p w14:paraId="06C722F2">
            <w:pPr>
              <w:spacing w:line="240" w:lineRule="auto"/>
              <w:jc w:val="center"/>
              <w:rPr>
                <w:color w:val="0D0D0D" w:themeColor="text1" w:themeTint="F2"/>
                <w:sz w:val="21"/>
                <w:szCs w:val="21"/>
                <w14:textFill>
                  <w14:solidFill>
                    <w14:schemeClr w14:val="tx1">
                      <w14:lumMod w14:val="95000"/>
                      <w14:lumOff w14:val="5000"/>
                    </w14:schemeClr>
                  </w14:solidFill>
                </w14:textFill>
              </w:rPr>
            </w:pPr>
          </w:p>
        </w:tc>
      </w:tr>
      <w:tr w14:paraId="4BB7B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4" w:type="pct"/>
            <w:vAlign w:val="center"/>
          </w:tcPr>
          <w:p w14:paraId="75E0910A">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611" w:type="pct"/>
            <w:vAlign w:val="center"/>
          </w:tcPr>
          <w:p w14:paraId="432921F8">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063" w:type="pct"/>
            <w:vAlign w:val="center"/>
          </w:tcPr>
          <w:p w14:paraId="1C091252">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803" w:type="pct"/>
            <w:vAlign w:val="center"/>
          </w:tcPr>
          <w:p w14:paraId="2310847F">
            <w:pPr>
              <w:spacing w:line="240" w:lineRule="auto"/>
              <w:jc w:val="center"/>
              <w:rPr>
                <w:color w:val="0D0D0D" w:themeColor="text1" w:themeTint="F2"/>
                <w:sz w:val="21"/>
                <w:szCs w:val="21"/>
                <w14:textFill>
                  <w14:solidFill>
                    <w14:schemeClr w14:val="tx1">
                      <w14:lumMod w14:val="95000"/>
                      <w14:lumOff w14:val="5000"/>
                    </w14:schemeClr>
                  </w14:solidFill>
                </w14:textFill>
              </w:rPr>
            </w:pPr>
          </w:p>
        </w:tc>
      </w:tr>
      <w:tr w14:paraId="32ABB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4" w:type="pct"/>
            <w:vAlign w:val="center"/>
          </w:tcPr>
          <w:p w14:paraId="613AA74F">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611" w:type="pct"/>
            <w:vAlign w:val="center"/>
          </w:tcPr>
          <w:p w14:paraId="2231686E">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063" w:type="pct"/>
            <w:vAlign w:val="center"/>
          </w:tcPr>
          <w:p w14:paraId="5C7FF88F">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803" w:type="pct"/>
            <w:vAlign w:val="center"/>
          </w:tcPr>
          <w:p w14:paraId="346F736C">
            <w:pPr>
              <w:spacing w:line="240" w:lineRule="auto"/>
              <w:jc w:val="center"/>
              <w:rPr>
                <w:color w:val="0D0D0D" w:themeColor="text1" w:themeTint="F2"/>
                <w:sz w:val="21"/>
                <w:szCs w:val="21"/>
                <w14:textFill>
                  <w14:solidFill>
                    <w14:schemeClr w14:val="tx1">
                      <w14:lumMod w14:val="95000"/>
                      <w14:lumOff w14:val="5000"/>
                    </w14:schemeClr>
                  </w14:solidFill>
                </w14:textFill>
              </w:rPr>
            </w:pPr>
          </w:p>
        </w:tc>
      </w:tr>
      <w:tr w14:paraId="7D6F6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4" w:type="pct"/>
            <w:vAlign w:val="center"/>
          </w:tcPr>
          <w:p w14:paraId="00C543D5">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611" w:type="pct"/>
            <w:vAlign w:val="center"/>
          </w:tcPr>
          <w:p w14:paraId="2AC7FFAC">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063" w:type="pct"/>
            <w:vAlign w:val="center"/>
          </w:tcPr>
          <w:p w14:paraId="55A8334A">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803" w:type="pct"/>
            <w:vAlign w:val="center"/>
          </w:tcPr>
          <w:p w14:paraId="30C48001">
            <w:pPr>
              <w:spacing w:line="240" w:lineRule="auto"/>
              <w:jc w:val="center"/>
              <w:rPr>
                <w:color w:val="0D0D0D" w:themeColor="text1" w:themeTint="F2"/>
                <w:sz w:val="21"/>
                <w:szCs w:val="21"/>
                <w14:textFill>
                  <w14:solidFill>
                    <w14:schemeClr w14:val="tx1">
                      <w14:lumMod w14:val="95000"/>
                      <w14:lumOff w14:val="5000"/>
                    </w14:schemeClr>
                  </w14:solidFill>
                </w14:textFill>
              </w:rPr>
            </w:pPr>
          </w:p>
        </w:tc>
      </w:tr>
      <w:tr w14:paraId="2EF42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4" w:type="pct"/>
            <w:vAlign w:val="center"/>
          </w:tcPr>
          <w:p w14:paraId="35E4671D">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611" w:type="pct"/>
            <w:vAlign w:val="center"/>
          </w:tcPr>
          <w:p w14:paraId="165483C0">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063" w:type="pct"/>
            <w:vAlign w:val="center"/>
          </w:tcPr>
          <w:p w14:paraId="434F29C7">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803" w:type="pct"/>
            <w:vAlign w:val="center"/>
          </w:tcPr>
          <w:p w14:paraId="4F0286A4">
            <w:pPr>
              <w:spacing w:line="240" w:lineRule="auto"/>
              <w:jc w:val="center"/>
              <w:rPr>
                <w:color w:val="0D0D0D" w:themeColor="text1" w:themeTint="F2"/>
                <w:sz w:val="21"/>
                <w:szCs w:val="21"/>
                <w14:textFill>
                  <w14:solidFill>
                    <w14:schemeClr w14:val="tx1">
                      <w14:lumMod w14:val="95000"/>
                      <w14:lumOff w14:val="5000"/>
                    </w14:schemeClr>
                  </w14:solidFill>
                </w14:textFill>
              </w:rPr>
            </w:pPr>
          </w:p>
        </w:tc>
      </w:tr>
      <w:tr w14:paraId="284FB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4" w:type="pct"/>
            <w:vAlign w:val="center"/>
          </w:tcPr>
          <w:p w14:paraId="67DAB1E0">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611" w:type="pct"/>
            <w:vAlign w:val="center"/>
          </w:tcPr>
          <w:p w14:paraId="4BE6C4E0">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063" w:type="pct"/>
            <w:vAlign w:val="center"/>
          </w:tcPr>
          <w:p w14:paraId="6F1BB1CB">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803" w:type="pct"/>
            <w:vAlign w:val="center"/>
          </w:tcPr>
          <w:p w14:paraId="1480B295">
            <w:pPr>
              <w:spacing w:line="240" w:lineRule="auto"/>
              <w:jc w:val="center"/>
              <w:rPr>
                <w:color w:val="0D0D0D" w:themeColor="text1" w:themeTint="F2"/>
                <w:sz w:val="21"/>
                <w:szCs w:val="21"/>
                <w14:textFill>
                  <w14:solidFill>
                    <w14:schemeClr w14:val="tx1">
                      <w14:lumMod w14:val="95000"/>
                      <w14:lumOff w14:val="5000"/>
                    </w14:schemeClr>
                  </w14:solidFill>
                </w14:textFill>
              </w:rPr>
            </w:pPr>
          </w:p>
        </w:tc>
      </w:tr>
      <w:tr w14:paraId="2FD24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4" w:type="pct"/>
            <w:vAlign w:val="center"/>
          </w:tcPr>
          <w:p w14:paraId="1662C1B4">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611" w:type="pct"/>
            <w:vAlign w:val="center"/>
          </w:tcPr>
          <w:p w14:paraId="65ADE2E4">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063" w:type="pct"/>
            <w:vAlign w:val="center"/>
          </w:tcPr>
          <w:p w14:paraId="5AE63020">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803" w:type="pct"/>
            <w:vAlign w:val="center"/>
          </w:tcPr>
          <w:p w14:paraId="4BD119A9">
            <w:pPr>
              <w:spacing w:line="240" w:lineRule="auto"/>
              <w:jc w:val="center"/>
              <w:rPr>
                <w:color w:val="0D0D0D" w:themeColor="text1" w:themeTint="F2"/>
                <w:sz w:val="21"/>
                <w:szCs w:val="21"/>
                <w14:textFill>
                  <w14:solidFill>
                    <w14:schemeClr w14:val="tx1">
                      <w14:lumMod w14:val="95000"/>
                      <w14:lumOff w14:val="5000"/>
                    </w14:schemeClr>
                  </w14:solidFill>
                </w14:textFill>
              </w:rPr>
            </w:pPr>
          </w:p>
        </w:tc>
      </w:tr>
      <w:tr w14:paraId="3DF0D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5" w:type="pct"/>
            <w:gridSpan w:val="2"/>
            <w:vAlign w:val="center"/>
          </w:tcPr>
          <w:p w14:paraId="30076C30">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063" w:type="pct"/>
            <w:vAlign w:val="center"/>
          </w:tcPr>
          <w:p w14:paraId="27CE2A48">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803" w:type="pct"/>
            <w:vAlign w:val="center"/>
          </w:tcPr>
          <w:p w14:paraId="2B38D284">
            <w:pPr>
              <w:spacing w:line="240" w:lineRule="auto"/>
              <w:jc w:val="center"/>
              <w:rPr>
                <w:color w:val="0D0D0D" w:themeColor="text1" w:themeTint="F2"/>
                <w:sz w:val="21"/>
                <w:szCs w:val="21"/>
                <w14:textFill>
                  <w14:solidFill>
                    <w14:schemeClr w14:val="tx1">
                      <w14:lumMod w14:val="95000"/>
                      <w14:lumOff w14:val="5000"/>
                    </w14:schemeClr>
                  </w14:solidFill>
                </w14:textFill>
              </w:rPr>
            </w:pPr>
          </w:p>
        </w:tc>
      </w:tr>
    </w:tbl>
    <w:p w14:paraId="75A06080">
      <w:pPr>
        <w:ind w:firstLine="480" w:firstLineChars="200"/>
        <w:rPr>
          <w:color w:val="0D0D0D" w:themeColor="text1" w:themeTint="F2"/>
          <w:spacing w:val="1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由上表可知，项目集雨面积为12644.5m</w:t>
      </w:r>
      <w:r>
        <w:rPr>
          <w:rFonts w:hint="eastAsia"/>
          <w:color w:val="0D0D0D" w:themeColor="text1" w:themeTint="F2"/>
          <w:vertAlign w:val="superscript"/>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（1.26hm</w:t>
      </w:r>
      <w:r>
        <w:rPr>
          <w:rFonts w:hint="eastAsia"/>
          <w:color w:val="0D0D0D" w:themeColor="text1" w:themeTint="F2"/>
          <w:vertAlign w:val="superscript"/>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w:t>
      </w:r>
      <w:r>
        <w:rPr>
          <w:rFonts w:hint="eastAsia"/>
          <w:color w:val="0D0D0D" w:themeColor="text1" w:themeTint="F2"/>
          <w:spacing w:val="12"/>
          <w14:textFill>
            <w14:solidFill>
              <w14:schemeClr w14:val="tx1">
                <w14:lumMod w14:val="95000"/>
                <w14:lumOff w14:val="5000"/>
              </w14:schemeClr>
            </w14:solidFill>
          </w14:textFill>
        </w:rPr>
        <w:t>收集</w:t>
      </w:r>
      <w:r>
        <w:rPr>
          <w:color w:val="0D0D0D" w:themeColor="text1" w:themeTint="F2"/>
          <w:spacing w:val="12"/>
          <w14:textFill>
            <w14:solidFill>
              <w14:schemeClr w14:val="tx1">
                <w14:lumMod w14:val="95000"/>
                <w14:lumOff w14:val="5000"/>
              </w14:schemeClr>
            </w14:solidFill>
          </w14:textFill>
        </w:rPr>
        <w:t>时间按15min计，则初期雨水</w:t>
      </w:r>
      <w:r>
        <w:rPr>
          <w:rFonts w:hint="eastAsia"/>
          <w:color w:val="0D0D0D" w:themeColor="text1" w:themeTint="F2"/>
          <w:spacing w:val="12"/>
          <w14:textFill>
            <w14:solidFill>
              <w14:schemeClr w14:val="tx1">
                <w14:lumMod w14:val="95000"/>
                <w14:lumOff w14:val="5000"/>
              </w14:schemeClr>
            </w14:solidFill>
          </w14:textFill>
        </w:rPr>
        <w:t>产生</w:t>
      </w:r>
      <w:r>
        <w:rPr>
          <w:color w:val="0D0D0D" w:themeColor="text1" w:themeTint="F2"/>
          <w:spacing w:val="12"/>
          <w14:textFill>
            <w14:solidFill>
              <w14:schemeClr w14:val="tx1">
                <w14:lumMod w14:val="95000"/>
                <w14:lumOff w14:val="5000"/>
              </w14:schemeClr>
            </w14:solidFill>
          </w14:textFill>
        </w:rPr>
        <w:t>量为</w:t>
      </w:r>
      <w:r>
        <w:rPr>
          <w:rFonts w:hint="eastAsia"/>
          <w:color w:val="0D0D0D" w:themeColor="text1" w:themeTint="F2"/>
          <w:spacing w:val="12"/>
          <w14:textFill>
            <w14:solidFill>
              <w14:schemeClr w14:val="tx1">
                <w14:lumMod w14:val="95000"/>
                <w14:lumOff w14:val="5000"/>
              </w14:schemeClr>
            </w14:solidFill>
          </w14:textFill>
        </w:rPr>
        <w:t>179.36</w:t>
      </w:r>
      <w:r>
        <w:rPr>
          <w:color w:val="0D0D0D" w:themeColor="text1" w:themeTint="F2"/>
          <w:spacing w:val="12"/>
          <w14:textFill>
            <w14:solidFill>
              <w14:schemeClr w14:val="tx1">
                <w14:lumMod w14:val="95000"/>
                <w14:lumOff w14:val="5000"/>
              </w14:schemeClr>
            </w14:solidFill>
          </w14:textFill>
        </w:rPr>
        <w:t>m</w:t>
      </w:r>
      <w:r>
        <w:rPr>
          <w:color w:val="0D0D0D" w:themeColor="text1" w:themeTint="F2"/>
          <w:spacing w:val="12"/>
          <w:vertAlign w:val="superscript"/>
          <w14:textFill>
            <w14:solidFill>
              <w14:schemeClr w14:val="tx1">
                <w14:lumMod w14:val="95000"/>
                <w14:lumOff w14:val="5000"/>
              </w14:schemeClr>
            </w14:solidFill>
          </w14:textFill>
        </w:rPr>
        <w:t>3</w:t>
      </w:r>
      <w:r>
        <w:rPr>
          <w:color w:val="0D0D0D" w:themeColor="text1" w:themeTint="F2"/>
          <w:spacing w:val="12"/>
          <w14:textFill>
            <w14:solidFill>
              <w14:schemeClr w14:val="tx1">
                <w14:lumMod w14:val="95000"/>
                <w14:lumOff w14:val="5000"/>
              </w14:schemeClr>
            </w14:solidFill>
          </w14:textFill>
        </w:rPr>
        <w:t>/次</w:t>
      </w:r>
      <w:r>
        <w:rPr>
          <w:rFonts w:hint="eastAsia"/>
          <w:color w:val="0D0D0D" w:themeColor="text1" w:themeTint="F2"/>
          <w:spacing w:val="12"/>
          <w14:textFill>
            <w14:solidFill>
              <w14:schemeClr w14:val="tx1">
                <w14:lumMod w14:val="95000"/>
                <w14:lumOff w14:val="5000"/>
              </w14:schemeClr>
            </w14:solidFill>
          </w14:textFill>
        </w:rPr>
        <w:t>。钦州市暴雨天气次数较少，本次评价年暴雨天数按12次计，则初期雨水产生量为2152.32</w:t>
      </w:r>
      <w:r>
        <w:rPr>
          <w:color w:val="0D0D0D" w:themeColor="text1" w:themeTint="F2"/>
          <w:spacing w:val="12"/>
          <w14:textFill>
            <w14:solidFill>
              <w14:schemeClr w14:val="tx1">
                <w14:lumMod w14:val="95000"/>
                <w14:lumOff w14:val="5000"/>
              </w14:schemeClr>
            </w14:solidFill>
          </w14:textFill>
        </w:rPr>
        <w:t>m</w:t>
      </w:r>
      <w:r>
        <w:rPr>
          <w:color w:val="0D0D0D" w:themeColor="text1" w:themeTint="F2"/>
          <w:spacing w:val="12"/>
          <w:vertAlign w:val="superscript"/>
          <w14:textFill>
            <w14:solidFill>
              <w14:schemeClr w14:val="tx1">
                <w14:lumMod w14:val="95000"/>
                <w14:lumOff w14:val="5000"/>
              </w14:schemeClr>
            </w14:solidFill>
          </w14:textFill>
        </w:rPr>
        <w:t>3</w:t>
      </w:r>
      <w:r>
        <w:rPr>
          <w:color w:val="0D0D0D" w:themeColor="text1" w:themeTint="F2"/>
          <w:spacing w:val="12"/>
          <w14:textFill>
            <w14:solidFill>
              <w14:schemeClr w14:val="tx1">
                <w14:lumMod w14:val="95000"/>
                <w14:lumOff w14:val="5000"/>
              </w14:schemeClr>
            </w14:solidFill>
          </w14:textFill>
        </w:rPr>
        <w:t>/</w:t>
      </w:r>
      <w:r>
        <w:rPr>
          <w:rFonts w:hint="eastAsia"/>
          <w:color w:val="0D0D0D" w:themeColor="text1" w:themeTint="F2"/>
          <w:spacing w:val="12"/>
          <w14:textFill>
            <w14:solidFill>
              <w14:schemeClr w14:val="tx1">
                <w14:lumMod w14:val="95000"/>
                <w14:lumOff w14:val="5000"/>
              </w14:schemeClr>
            </w14:solidFill>
          </w14:textFill>
        </w:rPr>
        <w:t>a</w:t>
      </w:r>
      <w:r>
        <w:rPr>
          <w:color w:val="0D0D0D" w:themeColor="text1" w:themeTint="F2"/>
          <w:spacing w:val="12"/>
          <w14:textFill>
            <w14:solidFill>
              <w14:schemeClr w14:val="tx1">
                <w14:lumMod w14:val="95000"/>
                <w14:lumOff w14:val="5000"/>
              </w14:schemeClr>
            </w14:solidFill>
          </w14:textFill>
        </w:rPr>
        <w:t>。</w:t>
      </w:r>
    </w:p>
    <w:p w14:paraId="66AD0C21">
      <w:pPr>
        <w:ind w:firstLine="440" w:firstLineChars="200"/>
        <w:rPr>
          <w:rFonts w:cs="宋体"/>
          <w:bCs/>
          <w:color w:val="0D0D0D" w:themeColor="text1" w:themeTint="F2"/>
          <w:spacing w:val="-10"/>
          <w:u w:val="single"/>
          <w14:textFill>
            <w14:solidFill>
              <w14:schemeClr w14:val="tx1">
                <w14:lumMod w14:val="95000"/>
                <w14:lumOff w14:val="5000"/>
              </w14:schemeClr>
            </w14:solidFill>
          </w14:textFill>
        </w:rPr>
      </w:pPr>
      <w:r>
        <w:rPr>
          <w:rFonts w:hint="eastAsia" w:cs="宋体"/>
          <w:bCs/>
          <w:color w:val="0D0D0D" w:themeColor="text1" w:themeTint="F2"/>
          <w:spacing w:val="-10"/>
          <w:u w:val="single"/>
          <w14:textFill>
            <w14:solidFill>
              <w14:schemeClr w14:val="tx1">
                <w14:lumMod w14:val="95000"/>
                <w14:lumOff w14:val="5000"/>
              </w14:schemeClr>
            </w14:solidFill>
          </w14:textFill>
        </w:rPr>
        <w:t>厂区设置初期雨水收集系统，初期雨水经1个284m</w:t>
      </w:r>
      <w:r>
        <w:rPr>
          <w:rFonts w:hint="eastAsia" w:cs="宋体"/>
          <w:bCs/>
          <w:color w:val="0D0D0D" w:themeColor="text1" w:themeTint="F2"/>
          <w:spacing w:val="-10"/>
          <w:u w:val="single"/>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u w:val="single"/>
          <w14:textFill>
            <w14:solidFill>
              <w14:schemeClr w14:val="tx1">
                <w14:lumMod w14:val="95000"/>
                <w14:lumOff w14:val="5000"/>
              </w14:schemeClr>
            </w14:solidFill>
          </w14:textFill>
        </w:rPr>
        <w:t>的初期雨水池收集后，接入污水处理站与生产废水一并处理。雨水收集系统设置转换阀切换系统，后期雨水直接排出厂外。</w:t>
      </w:r>
    </w:p>
    <w:p w14:paraId="67FE378F">
      <w:pPr>
        <w:ind w:firstLine="440" w:firstLineChars="200"/>
        <w:rPr>
          <w:rFonts w:cs="宋体"/>
          <w:bCs/>
          <w:color w:val="0D0D0D" w:themeColor="text1" w:themeTint="F2"/>
          <w:spacing w:val="-10"/>
          <w14:textFill>
            <w14:solidFill>
              <w14:schemeClr w14:val="tx1">
                <w14:lumMod w14:val="95000"/>
                <w14:lumOff w14:val="5000"/>
              </w14:schemeClr>
            </w14:solidFill>
          </w14:textFill>
        </w:rPr>
      </w:pPr>
      <w:r>
        <w:rPr>
          <w:rFonts w:hint="eastAsia" w:cs="宋体"/>
          <w:bCs/>
          <w:color w:val="0D0D0D" w:themeColor="text1" w:themeTint="F2"/>
          <w:spacing w:val="-10"/>
          <w14:textFill>
            <w14:solidFill>
              <w14:schemeClr w14:val="tx1">
                <w14:lumMod w14:val="95000"/>
                <w14:lumOff w14:val="5000"/>
              </w14:schemeClr>
            </w14:solidFill>
          </w14:textFill>
        </w:rPr>
        <w:t>项目生产线水平衡详见表3.2-7，水平衡详见表3.2-8，水平衡图详见图3.2-3。</w:t>
      </w:r>
    </w:p>
    <w:p w14:paraId="50E4D650">
      <w:pPr>
        <w:pStyle w:val="11"/>
      </w:pPr>
      <w:r>
        <w:rPr>
          <w:rFonts w:hint="eastAsia"/>
        </w:rPr>
        <w:t xml:space="preserve"> 生产线水平衡表</w:t>
      </w:r>
    </w:p>
    <w:p w14:paraId="49DA721B">
      <w:pPr>
        <w:jc w:val="center"/>
        <w:rPr>
          <w:rFonts w:hint="eastAsia"/>
        </w:rPr>
      </w:pPr>
      <w:r>
        <w:rPr>
          <w:rFonts w:hint="eastAsia"/>
        </w:rPr>
        <w:t>（涉密，公示本已删除）</w:t>
      </w:r>
    </w:p>
    <w:p w14:paraId="0BD2A8CC">
      <w:pPr>
        <w:pStyle w:val="11"/>
      </w:pPr>
      <w:r>
        <w:rPr>
          <w:rFonts w:hint="eastAsia"/>
        </w:rPr>
        <w:t xml:space="preserve"> 项目水平衡表</w:t>
      </w:r>
    </w:p>
    <w:p w14:paraId="7D89FCE2">
      <w:pPr>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（涉密，公示本已删除）</w:t>
      </w:r>
    </w:p>
    <w:p w14:paraId="5E23464F">
      <w:pPr>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（涉密，公示本已删除）</w:t>
      </w:r>
    </w:p>
    <w:p w14:paraId="4EC41856">
      <w:pPr>
        <w:pStyle w:val="12"/>
      </w:pPr>
      <w:r>
        <w:rPr>
          <w:rFonts w:hint="eastAsia"/>
        </w:rPr>
        <w:t xml:space="preserve"> 水平衡图</w:t>
      </w:r>
    </w:p>
    <w:p w14:paraId="544BAE2E">
      <w:pPr>
        <w:pStyle w:val="10"/>
      </w:pPr>
      <w:r>
        <w:rPr>
          <w:rFonts w:hint="eastAsia"/>
        </w:rPr>
        <w:t>甲醇平衡</w:t>
      </w:r>
    </w:p>
    <w:p w14:paraId="5BBB59C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项目生产线甲醇平衡详见表3.2-9。</w:t>
      </w:r>
    </w:p>
    <w:p w14:paraId="794A63D3">
      <w:pPr>
        <w:pStyle w:val="11"/>
      </w:pPr>
      <w:r>
        <w:rPr>
          <w:rFonts w:hint="eastAsia"/>
        </w:rPr>
        <w:t xml:space="preserve"> 生产线甲醇平衡一览表</w:t>
      </w:r>
    </w:p>
    <w:p w14:paraId="05A8ABFD">
      <w:pPr>
        <w:jc w:val="center"/>
        <w:rPr>
          <w:rFonts w:hint="eastAsia"/>
        </w:rPr>
      </w:pPr>
      <w:r>
        <w:rPr>
          <w:rFonts w:hint="eastAsia"/>
        </w:rPr>
        <w:t>（涉密，公示本已删除）</w:t>
      </w:r>
    </w:p>
    <w:p w14:paraId="03A876A0">
      <w:pPr>
        <w:spacing w:line="240" w:lineRule="auto"/>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（涉密，公示本已删除）</w:t>
      </w:r>
    </w:p>
    <w:p w14:paraId="3050F296">
      <w:pPr>
        <w:pStyle w:val="12"/>
      </w:pPr>
      <w:r>
        <w:rPr>
          <w:rFonts w:hint="eastAsia"/>
        </w:rPr>
        <w:t xml:space="preserve"> 生产线甲醇平衡图</w:t>
      </w:r>
    </w:p>
    <w:p w14:paraId="30E17BEE">
      <w:pPr>
        <w:pStyle w:val="10"/>
      </w:pPr>
      <w:r>
        <w:rPr>
          <w:rFonts w:hint="eastAsia"/>
        </w:rPr>
        <w:t>蒸汽平衡</w:t>
      </w:r>
    </w:p>
    <w:p w14:paraId="555C319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项目蒸汽平衡详见表3.2-10。</w:t>
      </w:r>
    </w:p>
    <w:p w14:paraId="4CE6C59E">
      <w:pPr>
        <w:pStyle w:val="11"/>
      </w:pPr>
      <w:r>
        <w:rPr>
          <w:rFonts w:hint="eastAsia"/>
        </w:rPr>
        <w:t xml:space="preserve"> 蒸汽平衡一览表</w:t>
      </w:r>
    </w:p>
    <w:p w14:paraId="4DA9CE0B">
      <w:pPr>
        <w:jc w:val="center"/>
        <w:rPr>
          <w:rFonts w:hint="eastAsia"/>
        </w:rPr>
      </w:pPr>
      <w:r>
        <w:rPr>
          <w:rFonts w:hint="eastAsia"/>
        </w:rPr>
        <w:t>（涉密，公示本已删除）</w:t>
      </w:r>
    </w:p>
    <w:p w14:paraId="4F6B3BAA">
      <w:pPr>
        <w:pStyle w:val="8"/>
        <w:rPr>
          <w:sz w:val="24"/>
        </w:rPr>
      </w:pPr>
      <w:bookmarkStart w:id="100" w:name="_Toc204062575"/>
      <w:r>
        <w:rPr>
          <w:rFonts w:hint="eastAsia"/>
        </w:rPr>
        <w:t>污染源分析</w:t>
      </w:r>
      <w:bookmarkEnd w:id="100"/>
    </w:p>
    <w:p w14:paraId="3671F1E1">
      <w:pPr>
        <w:pStyle w:val="9"/>
        <w:numPr>
          <w:ilvl w:val="2"/>
          <w:numId w:val="33"/>
        </w:numPr>
      </w:pPr>
      <w:bookmarkStart w:id="101" w:name="_Toc204062576"/>
      <w:r>
        <w:rPr>
          <w:rFonts w:hint="eastAsia"/>
        </w:rPr>
        <w:t>施工期污染源分析</w:t>
      </w:r>
      <w:bookmarkEnd w:id="101"/>
    </w:p>
    <w:p w14:paraId="0859F33D">
      <w:pPr>
        <w:pStyle w:val="10"/>
      </w:pPr>
      <w:r>
        <w:rPr>
          <w:rFonts w:hint="eastAsia"/>
        </w:rPr>
        <w:t>施工废气污染源分析</w:t>
      </w:r>
    </w:p>
    <w:p w14:paraId="17D0310C">
      <w:pPr>
        <w:autoSpaceDE w:val="0"/>
        <w:autoSpaceDN w:val="0"/>
        <w:ind w:firstLine="480" w:firstLineChars="200"/>
        <w:rPr>
          <w:rFonts w:cs="Times New Roman"/>
          <w:color w:val="0D0D0D" w:themeColor="text1" w:themeTint="F2"/>
          <w:szCs w:val="24"/>
          <w14:textFill>
            <w14:solidFill>
              <w14:schemeClr w14:val="tx1">
                <w14:lumMod w14:val="95000"/>
                <w14:lumOff w14:val="5000"/>
              </w14:schemeClr>
            </w14:solidFill>
          </w14:textFill>
        </w:rPr>
      </w:pPr>
      <w:bookmarkStart w:id="102" w:name="_Hlk166953392"/>
      <w:r>
        <w:rPr>
          <w:rFonts w:hint="eastAsia" w:cs="Times New Roman"/>
          <w:color w:val="0D0D0D" w:themeColor="text1" w:themeTint="F2"/>
          <w:szCs w:val="24"/>
          <w14:textFill>
            <w14:solidFill>
              <w14:schemeClr w14:val="tx1">
                <w14:lumMod w14:val="95000"/>
                <w14:lumOff w14:val="5000"/>
              </w14:schemeClr>
            </w14:solidFill>
          </w14:textFill>
        </w:rPr>
        <w:t>项目施工期大气污染源主要为施工扬尘和施工车辆尾气。</w:t>
      </w:r>
    </w:p>
    <w:p w14:paraId="28F64844">
      <w:pPr>
        <w:autoSpaceDE w:val="0"/>
        <w:autoSpaceDN w:val="0"/>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（1）</w:t>
      </w:r>
      <w:r>
        <w:rPr>
          <w:rFonts w:cs="Times New Roman"/>
          <w:color w:val="0D0D0D" w:themeColor="text1" w:themeTint="F2"/>
          <w:szCs w:val="24"/>
          <w14:textFill>
            <w14:solidFill>
              <w14:schemeClr w14:val="tx1">
                <w14:lumMod w14:val="95000"/>
                <w14:lumOff w14:val="5000"/>
              </w14:schemeClr>
            </w14:solidFill>
          </w14:textFill>
        </w:rPr>
        <w:t>施工扬尘</w:t>
      </w:r>
    </w:p>
    <w:p w14:paraId="0B3F274E">
      <w:pPr>
        <w:autoSpaceDE w:val="0"/>
        <w:autoSpaceDN w:val="0"/>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施工扬尘主要包括施工场地扬尘和交通运输扬尘。施工期间，扬尘主要由以下因素产生：施工场地内地表的挖掘与重整、土方和建材的运输等；干燥有风的天气，运输车辆在施工场地内和裸露施工面表面行驶；运输车辆带到周边城市道路上的泥土被过往车辆反复扬起。施工现场起尘量与物料的干湿程度、文明作业程度和风力大小有关，影响范围可达到150～300m，主要影响区域为施工现场及下风向局部区域。</w:t>
      </w:r>
    </w:p>
    <w:p w14:paraId="10D3A392">
      <w:pPr>
        <w:autoSpaceDE w:val="0"/>
        <w:autoSpaceDN w:val="0"/>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①施工场地扬尘</w:t>
      </w:r>
    </w:p>
    <w:p w14:paraId="2236CF6A">
      <w:pPr>
        <w:autoSpaceDE w:val="0"/>
        <w:autoSpaceDN w:val="0"/>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项目施工扬尘产生量参照《广西壮族自治区生态环境厅关于发布广西环境保护税应税污染物施工扬尘排污特征值系数及排放量计算方法的通告》（桂环规范〔2025〕1号）中的建筑施工工地类型核算。计算公式如下：</w:t>
      </w:r>
    </w:p>
    <w:p w14:paraId="2BBFD1E7">
      <w:pPr>
        <w:autoSpaceDE w:val="0"/>
        <w:autoSpaceDN w:val="0"/>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扬尘排放量（千克）=（扬尘产生量系数-扬尘排放量削减系数）（千克/平方米·月）×月建筑面积或施工面积（平方米）</w:t>
      </w:r>
    </w:p>
    <w:p w14:paraId="06FDBEEE">
      <w:pPr>
        <w:autoSpaceDE w:val="0"/>
        <w:autoSpaceDN w:val="0"/>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对于建筑工地按建筑面积计算。</w:t>
      </w:r>
    </w:p>
    <w:p w14:paraId="78E44DD3">
      <w:pPr>
        <w:autoSpaceDE w:val="0"/>
        <w:autoSpaceDN w:val="0"/>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项目施工扬尘产生、削减系数详见表3.3-1。</w:t>
      </w:r>
    </w:p>
    <w:p w14:paraId="1D0AA555">
      <w:pPr>
        <w:widowControl/>
        <w:spacing w:line="240" w:lineRule="auto"/>
        <w:jc w:val="left"/>
        <w:rPr>
          <w:rFonts w:cs="Times New Roman"/>
          <w:color w:val="0D0D0D" w:themeColor="text1" w:themeTint="F2"/>
          <w:szCs w:val="24"/>
          <w14:textFill>
            <w14:solidFill>
              <w14:schemeClr w14:val="tx1">
                <w14:lumMod w14:val="95000"/>
                <w14:lumOff w14:val="5000"/>
              </w14:schemeClr>
            </w14:solidFill>
          </w14:textFill>
        </w:rPr>
      </w:pPr>
      <w:r>
        <w:rPr>
          <w:rFonts w:cs="Times New Roman"/>
          <w:color w:val="0D0D0D" w:themeColor="text1" w:themeTint="F2"/>
          <w:szCs w:val="24"/>
          <w14:textFill>
            <w14:solidFill>
              <w14:schemeClr w14:val="tx1">
                <w14:lumMod w14:val="95000"/>
                <w14:lumOff w14:val="5000"/>
              </w14:schemeClr>
            </w14:solidFill>
          </w14:textFill>
        </w:rPr>
        <w:br w:type="page"/>
      </w:r>
    </w:p>
    <w:p w14:paraId="698A9FB8">
      <w:pPr>
        <w:pStyle w:val="11"/>
        <w:numPr>
          <w:ilvl w:val="4"/>
          <w:numId w:val="34"/>
        </w:numPr>
      </w:pPr>
      <w:r>
        <w:rPr>
          <w:rFonts w:hint="eastAsia"/>
        </w:rPr>
        <w:t xml:space="preserve"> 施工扬尘产生、削减系数表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3"/>
        <w:gridCol w:w="1299"/>
        <w:gridCol w:w="3018"/>
        <w:gridCol w:w="1603"/>
        <w:gridCol w:w="989"/>
      </w:tblGrid>
      <w:tr w14:paraId="74533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65" w:type="pct"/>
            <w:gridSpan w:val="2"/>
            <w:vAlign w:val="center"/>
          </w:tcPr>
          <w:p w14:paraId="061E50A8">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工地类型</w:t>
            </w:r>
          </w:p>
        </w:tc>
        <w:tc>
          <w:tcPr>
            <w:tcW w:w="3035" w:type="pct"/>
            <w:gridSpan w:val="3"/>
            <w:vAlign w:val="center"/>
          </w:tcPr>
          <w:p w14:paraId="5408E557">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扬尘产生量系数（千克/平方米·月）</w:t>
            </w:r>
          </w:p>
        </w:tc>
      </w:tr>
      <w:tr w14:paraId="7A079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65" w:type="pct"/>
            <w:gridSpan w:val="2"/>
            <w:vAlign w:val="center"/>
          </w:tcPr>
          <w:p w14:paraId="366BBB3C">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建筑施工</w:t>
            </w:r>
          </w:p>
        </w:tc>
        <w:tc>
          <w:tcPr>
            <w:tcW w:w="3035" w:type="pct"/>
            <w:gridSpan w:val="3"/>
            <w:vAlign w:val="center"/>
          </w:tcPr>
          <w:p w14:paraId="5DFACFED">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1.01</w:t>
            </w:r>
          </w:p>
        </w:tc>
      </w:tr>
      <w:tr w14:paraId="63C74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65" w:type="pct"/>
            <w:gridSpan w:val="2"/>
            <w:vAlign w:val="center"/>
          </w:tcPr>
          <w:p w14:paraId="1119244D">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市政（拆迁）施工</w:t>
            </w:r>
          </w:p>
        </w:tc>
        <w:tc>
          <w:tcPr>
            <w:tcW w:w="3035" w:type="pct"/>
            <w:gridSpan w:val="3"/>
            <w:vAlign w:val="center"/>
          </w:tcPr>
          <w:p w14:paraId="0C924E01">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1.64</w:t>
            </w:r>
          </w:p>
        </w:tc>
      </w:tr>
      <w:tr w14:paraId="7BDBB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2" w:type="pct"/>
            <w:vMerge w:val="restart"/>
            <w:vAlign w:val="center"/>
          </w:tcPr>
          <w:p w14:paraId="6DFE6032">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工地类型</w:t>
            </w:r>
          </w:p>
        </w:tc>
        <w:tc>
          <w:tcPr>
            <w:tcW w:w="703" w:type="pct"/>
            <w:vMerge w:val="restart"/>
            <w:vAlign w:val="center"/>
          </w:tcPr>
          <w:p w14:paraId="52BD4185">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扬尘类型</w:t>
            </w:r>
          </w:p>
        </w:tc>
        <w:tc>
          <w:tcPr>
            <w:tcW w:w="1633" w:type="pct"/>
            <w:vMerge w:val="restart"/>
            <w:vAlign w:val="center"/>
          </w:tcPr>
          <w:p w14:paraId="41875FC3">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扬尘污染控制措施</w:t>
            </w:r>
          </w:p>
        </w:tc>
        <w:tc>
          <w:tcPr>
            <w:tcW w:w="1402" w:type="pct"/>
            <w:gridSpan w:val="2"/>
            <w:vAlign w:val="center"/>
          </w:tcPr>
          <w:p w14:paraId="01718A85">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扬尘排放量削减系数</w:t>
            </w:r>
          </w:p>
        </w:tc>
      </w:tr>
      <w:tr w14:paraId="5DC2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2" w:type="pct"/>
            <w:vMerge w:val="continue"/>
            <w:vAlign w:val="center"/>
          </w:tcPr>
          <w:p w14:paraId="375AE6C9">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703" w:type="pct"/>
            <w:vMerge w:val="continue"/>
            <w:vAlign w:val="center"/>
          </w:tcPr>
          <w:p w14:paraId="35547554">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633" w:type="pct"/>
            <w:vMerge w:val="continue"/>
            <w:vAlign w:val="center"/>
          </w:tcPr>
          <w:p w14:paraId="0425D5DC">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402" w:type="pct"/>
            <w:gridSpan w:val="2"/>
            <w:vAlign w:val="center"/>
          </w:tcPr>
          <w:p w14:paraId="3A8A1132">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措施达标</w:t>
            </w:r>
          </w:p>
        </w:tc>
      </w:tr>
      <w:tr w14:paraId="0E07A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2" w:type="pct"/>
            <w:vMerge w:val="continue"/>
            <w:vAlign w:val="center"/>
          </w:tcPr>
          <w:p w14:paraId="07140FF7">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703" w:type="pct"/>
            <w:vMerge w:val="continue"/>
            <w:vAlign w:val="center"/>
          </w:tcPr>
          <w:p w14:paraId="27B53692">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633" w:type="pct"/>
            <w:vMerge w:val="continue"/>
            <w:vAlign w:val="center"/>
          </w:tcPr>
          <w:p w14:paraId="6DFB4F96">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867" w:type="pct"/>
            <w:vAlign w:val="center"/>
          </w:tcPr>
          <w:p w14:paraId="5D291172">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是</w:t>
            </w:r>
          </w:p>
        </w:tc>
        <w:tc>
          <w:tcPr>
            <w:tcW w:w="535" w:type="pct"/>
            <w:vAlign w:val="center"/>
          </w:tcPr>
          <w:p w14:paraId="0B8F283F">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否</w:t>
            </w:r>
          </w:p>
        </w:tc>
      </w:tr>
      <w:tr w14:paraId="69B1A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2" w:type="pct"/>
            <w:vMerge w:val="restart"/>
            <w:vAlign w:val="center"/>
          </w:tcPr>
          <w:p w14:paraId="568EE76A">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建筑施工</w:t>
            </w:r>
          </w:p>
        </w:tc>
        <w:tc>
          <w:tcPr>
            <w:tcW w:w="703" w:type="pct"/>
            <w:vMerge w:val="restart"/>
            <w:vAlign w:val="center"/>
          </w:tcPr>
          <w:p w14:paraId="4350B150">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一次扬尘</w:t>
            </w:r>
          </w:p>
        </w:tc>
        <w:tc>
          <w:tcPr>
            <w:tcW w:w="1633" w:type="pct"/>
            <w:vAlign w:val="center"/>
          </w:tcPr>
          <w:p w14:paraId="09AF21CF">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道路硬化措施</w:t>
            </w:r>
          </w:p>
        </w:tc>
        <w:tc>
          <w:tcPr>
            <w:tcW w:w="867" w:type="pct"/>
            <w:vAlign w:val="center"/>
          </w:tcPr>
          <w:p w14:paraId="1EB0AA37">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0.071</w:t>
            </w:r>
          </w:p>
        </w:tc>
        <w:tc>
          <w:tcPr>
            <w:tcW w:w="535" w:type="pct"/>
            <w:vAlign w:val="center"/>
          </w:tcPr>
          <w:p w14:paraId="7A7EB34E">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w:t>
            </w:r>
          </w:p>
        </w:tc>
      </w:tr>
      <w:tr w14:paraId="6116A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2" w:type="pct"/>
            <w:vMerge w:val="continue"/>
            <w:vAlign w:val="center"/>
          </w:tcPr>
          <w:p w14:paraId="5E8B00F4">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703" w:type="pct"/>
            <w:vMerge w:val="continue"/>
            <w:vAlign w:val="center"/>
          </w:tcPr>
          <w:p w14:paraId="15B0847C">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633" w:type="pct"/>
            <w:vAlign w:val="center"/>
          </w:tcPr>
          <w:p w14:paraId="2FD7357B">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边界围挡</w:t>
            </w:r>
          </w:p>
        </w:tc>
        <w:tc>
          <w:tcPr>
            <w:tcW w:w="867" w:type="pct"/>
            <w:vAlign w:val="center"/>
          </w:tcPr>
          <w:p w14:paraId="6E2B7E81">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0.047</w:t>
            </w:r>
          </w:p>
        </w:tc>
        <w:tc>
          <w:tcPr>
            <w:tcW w:w="535" w:type="pct"/>
            <w:vAlign w:val="center"/>
          </w:tcPr>
          <w:p w14:paraId="15A11E5E">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w:t>
            </w:r>
          </w:p>
        </w:tc>
      </w:tr>
      <w:tr w14:paraId="7AC81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2" w:type="pct"/>
            <w:vMerge w:val="continue"/>
            <w:vAlign w:val="center"/>
          </w:tcPr>
          <w:p w14:paraId="3D1A6D48">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703" w:type="pct"/>
            <w:vMerge w:val="continue"/>
            <w:vAlign w:val="center"/>
          </w:tcPr>
          <w:p w14:paraId="39DF3DBF">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633" w:type="pct"/>
            <w:vAlign w:val="center"/>
          </w:tcPr>
          <w:p w14:paraId="44509304">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裸露地面覆盖</w:t>
            </w:r>
          </w:p>
        </w:tc>
        <w:tc>
          <w:tcPr>
            <w:tcW w:w="867" w:type="pct"/>
            <w:vAlign w:val="center"/>
          </w:tcPr>
          <w:p w14:paraId="6224D6FE">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0.047</w:t>
            </w:r>
          </w:p>
        </w:tc>
        <w:tc>
          <w:tcPr>
            <w:tcW w:w="535" w:type="pct"/>
            <w:vAlign w:val="center"/>
          </w:tcPr>
          <w:p w14:paraId="3A58C69C">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w:t>
            </w:r>
          </w:p>
        </w:tc>
      </w:tr>
      <w:tr w14:paraId="0882D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2" w:type="pct"/>
            <w:vMerge w:val="continue"/>
            <w:vAlign w:val="center"/>
          </w:tcPr>
          <w:p w14:paraId="6A234E24">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703" w:type="pct"/>
            <w:vMerge w:val="continue"/>
            <w:vAlign w:val="center"/>
          </w:tcPr>
          <w:p w14:paraId="6779AEB1">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633" w:type="pct"/>
            <w:vAlign w:val="center"/>
          </w:tcPr>
          <w:p w14:paraId="422FA08E">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易扬尘物料覆盖</w:t>
            </w:r>
          </w:p>
        </w:tc>
        <w:tc>
          <w:tcPr>
            <w:tcW w:w="867" w:type="pct"/>
            <w:vAlign w:val="center"/>
          </w:tcPr>
          <w:p w14:paraId="382F42C6">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0.025</w:t>
            </w:r>
          </w:p>
        </w:tc>
        <w:tc>
          <w:tcPr>
            <w:tcW w:w="535" w:type="pct"/>
            <w:vAlign w:val="center"/>
          </w:tcPr>
          <w:p w14:paraId="082181F2">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w:t>
            </w:r>
          </w:p>
        </w:tc>
      </w:tr>
      <w:tr w14:paraId="4B640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2" w:type="pct"/>
            <w:vMerge w:val="continue"/>
            <w:vAlign w:val="center"/>
          </w:tcPr>
          <w:p w14:paraId="1E6B4E62">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703" w:type="pct"/>
            <w:vMerge w:val="continue"/>
            <w:vAlign w:val="center"/>
          </w:tcPr>
          <w:p w14:paraId="15AAB855">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633" w:type="pct"/>
            <w:vAlign w:val="center"/>
          </w:tcPr>
          <w:p w14:paraId="516E473B">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定期喷洒抑制剂</w:t>
            </w:r>
          </w:p>
        </w:tc>
        <w:tc>
          <w:tcPr>
            <w:tcW w:w="867" w:type="pct"/>
            <w:vAlign w:val="center"/>
          </w:tcPr>
          <w:p w14:paraId="0EAF7EAC">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0.03</w:t>
            </w:r>
          </w:p>
        </w:tc>
        <w:tc>
          <w:tcPr>
            <w:tcW w:w="535" w:type="pct"/>
            <w:vAlign w:val="center"/>
          </w:tcPr>
          <w:p w14:paraId="7D9B56F6">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w:t>
            </w:r>
          </w:p>
        </w:tc>
      </w:tr>
      <w:tr w14:paraId="3D9BF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2" w:type="pct"/>
            <w:vMerge w:val="continue"/>
            <w:vAlign w:val="center"/>
          </w:tcPr>
          <w:p w14:paraId="57ED5F88">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703" w:type="pct"/>
            <w:vMerge w:val="restart"/>
            <w:vAlign w:val="center"/>
          </w:tcPr>
          <w:p w14:paraId="4876B986">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二次扬尘</w:t>
            </w:r>
          </w:p>
        </w:tc>
        <w:tc>
          <w:tcPr>
            <w:tcW w:w="1633" w:type="pct"/>
            <w:vAlign w:val="center"/>
          </w:tcPr>
          <w:p w14:paraId="0DB830B6">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运输车辆机械冲洗装置</w:t>
            </w:r>
          </w:p>
        </w:tc>
        <w:tc>
          <w:tcPr>
            <w:tcW w:w="867" w:type="pct"/>
            <w:vAlign w:val="center"/>
          </w:tcPr>
          <w:p w14:paraId="6E316039">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0.31</w:t>
            </w:r>
          </w:p>
        </w:tc>
        <w:tc>
          <w:tcPr>
            <w:tcW w:w="535" w:type="pct"/>
            <w:vAlign w:val="center"/>
          </w:tcPr>
          <w:p w14:paraId="77456E0E">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w:t>
            </w:r>
          </w:p>
        </w:tc>
      </w:tr>
      <w:tr w14:paraId="682D3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2" w:type="pct"/>
            <w:vMerge w:val="continue"/>
            <w:vAlign w:val="center"/>
          </w:tcPr>
          <w:p w14:paraId="23AAC22C">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703" w:type="pct"/>
            <w:vMerge w:val="continue"/>
            <w:vAlign w:val="center"/>
          </w:tcPr>
          <w:p w14:paraId="68E7CC6D">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633" w:type="pct"/>
            <w:vAlign w:val="center"/>
          </w:tcPr>
          <w:p w14:paraId="1F9A6584">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运输车辆简易冲洗装置</w:t>
            </w:r>
          </w:p>
        </w:tc>
        <w:tc>
          <w:tcPr>
            <w:tcW w:w="867" w:type="pct"/>
            <w:vAlign w:val="center"/>
          </w:tcPr>
          <w:p w14:paraId="01352C5C">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0.155</w:t>
            </w:r>
          </w:p>
        </w:tc>
        <w:tc>
          <w:tcPr>
            <w:tcW w:w="535" w:type="pct"/>
            <w:vAlign w:val="center"/>
          </w:tcPr>
          <w:p w14:paraId="6FF369C2">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w:t>
            </w:r>
          </w:p>
        </w:tc>
      </w:tr>
      <w:tr w14:paraId="475DD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2" w:type="pct"/>
            <w:vMerge w:val="restart"/>
            <w:vAlign w:val="center"/>
          </w:tcPr>
          <w:p w14:paraId="2A4AC516">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市政（拆迁）施工</w:t>
            </w:r>
          </w:p>
        </w:tc>
        <w:tc>
          <w:tcPr>
            <w:tcW w:w="703" w:type="pct"/>
            <w:vMerge w:val="restart"/>
            <w:vAlign w:val="center"/>
          </w:tcPr>
          <w:p w14:paraId="1177AB38">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一次扬尘</w:t>
            </w:r>
          </w:p>
        </w:tc>
        <w:tc>
          <w:tcPr>
            <w:tcW w:w="1633" w:type="pct"/>
            <w:vAlign w:val="center"/>
          </w:tcPr>
          <w:p w14:paraId="36F04F19">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道路硬化措施</w:t>
            </w:r>
          </w:p>
        </w:tc>
        <w:tc>
          <w:tcPr>
            <w:tcW w:w="867" w:type="pct"/>
            <w:vAlign w:val="center"/>
          </w:tcPr>
          <w:p w14:paraId="3C173E0F">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0.102</w:t>
            </w:r>
          </w:p>
        </w:tc>
        <w:tc>
          <w:tcPr>
            <w:tcW w:w="535" w:type="pct"/>
            <w:vAlign w:val="center"/>
          </w:tcPr>
          <w:p w14:paraId="62B4A654">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w:t>
            </w:r>
          </w:p>
        </w:tc>
      </w:tr>
      <w:tr w14:paraId="45433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2" w:type="pct"/>
            <w:vMerge w:val="continue"/>
            <w:vAlign w:val="center"/>
          </w:tcPr>
          <w:p w14:paraId="775021B2">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703" w:type="pct"/>
            <w:vMerge w:val="continue"/>
            <w:vAlign w:val="center"/>
          </w:tcPr>
          <w:p w14:paraId="58299B1B">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633" w:type="pct"/>
            <w:vAlign w:val="center"/>
          </w:tcPr>
          <w:p w14:paraId="4F3034F2">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边界围挡</w:t>
            </w:r>
          </w:p>
        </w:tc>
        <w:tc>
          <w:tcPr>
            <w:tcW w:w="867" w:type="pct"/>
            <w:vAlign w:val="center"/>
          </w:tcPr>
          <w:p w14:paraId="076C1577">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0.102</w:t>
            </w:r>
          </w:p>
        </w:tc>
        <w:tc>
          <w:tcPr>
            <w:tcW w:w="535" w:type="pct"/>
            <w:vAlign w:val="center"/>
          </w:tcPr>
          <w:p w14:paraId="588018C5">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w:t>
            </w:r>
          </w:p>
        </w:tc>
      </w:tr>
      <w:tr w14:paraId="3CFBC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2" w:type="pct"/>
            <w:vMerge w:val="continue"/>
            <w:vAlign w:val="center"/>
          </w:tcPr>
          <w:p w14:paraId="3E2171B3">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703" w:type="pct"/>
            <w:vMerge w:val="continue"/>
            <w:vAlign w:val="center"/>
          </w:tcPr>
          <w:p w14:paraId="2413A650">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633" w:type="pct"/>
            <w:vAlign w:val="center"/>
          </w:tcPr>
          <w:p w14:paraId="20E00D14">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易扬尘物料覆盖</w:t>
            </w:r>
          </w:p>
        </w:tc>
        <w:tc>
          <w:tcPr>
            <w:tcW w:w="867" w:type="pct"/>
            <w:vAlign w:val="center"/>
          </w:tcPr>
          <w:p w14:paraId="4E626CB7">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0.066</w:t>
            </w:r>
          </w:p>
        </w:tc>
        <w:tc>
          <w:tcPr>
            <w:tcW w:w="535" w:type="pct"/>
            <w:vAlign w:val="center"/>
          </w:tcPr>
          <w:p w14:paraId="30F18804">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w:t>
            </w:r>
          </w:p>
        </w:tc>
      </w:tr>
      <w:tr w14:paraId="789E8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2" w:type="pct"/>
            <w:vMerge w:val="continue"/>
            <w:vAlign w:val="center"/>
          </w:tcPr>
          <w:p w14:paraId="22BFD8F3">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703" w:type="pct"/>
            <w:vMerge w:val="continue"/>
            <w:vAlign w:val="center"/>
          </w:tcPr>
          <w:p w14:paraId="34F2A69D">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633" w:type="pct"/>
            <w:vAlign w:val="center"/>
          </w:tcPr>
          <w:p w14:paraId="5BEEA1AF">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定期喷洒抑制剂</w:t>
            </w:r>
          </w:p>
        </w:tc>
        <w:tc>
          <w:tcPr>
            <w:tcW w:w="867" w:type="pct"/>
            <w:vAlign w:val="center"/>
          </w:tcPr>
          <w:p w14:paraId="6CBDAFCE">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0.03</w:t>
            </w:r>
          </w:p>
        </w:tc>
        <w:tc>
          <w:tcPr>
            <w:tcW w:w="535" w:type="pct"/>
            <w:vAlign w:val="center"/>
          </w:tcPr>
          <w:p w14:paraId="440E6DFE">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w:t>
            </w:r>
          </w:p>
        </w:tc>
      </w:tr>
      <w:tr w14:paraId="2C633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2" w:type="pct"/>
            <w:vMerge w:val="continue"/>
            <w:vAlign w:val="center"/>
          </w:tcPr>
          <w:p w14:paraId="73FC027F">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703" w:type="pct"/>
            <w:vMerge w:val="restart"/>
            <w:vAlign w:val="center"/>
          </w:tcPr>
          <w:p w14:paraId="25F8C4BD">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二次扬尘</w:t>
            </w:r>
          </w:p>
        </w:tc>
        <w:tc>
          <w:tcPr>
            <w:tcW w:w="1633" w:type="pct"/>
            <w:vAlign w:val="center"/>
          </w:tcPr>
          <w:p w14:paraId="53A05137">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运输车辆机械冲洗装置</w:t>
            </w:r>
          </w:p>
        </w:tc>
        <w:tc>
          <w:tcPr>
            <w:tcW w:w="867" w:type="pct"/>
            <w:vAlign w:val="center"/>
          </w:tcPr>
          <w:p w14:paraId="48587A8E">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0.68</w:t>
            </w:r>
          </w:p>
        </w:tc>
        <w:tc>
          <w:tcPr>
            <w:tcW w:w="535" w:type="pct"/>
            <w:vAlign w:val="center"/>
          </w:tcPr>
          <w:p w14:paraId="05626FAF">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w:t>
            </w:r>
          </w:p>
        </w:tc>
      </w:tr>
      <w:tr w14:paraId="23F18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2" w:type="pct"/>
            <w:vMerge w:val="continue"/>
            <w:vAlign w:val="center"/>
          </w:tcPr>
          <w:p w14:paraId="74EAF7EB">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703" w:type="pct"/>
            <w:vMerge w:val="continue"/>
            <w:vAlign w:val="center"/>
          </w:tcPr>
          <w:p w14:paraId="7535FA96">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633" w:type="pct"/>
            <w:vAlign w:val="center"/>
          </w:tcPr>
          <w:p w14:paraId="32DB5563">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运输车辆简易冲洗装置</w:t>
            </w:r>
          </w:p>
        </w:tc>
        <w:tc>
          <w:tcPr>
            <w:tcW w:w="867" w:type="pct"/>
            <w:vAlign w:val="center"/>
          </w:tcPr>
          <w:p w14:paraId="23678B69">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0.034</w:t>
            </w:r>
          </w:p>
        </w:tc>
        <w:tc>
          <w:tcPr>
            <w:tcW w:w="535" w:type="pct"/>
            <w:vAlign w:val="center"/>
          </w:tcPr>
          <w:p w14:paraId="565C09D1">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w:t>
            </w:r>
          </w:p>
        </w:tc>
      </w:tr>
    </w:tbl>
    <w:p w14:paraId="04A77107">
      <w:pPr>
        <w:autoSpaceDE w:val="0"/>
        <w:autoSpaceDN w:val="0"/>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根据项目设计资料，项目建筑面积为6380.2m</w:t>
      </w:r>
      <w:r>
        <w:rPr>
          <w:rFonts w:hint="eastAsia" w:cs="Times New Roman"/>
          <w:color w:val="0D0D0D" w:themeColor="text1" w:themeTint="F2"/>
          <w:szCs w:val="24"/>
          <w:vertAlign w:val="superscript"/>
          <w14:textFill>
            <w14:solidFill>
              <w14:schemeClr w14:val="tx1">
                <w14:lumMod w14:val="95000"/>
                <w14:lumOff w14:val="5000"/>
              </w14:schemeClr>
            </w14:solidFill>
          </w14:textFill>
        </w:rPr>
        <w:t>2</w:t>
      </w:r>
      <w:r>
        <w:rPr>
          <w:rFonts w:hint="eastAsia" w:cs="Times New Roman"/>
          <w:color w:val="0D0D0D" w:themeColor="text1" w:themeTint="F2"/>
          <w:szCs w:val="24"/>
          <w14:textFill>
            <w14:solidFill>
              <w14:schemeClr w14:val="tx1">
                <w14:lumMod w14:val="95000"/>
                <w14:lumOff w14:val="5000"/>
              </w14:schemeClr>
            </w14:solidFill>
          </w14:textFill>
        </w:rPr>
        <w:t>，施工现场采取道路硬化、边界围挡、裸露地面覆盖、易扬尘物料覆盖、洒水抑尘、设置冲洗装置等措施，施工扬尘排放量为：（1.01-0.071-0.047-0.047-0.025-0.03-0.155）×6380.2/1000=4.05t。</w:t>
      </w:r>
    </w:p>
    <w:p w14:paraId="0FD57A75">
      <w:pPr>
        <w:autoSpaceDE w:val="0"/>
        <w:autoSpaceDN w:val="0"/>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②交通运输扬尘</w:t>
      </w:r>
    </w:p>
    <w:p w14:paraId="0BC7813F">
      <w:pPr>
        <w:autoSpaceDE w:val="0"/>
        <w:autoSpaceDN w:val="0"/>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物料运输车辆在行驶时滚动的车轮产生扬尘，尤其是重型车辆，产生的扬尘较大，车辆行驶速度越快，产生的扬尘越大。同时，产生的扬尘量与道路的路面条件以及清洁程度有关。因此，本次评价主要进行定性评价。</w:t>
      </w:r>
    </w:p>
    <w:p w14:paraId="7FB5FDD6">
      <w:pPr>
        <w:autoSpaceDE w:val="0"/>
        <w:autoSpaceDN w:val="0"/>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（2）</w:t>
      </w:r>
      <w:r>
        <w:rPr>
          <w:rFonts w:cs="Times New Roman"/>
          <w:color w:val="0D0D0D" w:themeColor="text1" w:themeTint="F2"/>
          <w:szCs w:val="24"/>
          <w14:textFill>
            <w14:solidFill>
              <w14:schemeClr w14:val="tx1">
                <w14:lumMod w14:val="95000"/>
                <w14:lumOff w14:val="5000"/>
              </w14:schemeClr>
            </w14:solidFill>
          </w14:textFill>
        </w:rPr>
        <w:t>施工</w:t>
      </w:r>
      <w:r>
        <w:rPr>
          <w:rFonts w:hint="eastAsia" w:cs="Times New Roman"/>
          <w:color w:val="0D0D0D" w:themeColor="text1" w:themeTint="F2"/>
          <w:szCs w:val="24"/>
          <w14:textFill>
            <w14:solidFill>
              <w14:schemeClr w14:val="tx1">
                <w14:lumMod w14:val="95000"/>
                <w14:lumOff w14:val="5000"/>
              </w14:schemeClr>
            </w14:solidFill>
          </w14:textFill>
        </w:rPr>
        <w:t>车辆尾气</w:t>
      </w:r>
    </w:p>
    <w:p w14:paraId="03D8048A">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施工工程车辆如推土机、挖掘机等燃油机械和运输车辆一般都以柴油为燃料，由柴油燃烧产生的尾气中主要污染物为CO、NOx和THC，对环境造成污染。参考《汽车尾气排放量的计算方法》（陈永林，《浙江交通职业技术学院学报》，2009年第10卷第3期），不同车型的载货汽车的尾气排放污染物量详见表3.3-2。</w:t>
      </w:r>
    </w:p>
    <w:p w14:paraId="1132D71C">
      <w:pPr>
        <w:pStyle w:val="11"/>
      </w:pPr>
      <w:r>
        <w:rPr>
          <w:rFonts w:hint="eastAsia"/>
        </w:rPr>
        <w:t xml:space="preserve"> 不同车型的尾气排放污染物量</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4"/>
        <w:gridCol w:w="2312"/>
        <w:gridCol w:w="2312"/>
        <w:gridCol w:w="2314"/>
      </w:tblGrid>
      <w:tr w14:paraId="2EA5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2" w:type="dxa"/>
            <w:tcBorders>
              <w:tl2br w:val="single" w:color="auto" w:sz="4" w:space="0"/>
            </w:tcBorders>
            <w:vAlign w:val="center"/>
          </w:tcPr>
          <w:p w14:paraId="667310C1">
            <w:pPr>
              <w:spacing w:line="240" w:lineRule="auto"/>
              <w:jc w:val="right"/>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污染物</w:t>
            </w:r>
          </w:p>
          <w:p w14:paraId="6756B62B">
            <w:pPr>
              <w:spacing w:line="240" w:lineRule="auto"/>
              <w:jc w:val="left"/>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分类</w:t>
            </w:r>
          </w:p>
        </w:tc>
        <w:tc>
          <w:tcPr>
            <w:tcW w:w="2322" w:type="dxa"/>
            <w:vAlign w:val="center"/>
          </w:tcPr>
          <w:p w14:paraId="04978BB5">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CO</w:t>
            </w:r>
          </w:p>
          <w:p w14:paraId="44D74A70">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g/（km·辆）</w:t>
            </w:r>
          </w:p>
        </w:tc>
        <w:tc>
          <w:tcPr>
            <w:tcW w:w="2322" w:type="dxa"/>
            <w:vAlign w:val="center"/>
          </w:tcPr>
          <w:p w14:paraId="124F808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NOx</w:t>
            </w:r>
          </w:p>
          <w:p w14:paraId="0F03A793">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g/（km·辆）</w:t>
            </w:r>
          </w:p>
        </w:tc>
        <w:tc>
          <w:tcPr>
            <w:tcW w:w="2323" w:type="dxa"/>
            <w:vAlign w:val="center"/>
          </w:tcPr>
          <w:p w14:paraId="1A4059AB">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THC</w:t>
            </w:r>
          </w:p>
          <w:p w14:paraId="31BCAF7E">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g/（km·辆）</w:t>
            </w:r>
          </w:p>
        </w:tc>
      </w:tr>
      <w:tr w14:paraId="0F2DD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2" w:type="dxa"/>
            <w:vAlign w:val="center"/>
          </w:tcPr>
          <w:p w14:paraId="13E2EFF2">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轻型车</w:t>
            </w:r>
          </w:p>
        </w:tc>
        <w:tc>
          <w:tcPr>
            <w:tcW w:w="2322" w:type="dxa"/>
            <w:vAlign w:val="center"/>
          </w:tcPr>
          <w:p w14:paraId="041BE13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1.0</w:t>
            </w:r>
          </w:p>
        </w:tc>
        <w:tc>
          <w:tcPr>
            <w:tcW w:w="2322" w:type="dxa"/>
            <w:vAlign w:val="center"/>
          </w:tcPr>
          <w:p w14:paraId="3C9CE88E">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1.5</w:t>
            </w:r>
          </w:p>
        </w:tc>
        <w:tc>
          <w:tcPr>
            <w:tcW w:w="2323" w:type="dxa"/>
            <w:vAlign w:val="center"/>
          </w:tcPr>
          <w:p w14:paraId="6A92720A">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0.2</w:t>
            </w:r>
          </w:p>
        </w:tc>
      </w:tr>
      <w:tr w14:paraId="64019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2" w:type="dxa"/>
            <w:vAlign w:val="center"/>
          </w:tcPr>
          <w:p w14:paraId="6D935DE1">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中型车</w:t>
            </w:r>
          </w:p>
        </w:tc>
        <w:tc>
          <w:tcPr>
            <w:tcW w:w="2322" w:type="dxa"/>
            <w:vAlign w:val="center"/>
          </w:tcPr>
          <w:p w14:paraId="49857A0C">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4.2</w:t>
            </w:r>
          </w:p>
        </w:tc>
        <w:tc>
          <w:tcPr>
            <w:tcW w:w="2322" w:type="dxa"/>
            <w:vAlign w:val="center"/>
          </w:tcPr>
          <w:p w14:paraId="20A7FB33">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1.9</w:t>
            </w:r>
          </w:p>
        </w:tc>
        <w:tc>
          <w:tcPr>
            <w:tcW w:w="2323" w:type="dxa"/>
            <w:vAlign w:val="center"/>
          </w:tcPr>
          <w:p w14:paraId="675C8906">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1.1</w:t>
            </w:r>
          </w:p>
        </w:tc>
      </w:tr>
      <w:tr w14:paraId="5C424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2" w:type="dxa"/>
            <w:vAlign w:val="center"/>
          </w:tcPr>
          <w:p w14:paraId="2D5274B5">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重型车</w:t>
            </w:r>
          </w:p>
        </w:tc>
        <w:tc>
          <w:tcPr>
            <w:tcW w:w="2322" w:type="dxa"/>
            <w:vAlign w:val="center"/>
          </w:tcPr>
          <w:p w14:paraId="4F541C18">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12.7</w:t>
            </w:r>
          </w:p>
        </w:tc>
        <w:tc>
          <w:tcPr>
            <w:tcW w:w="2322" w:type="dxa"/>
            <w:vAlign w:val="center"/>
          </w:tcPr>
          <w:p w14:paraId="68C6A47A">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7.2</w:t>
            </w:r>
          </w:p>
        </w:tc>
        <w:tc>
          <w:tcPr>
            <w:tcW w:w="2323" w:type="dxa"/>
            <w:vAlign w:val="center"/>
          </w:tcPr>
          <w:p w14:paraId="27A0BB68">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1.9</w:t>
            </w:r>
          </w:p>
        </w:tc>
      </w:tr>
      <w:bookmarkEnd w:id="102"/>
    </w:tbl>
    <w:p w14:paraId="6E8D6B12">
      <w:pPr>
        <w:pStyle w:val="10"/>
      </w:pPr>
      <w:r>
        <w:rPr>
          <w:rFonts w:hint="eastAsia"/>
        </w:rPr>
        <w:t>施工废水污染源分析</w:t>
      </w:r>
    </w:p>
    <w:p w14:paraId="68C74FA5">
      <w:pPr>
        <w:autoSpaceDE w:val="0"/>
        <w:autoSpaceDN w:val="0"/>
        <w:ind w:firstLine="480" w:firstLineChars="200"/>
        <w:rPr>
          <w:rFonts w:cs="Times New Roman"/>
          <w:color w:val="0D0D0D" w:themeColor="text1" w:themeTint="F2"/>
          <w:szCs w:val="24"/>
          <w14:textFill>
            <w14:solidFill>
              <w14:schemeClr w14:val="tx1">
                <w14:lumMod w14:val="95000"/>
                <w14:lumOff w14:val="5000"/>
              </w14:schemeClr>
            </w14:solidFill>
          </w14:textFill>
        </w:rPr>
      </w:pPr>
      <w:bookmarkStart w:id="103" w:name="_Hlk166953433"/>
      <w:r>
        <w:rPr>
          <w:rFonts w:hint="eastAsia" w:cs="Times New Roman"/>
          <w:color w:val="0D0D0D" w:themeColor="text1" w:themeTint="F2"/>
          <w:szCs w:val="24"/>
          <w14:textFill>
            <w14:solidFill>
              <w14:schemeClr w14:val="tx1">
                <w14:lumMod w14:val="95000"/>
                <w14:lumOff w14:val="5000"/>
              </w14:schemeClr>
            </w14:solidFill>
          </w14:textFill>
        </w:rPr>
        <w:t>项目施工期废水主要为施工废水和生活污水</w:t>
      </w:r>
      <w:r>
        <w:rPr>
          <w:rFonts w:cs="Times New Roman"/>
          <w:color w:val="0D0D0D" w:themeColor="text1" w:themeTint="F2"/>
          <w:szCs w:val="24"/>
          <w14:textFill>
            <w14:solidFill>
              <w14:schemeClr w14:val="tx1">
                <w14:lumMod w14:val="95000"/>
                <w14:lumOff w14:val="5000"/>
              </w14:schemeClr>
            </w14:solidFill>
          </w14:textFill>
        </w:rPr>
        <w:t>。</w:t>
      </w:r>
    </w:p>
    <w:p w14:paraId="41476CC5">
      <w:pPr>
        <w:autoSpaceDE w:val="0"/>
        <w:autoSpaceDN w:val="0"/>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（1）</w:t>
      </w:r>
      <w:r>
        <w:rPr>
          <w:rFonts w:cs="Times New Roman"/>
          <w:color w:val="0D0D0D" w:themeColor="text1" w:themeTint="F2"/>
          <w:szCs w:val="24"/>
          <w14:textFill>
            <w14:solidFill>
              <w14:schemeClr w14:val="tx1">
                <w14:lumMod w14:val="95000"/>
                <w14:lumOff w14:val="5000"/>
              </w14:schemeClr>
            </w14:solidFill>
          </w14:textFill>
        </w:rPr>
        <w:t>施工废水</w:t>
      </w:r>
    </w:p>
    <w:p w14:paraId="6C2496C2">
      <w:pPr>
        <w:autoSpaceDE w:val="0"/>
        <w:autoSpaceDN w:val="0"/>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项目施工废水主要为各种施工设备和运输车辆产生的清洗废水、灌浆过程中产生的废水等，此类废水主要污染物为SS和石油类，经隔油沉淀池处理后用于洒水抑尘等，对周围环境的影响程度较小。</w:t>
      </w:r>
    </w:p>
    <w:p w14:paraId="368A1810">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（2）</w:t>
      </w:r>
      <w:r>
        <w:rPr>
          <w:rFonts w:cs="Times New Roman"/>
          <w:color w:val="0D0D0D" w:themeColor="text1" w:themeTint="F2"/>
          <w:szCs w:val="24"/>
          <w14:textFill>
            <w14:solidFill>
              <w14:schemeClr w14:val="tx1">
                <w14:lumMod w14:val="95000"/>
                <w14:lumOff w14:val="5000"/>
              </w14:schemeClr>
            </w14:solidFill>
          </w14:textFill>
        </w:rPr>
        <w:t>生活污水</w:t>
      </w:r>
    </w:p>
    <w:p w14:paraId="6AC9DDB9">
      <w:pPr>
        <w:autoSpaceDE w:val="0"/>
        <w:autoSpaceDN w:val="0"/>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施工人员均为当地民工，不在场区食宿，施工高峰期人数按50人计。</w:t>
      </w:r>
      <w:r>
        <w:rPr>
          <w:rFonts w:cs="Times New Roman"/>
          <w:color w:val="0D0D0D" w:themeColor="text1" w:themeTint="F2"/>
          <w:szCs w:val="24"/>
          <w14:textFill>
            <w14:solidFill>
              <w14:schemeClr w14:val="tx1">
                <w14:lumMod w14:val="95000"/>
                <w14:lumOff w14:val="5000"/>
              </w14:schemeClr>
            </w14:solidFill>
          </w14:textFill>
        </w:rPr>
        <w:t>根据《城镇生活用水定额》（DB45/T679-2023），</w:t>
      </w:r>
      <w:r>
        <w:rPr>
          <w:rFonts w:hint="eastAsia" w:cs="Times New Roman"/>
          <w:color w:val="0D0D0D" w:themeColor="text1" w:themeTint="F2"/>
          <w:szCs w:val="24"/>
          <w14:textFill>
            <w14:solidFill>
              <w14:schemeClr w14:val="tx1">
                <w14:lumMod w14:val="95000"/>
                <w14:lumOff w14:val="5000"/>
              </w14:schemeClr>
            </w14:solidFill>
          </w14:textFill>
        </w:rPr>
        <w:t>施工人员</w:t>
      </w:r>
      <w:r>
        <w:rPr>
          <w:rFonts w:cs="Times New Roman"/>
          <w:color w:val="0D0D0D" w:themeColor="text1" w:themeTint="F2"/>
          <w:szCs w:val="24"/>
          <w14:textFill>
            <w14:solidFill>
              <w14:schemeClr w14:val="tx1">
                <w14:lumMod w14:val="95000"/>
                <w14:lumOff w14:val="5000"/>
              </w14:schemeClr>
            </w14:solidFill>
          </w14:textFill>
        </w:rPr>
        <w:t>用水定额按50L/人·d计，</w:t>
      </w:r>
      <w:r>
        <w:rPr>
          <w:rFonts w:hint="eastAsia" w:cs="Times New Roman"/>
          <w:color w:val="0D0D0D" w:themeColor="text1" w:themeTint="F2"/>
          <w:szCs w:val="24"/>
          <w14:textFill>
            <w14:solidFill>
              <w14:schemeClr w14:val="tx1">
                <w14:lumMod w14:val="95000"/>
                <w14:lumOff w14:val="5000"/>
              </w14:schemeClr>
            </w14:solidFill>
          </w14:textFill>
        </w:rPr>
        <w:t>则生活用水量为2.5m</w:t>
      </w:r>
      <w:r>
        <w:rPr>
          <w:rFonts w:hint="eastAsia" w:cs="Times New Roman"/>
          <w:color w:val="0D0D0D" w:themeColor="text1" w:themeTint="F2"/>
          <w:szCs w:val="24"/>
          <w:vertAlign w:val="superscript"/>
          <w14:textFill>
            <w14:solidFill>
              <w14:schemeClr w14:val="tx1">
                <w14:lumMod w14:val="95000"/>
                <w14:lumOff w14:val="5000"/>
              </w14:schemeClr>
            </w14:solidFill>
          </w14:textFill>
        </w:rPr>
        <w:t>3</w:t>
      </w:r>
      <w:r>
        <w:rPr>
          <w:rFonts w:hint="eastAsia" w:cs="Times New Roman"/>
          <w:color w:val="0D0D0D" w:themeColor="text1" w:themeTint="F2"/>
          <w:szCs w:val="24"/>
          <w14:textFill>
            <w14:solidFill>
              <w14:schemeClr w14:val="tx1">
                <w14:lumMod w14:val="95000"/>
                <w14:lumOff w14:val="5000"/>
              </w14:schemeClr>
            </w14:solidFill>
          </w14:textFill>
        </w:rPr>
        <w:t>/d，产污系数按0.8计，则生活污水产生量为2m</w:t>
      </w:r>
      <w:r>
        <w:rPr>
          <w:rFonts w:hint="eastAsia" w:cs="Times New Roman"/>
          <w:color w:val="0D0D0D" w:themeColor="text1" w:themeTint="F2"/>
          <w:szCs w:val="24"/>
          <w:vertAlign w:val="superscript"/>
          <w14:textFill>
            <w14:solidFill>
              <w14:schemeClr w14:val="tx1">
                <w14:lumMod w14:val="95000"/>
                <w14:lumOff w14:val="5000"/>
              </w14:schemeClr>
            </w14:solidFill>
          </w14:textFill>
        </w:rPr>
        <w:t>3</w:t>
      </w:r>
      <w:r>
        <w:rPr>
          <w:rFonts w:hint="eastAsia" w:cs="Times New Roman"/>
          <w:color w:val="0D0D0D" w:themeColor="text1" w:themeTint="F2"/>
          <w:szCs w:val="24"/>
          <w14:textFill>
            <w14:solidFill>
              <w14:schemeClr w14:val="tx1">
                <w14:lumMod w14:val="95000"/>
                <w14:lumOff w14:val="5000"/>
              </w14:schemeClr>
            </w14:solidFill>
          </w14:textFill>
        </w:rPr>
        <w:t>/d。</w:t>
      </w:r>
      <w:r>
        <w:rPr>
          <w:rFonts w:cs="Times New Roman"/>
          <w:color w:val="0D0D0D" w:themeColor="text1" w:themeTint="F2"/>
          <w:szCs w:val="24"/>
          <w14:textFill>
            <w14:solidFill>
              <w14:schemeClr w14:val="tx1">
                <w14:lumMod w14:val="95000"/>
                <w14:lumOff w14:val="5000"/>
              </w14:schemeClr>
            </w14:solidFill>
          </w14:textFill>
        </w:rPr>
        <w:t>生活污水主要污染物为COD、BOD</w:t>
      </w:r>
      <w:r>
        <w:rPr>
          <w:rFonts w:cs="Times New Roman"/>
          <w:color w:val="0D0D0D" w:themeColor="text1" w:themeTint="F2"/>
          <w:szCs w:val="24"/>
          <w:vertAlign w:val="subscript"/>
          <w14:textFill>
            <w14:solidFill>
              <w14:schemeClr w14:val="tx1">
                <w14:lumMod w14:val="95000"/>
                <w14:lumOff w14:val="5000"/>
              </w14:schemeClr>
            </w14:solidFill>
          </w14:textFill>
        </w:rPr>
        <w:t>5</w:t>
      </w:r>
      <w:r>
        <w:rPr>
          <w:rFonts w:cs="Times New Roman"/>
          <w:color w:val="0D0D0D" w:themeColor="text1" w:themeTint="F2"/>
          <w:szCs w:val="24"/>
          <w14:textFill>
            <w14:solidFill>
              <w14:schemeClr w14:val="tx1">
                <w14:lumMod w14:val="95000"/>
                <w14:lumOff w14:val="5000"/>
              </w14:schemeClr>
            </w14:solidFill>
          </w14:textFill>
        </w:rPr>
        <w:t>、SS、NH</w:t>
      </w:r>
      <w:r>
        <w:rPr>
          <w:rFonts w:cs="Times New Roman"/>
          <w:color w:val="0D0D0D" w:themeColor="text1" w:themeTint="F2"/>
          <w:szCs w:val="24"/>
          <w:vertAlign w:val="subscript"/>
          <w14:textFill>
            <w14:solidFill>
              <w14:schemeClr w14:val="tx1">
                <w14:lumMod w14:val="95000"/>
                <w14:lumOff w14:val="5000"/>
              </w14:schemeClr>
            </w14:solidFill>
          </w14:textFill>
        </w:rPr>
        <w:t>3</w:t>
      </w:r>
      <w:r>
        <w:rPr>
          <w:rFonts w:cs="Times New Roman"/>
          <w:color w:val="0D0D0D" w:themeColor="text1" w:themeTint="F2"/>
          <w:szCs w:val="24"/>
          <w14:textFill>
            <w14:solidFill>
              <w14:schemeClr w14:val="tx1">
                <w14:lumMod w14:val="95000"/>
                <w14:lumOff w14:val="5000"/>
              </w14:schemeClr>
            </w14:solidFill>
          </w14:textFill>
        </w:rPr>
        <w:t>-N，</w:t>
      </w:r>
      <w:r>
        <w:rPr>
          <w:rFonts w:hint="eastAsia" w:cs="Times New Roman"/>
          <w:color w:val="0D0D0D" w:themeColor="text1" w:themeTint="F2"/>
          <w:szCs w:val="24"/>
          <w14:textFill>
            <w14:solidFill>
              <w14:schemeClr w14:val="tx1">
                <w14:lumMod w14:val="95000"/>
                <w14:lumOff w14:val="5000"/>
              </w14:schemeClr>
            </w14:solidFill>
          </w14:textFill>
        </w:rPr>
        <w:t>各污染物浓度参照《环境影响评价工程师职业资格登记培训教材社会区域类环境影响评价（2007版）》进行核算，经临时化粪池处理后用于周边林地施肥，不外排</w:t>
      </w:r>
      <w:bookmarkEnd w:id="103"/>
      <w:r>
        <w:rPr>
          <w:rFonts w:hint="eastAsia" w:cs="Times New Roman"/>
          <w:color w:val="0D0D0D" w:themeColor="text1" w:themeTint="F2"/>
          <w:szCs w:val="24"/>
          <w14:textFill>
            <w14:solidFill>
              <w14:schemeClr w14:val="tx1">
                <w14:lumMod w14:val="95000"/>
                <w14:lumOff w14:val="5000"/>
              </w14:schemeClr>
            </w14:solidFill>
          </w14:textFill>
        </w:rPr>
        <w:t>。</w:t>
      </w:r>
    </w:p>
    <w:p w14:paraId="5D4C0016">
      <w:pPr>
        <w:pStyle w:val="11"/>
      </w:pPr>
      <w:r>
        <w:rPr>
          <w:rFonts w:hint="eastAsia"/>
        </w:rPr>
        <w:t xml:space="preserve"> 施工期生活污水产排情况一览表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9"/>
        <w:gridCol w:w="2235"/>
        <w:gridCol w:w="1898"/>
        <w:gridCol w:w="2235"/>
        <w:gridCol w:w="1895"/>
      </w:tblGrid>
      <w:tr w14:paraId="6C807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restart"/>
            <w:vAlign w:val="center"/>
          </w:tcPr>
          <w:p w14:paraId="47AC2BD3">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污染物</w:t>
            </w:r>
          </w:p>
        </w:tc>
        <w:tc>
          <w:tcPr>
            <w:tcW w:w="2235" w:type="pct"/>
            <w:gridSpan w:val="2"/>
            <w:vAlign w:val="center"/>
          </w:tcPr>
          <w:p w14:paraId="331A23B5">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处理前</w:t>
            </w:r>
          </w:p>
        </w:tc>
        <w:tc>
          <w:tcPr>
            <w:tcW w:w="2235" w:type="pct"/>
            <w:gridSpan w:val="2"/>
            <w:vAlign w:val="center"/>
          </w:tcPr>
          <w:p w14:paraId="0CD8995E">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处理后</w:t>
            </w:r>
          </w:p>
        </w:tc>
      </w:tr>
      <w:tr w14:paraId="0BDB0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vAlign w:val="center"/>
          </w:tcPr>
          <w:p w14:paraId="167B321D">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209" w:type="pct"/>
            <w:vAlign w:val="center"/>
          </w:tcPr>
          <w:p w14:paraId="0F3E4FCA">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产生浓度（mg/L）</w:t>
            </w:r>
          </w:p>
        </w:tc>
        <w:tc>
          <w:tcPr>
            <w:tcW w:w="1027" w:type="pct"/>
            <w:vAlign w:val="center"/>
          </w:tcPr>
          <w:p w14:paraId="6487B646">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产生量（kg/d）</w:t>
            </w:r>
          </w:p>
        </w:tc>
        <w:tc>
          <w:tcPr>
            <w:tcW w:w="1209" w:type="pct"/>
            <w:vAlign w:val="center"/>
          </w:tcPr>
          <w:p w14:paraId="4568769E">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排放浓度（mg/L）</w:t>
            </w:r>
          </w:p>
        </w:tc>
        <w:tc>
          <w:tcPr>
            <w:tcW w:w="1027" w:type="pct"/>
            <w:vAlign w:val="center"/>
          </w:tcPr>
          <w:p w14:paraId="539B6769">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排放量（kg/d）</w:t>
            </w:r>
          </w:p>
        </w:tc>
      </w:tr>
      <w:tr w14:paraId="11803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Align w:val="center"/>
          </w:tcPr>
          <w:p w14:paraId="6C121198">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COD</w:t>
            </w:r>
          </w:p>
        </w:tc>
        <w:tc>
          <w:tcPr>
            <w:tcW w:w="1209" w:type="pct"/>
            <w:vAlign w:val="center"/>
          </w:tcPr>
          <w:p w14:paraId="0C39F3AD">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300</w:t>
            </w:r>
          </w:p>
        </w:tc>
        <w:tc>
          <w:tcPr>
            <w:tcW w:w="1027" w:type="pct"/>
            <w:vAlign w:val="center"/>
          </w:tcPr>
          <w:p w14:paraId="2645E647">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0.6</w:t>
            </w:r>
          </w:p>
        </w:tc>
        <w:tc>
          <w:tcPr>
            <w:tcW w:w="1209" w:type="pct"/>
            <w:vAlign w:val="center"/>
          </w:tcPr>
          <w:p w14:paraId="629FEEA2">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180</w:t>
            </w:r>
          </w:p>
        </w:tc>
        <w:tc>
          <w:tcPr>
            <w:tcW w:w="1027" w:type="pct"/>
            <w:vAlign w:val="center"/>
          </w:tcPr>
          <w:p w14:paraId="2C92A993">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0.36</w:t>
            </w:r>
          </w:p>
        </w:tc>
      </w:tr>
      <w:tr w14:paraId="41AB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Align w:val="center"/>
          </w:tcPr>
          <w:p w14:paraId="7E8CC74A">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BOD</w:t>
            </w:r>
            <w:r>
              <w:rPr>
                <w:rFonts w:hint="eastAsia" w:cs="Times New Roman"/>
                <w:color w:val="0D0D0D" w:themeColor="text1" w:themeTint="F2"/>
                <w:sz w:val="21"/>
                <w:vertAlign w:val="subscript"/>
                <w14:textFill>
                  <w14:solidFill>
                    <w14:schemeClr w14:val="tx1">
                      <w14:lumMod w14:val="95000"/>
                      <w14:lumOff w14:val="5000"/>
                    </w14:schemeClr>
                  </w14:solidFill>
                </w14:textFill>
              </w:rPr>
              <w:t>5</w:t>
            </w:r>
          </w:p>
        </w:tc>
        <w:tc>
          <w:tcPr>
            <w:tcW w:w="1209" w:type="pct"/>
            <w:vAlign w:val="center"/>
          </w:tcPr>
          <w:p w14:paraId="79C66827">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200</w:t>
            </w:r>
          </w:p>
        </w:tc>
        <w:tc>
          <w:tcPr>
            <w:tcW w:w="1027" w:type="pct"/>
            <w:vAlign w:val="center"/>
          </w:tcPr>
          <w:p w14:paraId="4B968D30">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0.4</w:t>
            </w:r>
          </w:p>
        </w:tc>
        <w:tc>
          <w:tcPr>
            <w:tcW w:w="1209" w:type="pct"/>
            <w:vAlign w:val="center"/>
          </w:tcPr>
          <w:p w14:paraId="69B34F5D">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140</w:t>
            </w:r>
          </w:p>
        </w:tc>
        <w:tc>
          <w:tcPr>
            <w:tcW w:w="1027" w:type="pct"/>
            <w:vAlign w:val="center"/>
          </w:tcPr>
          <w:p w14:paraId="1EF89654">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0.28</w:t>
            </w:r>
          </w:p>
        </w:tc>
      </w:tr>
      <w:tr w14:paraId="1814C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Align w:val="center"/>
          </w:tcPr>
          <w:p w14:paraId="76A866FE">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NH</w:t>
            </w:r>
            <w:r>
              <w:rPr>
                <w:rFonts w:hint="eastAsia" w:cs="Times New Roman"/>
                <w:color w:val="0D0D0D" w:themeColor="text1" w:themeTint="F2"/>
                <w:sz w:val="21"/>
                <w:vertAlign w:val="subscript"/>
                <w14:textFill>
                  <w14:solidFill>
                    <w14:schemeClr w14:val="tx1">
                      <w14:lumMod w14:val="95000"/>
                      <w14:lumOff w14:val="5000"/>
                    </w14:schemeClr>
                  </w14:solidFill>
                </w14:textFill>
              </w:rPr>
              <w:t>3</w:t>
            </w:r>
            <w:r>
              <w:rPr>
                <w:rFonts w:hint="eastAsia" w:cs="Times New Roman"/>
                <w:color w:val="0D0D0D" w:themeColor="text1" w:themeTint="F2"/>
                <w:sz w:val="21"/>
                <w14:textFill>
                  <w14:solidFill>
                    <w14:schemeClr w14:val="tx1">
                      <w14:lumMod w14:val="95000"/>
                      <w14:lumOff w14:val="5000"/>
                    </w14:schemeClr>
                  </w14:solidFill>
                </w14:textFill>
              </w:rPr>
              <w:t>-N</w:t>
            </w:r>
          </w:p>
        </w:tc>
        <w:tc>
          <w:tcPr>
            <w:tcW w:w="1209" w:type="pct"/>
            <w:vAlign w:val="center"/>
          </w:tcPr>
          <w:p w14:paraId="35842046">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30</w:t>
            </w:r>
          </w:p>
        </w:tc>
        <w:tc>
          <w:tcPr>
            <w:tcW w:w="1027" w:type="pct"/>
            <w:vAlign w:val="center"/>
          </w:tcPr>
          <w:p w14:paraId="28D6FCF7">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0.06</w:t>
            </w:r>
          </w:p>
        </w:tc>
        <w:tc>
          <w:tcPr>
            <w:tcW w:w="1209" w:type="pct"/>
            <w:vAlign w:val="center"/>
          </w:tcPr>
          <w:p w14:paraId="5AB359E8">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30</w:t>
            </w:r>
          </w:p>
        </w:tc>
        <w:tc>
          <w:tcPr>
            <w:tcW w:w="1027" w:type="pct"/>
            <w:vAlign w:val="center"/>
          </w:tcPr>
          <w:p w14:paraId="2D8D12BE">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0.06</w:t>
            </w:r>
          </w:p>
        </w:tc>
      </w:tr>
      <w:tr w14:paraId="5E765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Align w:val="center"/>
          </w:tcPr>
          <w:p w14:paraId="7030E112">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SS</w:t>
            </w:r>
          </w:p>
        </w:tc>
        <w:tc>
          <w:tcPr>
            <w:tcW w:w="1209" w:type="pct"/>
            <w:vAlign w:val="center"/>
          </w:tcPr>
          <w:p w14:paraId="1E3768C7">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200</w:t>
            </w:r>
          </w:p>
        </w:tc>
        <w:tc>
          <w:tcPr>
            <w:tcW w:w="1027" w:type="pct"/>
            <w:vAlign w:val="center"/>
          </w:tcPr>
          <w:p w14:paraId="4EBB49DF">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0.4</w:t>
            </w:r>
          </w:p>
        </w:tc>
        <w:tc>
          <w:tcPr>
            <w:tcW w:w="1209" w:type="pct"/>
            <w:vAlign w:val="center"/>
          </w:tcPr>
          <w:p w14:paraId="020DD6F8">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80</w:t>
            </w:r>
          </w:p>
        </w:tc>
        <w:tc>
          <w:tcPr>
            <w:tcW w:w="1027" w:type="pct"/>
            <w:vAlign w:val="center"/>
          </w:tcPr>
          <w:p w14:paraId="67FC8B3C">
            <w:pPr>
              <w:autoSpaceDE w:val="0"/>
              <w:autoSpaceDN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0.16</w:t>
            </w:r>
          </w:p>
        </w:tc>
      </w:tr>
    </w:tbl>
    <w:p w14:paraId="64589DD9">
      <w:pPr>
        <w:pStyle w:val="10"/>
      </w:pPr>
      <w:r>
        <w:rPr>
          <w:rFonts w:hint="eastAsia"/>
        </w:rPr>
        <w:t>施工期噪声污染源分析</w:t>
      </w:r>
    </w:p>
    <w:p w14:paraId="5B8AA12B">
      <w:pPr>
        <w:autoSpaceDE w:val="0"/>
        <w:autoSpaceDN w:val="0"/>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在施工阶段，随着工程的进度和施工工序的更替，将会采用不同施工机械和施工方法。噪声源主要包括施工场地各类机械设备作业产生的噪声、运输车辆产生的交通噪声等。根据《环境噪声与振动控制工程技术导则》（HJ2034-2013），不同施工阶段各类施工机械在距离噪声源5m的声压级详见</w:t>
      </w:r>
      <w:r>
        <w:rPr>
          <w:rFonts w:cs="Times New Roman"/>
          <w:color w:val="0D0D0D" w:themeColor="text1" w:themeTint="F2"/>
          <w:szCs w:val="24"/>
          <w14:textFill>
            <w14:solidFill>
              <w14:schemeClr w14:val="tx1">
                <w14:lumMod w14:val="95000"/>
                <w14:lumOff w14:val="5000"/>
              </w14:schemeClr>
            </w14:solidFill>
          </w14:textFill>
        </w:rPr>
        <w:t>表</w:t>
      </w:r>
      <w:r>
        <w:rPr>
          <w:rFonts w:hint="eastAsia" w:cs="Times New Roman"/>
          <w:color w:val="0D0D0D" w:themeColor="text1" w:themeTint="F2"/>
          <w:szCs w:val="24"/>
          <w14:textFill>
            <w14:solidFill>
              <w14:schemeClr w14:val="tx1">
                <w14:lumMod w14:val="95000"/>
                <w14:lumOff w14:val="5000"/>
              </w14:schemeClr>
            </w14:solidFill>
          </w14:textFill>
        </w:rPr>
        <w:t>3.3</w:t>
      </w:r>
      <w:r>
        <w:rPr>
          <w:rFonts w:cs="Times New Roman"/>
          <w:color w:val="0D0D0D" w:themeColor="text1" w:themeTint="F2"/>
          <w:szCs w:val="24"/>
          <w14:textFill>
            <w14:solidFill>
              <w14:schemeClr w14:val="tx1">
                <w14:lumMod w14:val="95000"/>
                <w14:lumOff w14:val="5000"/>
              </w14:schemeClr>
            </w14:solidFill>
          </w14:textFill>
        </w:rPr>
        <w:t>-</w:t>
      </w:r>
      <w:r>
        <w:rPr>
          <w:rFonts w:hint="eastAsia" w:cs="Times New Roman"/>
          <w:color w:val="0D0D0D" w:themeColor="text1" w:themeTint="F2"/>
          <w:szCs w:val="24"/>
          <w14:textFill>
            <w14:solidFill>
              <w14:schemeClr w14:val="tx1">
                <w14:lumMod w14:val="95000"/>
                <w14:lumOff w14:val="5000"/>
              </w14:schemeClr>
            </w14:solidFill>
          </w14:textFill>
        </w:rPr>
        <w:t>4。</w:t>
      </w:r>
    </w:p>
    <w:p w14:paraId="691A3071">
      <w:pPr>
        <w:pStyle w:val="11"/>
      </w:pPr>
      <w:r>
        <w:rPr>
          <w:rFonts w:hint="eastAsia"/>
        </w:rPr>
        <w:t xml:space="preserve"> </w:t>
      </w:r>
      <w:r>
        <w:t>施工期</w:t>
      </w:r>
      <w:r>
        <w:rPr>
          <w:rFonts w:hint="eastAsia"/>
        </w:rPr>
        <w:t>主要设备噪声源强表  单位：dB(A)</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4"/>
        <w:gridCol w:w="2189"/>
        <w:gridCol w:w="1644"/>
        <w:gridCol w:w="2675"/>
      </w:tblGrid>
      <w:tr w14:paraId="3B5A7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479" w:type="pct"/>
            <w:vAlign w:val="center"/>
          </w:tcPr>
          <w:p w14:paraId="2CC15E35">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施工阶段</w:t>
            </w:r>
          </w:p>
        </w:tc>
        <w:tc>
          <w:tcPr>
            <w:tcW w:w="1184" w:type="pct"/>
            <w:vAlign w:val="center"/>
          </w:tcPr>
          <w:p w14:paraId="1147D419">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噪声特点</w:t>
            </w:r>
          </w:p>
        </w:tc>
        <w:tc>
          <w:tcPr>
            <w:tcW w:w="889" w:type="pct"/>
            <w:vAlign w:val="center"/>
          </w:tcPr>
          <w:p w14:paraId="0BA08971">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施工设备</w:t>
            </w:r>
          </w:p>
        </w:tc>
        <w:tc>
          <w:tcPr>
            <w:tcW w:w="1447" w:type="pct"/>
            <w:vAlign w:val="center"/>
          </w:tcPr>
          <w:p w14:paraId="28C57D08">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距声源</w:t>
            </w:r>
            <w:r>
              <w:rPr>
                <w:rFonts w:hint="eastAsia" w:cs="Times New Roman"/>
                <w:color w:val="0D0D0D" w:themeColor="text1" w:themeTint="F2"/>
                <w:sz w:val="21"/>
                <w14:textFill>
                  <w14:solidFill>
                    <w14:schemeClr w14:val="tx1">
                      <w14:lumMod w14:val="95000"/>
                      <w14:lumOff w14:val="5000"/>
                    </w14:schemeClr>
                  </w14:solidFill>
                </w14:textFill>
              </w:rPr>
              <w:t>5</w:t>
            </w:r>
            <w:r>
              <w:rPr>
                <w:rFonts w:cs="Times New Roman"/>
                <w:color w:val="0D0D0D" w:themeColor="text1" w:themeTint="F2"/>
                <w:sz w:val="21"/>
                <w14:textFill>
                  <w14:solidFill>
                    <w14:schemeClr w14:val="tx1">
                      <w14:lumMod w14:val="95000"/>
                      <w14:lumOff w14:val="5000"/>
                    </w14:schemeClr>
                  </w14:solidFill>
                </w14:textFill>
              </w:rPr>
              <w:t>m</w:t>
            </w:r>
            <w:r>
              <w:rPr>
                <w:rFonts w:hint="eastAsia" w:cs="Times New Roman"/>
                <w:color w:val="0D0D0D" w:themeColor="text1" w:themeTint="F2"/>
                <w:sz w:val="21"/>
                <w14:textFill>
                  <w14:solidFill>
                    <w14:schemeClr w14:val="tx1">
                      <w14:lumMod w14:val="95000"/>
                      <w14:lumOff w14:val="5000"/>
                    </w14:schemeClr>
                  </w14:solidFill>
                </w14:textFill>
              </w:rPr>
              <w:t>的声压级</w:t>
            </w:r>
          </w:p>
        </w:tc>
      </w:tr>
      <w:tr w14:paraId="26273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9" w:type="pct"/>
            <w:vMerge w:val="restart"/>
            <w:vAlign w:val="center"/>
          </w:tcPr>
          <w:p w14:paraId="17EB377E">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土石方阶段</w:t>
            </w:r>
          </w:p>
        </w:tc>
        <w:tc>
          <w:tcPr>
            <w:tcW w:w="1184" w:type="pct"/>
            <w:vMerge w:val="restart"/>
            <w:vAlign w:val="center"/>
          </w:tcPr>
          <w:p w14:paraId="35BCA36F">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移动式声源</w:t>
            </w:r>
          </w:p>
          <w:p w14:paraId="20D697D1">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无明显指向性</w:t>
            </w:r>
          </w:p>
        </w:tc>
        <w:tc>
          <w:tcPr>
            <w:tcW w:w="889" w:type="pct"/>
            <w:vAlign w:val="center"/>
          </w:tcPr>
          <w:p w14:paraId="638AF322">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推土机</w:t>
            </w:r>
          </w:p>
        </w:tc>
        <w:tc>
          <w:tcPr>
            <w:tcW w:w="1447" w:type="pct"/>
            <w:vAlign w:val="center"/>
          </w:tcPr>
          <w:p w14:paraId="649E40C2">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83~88</w:t>
            </w:r>
          </w:p>
        </w:tc>
      </w:tr>
      <w:tr w14:paraId="5F633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9" w:type="pct"/>
            <w:vMerge w:val="continue"/>
            <w:vAlign w:val="center"/>
          </w:tcPr>
          <w:p w14:paraId="489F684E">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p>
        </w:tc>
        <w:tc>
          <w:tcPr>
            <w:tcW w:w="1184" w:type="pct"/>
            <w:vMerge w:val="continue"/>
            <w:vAlign w:val="center"/>
          </w:tcPr>
          <w:p w14:paraId="2671460A">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p>
        </w:tc>
        <w:tc>
          <w:tcPr>
            <w:tcW w:w="889" w:type="pct"/>
            <w:vAlign w:val="center"/>
          </w:tcPr>
          <w:p w14:paraId="6298AEF8">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挖掘机</w:t>
            </w:r>
          </w:p>
        </w:tc>
        <w:tc>
          <w:tcPr>
            <w:tcW w:w="1447" w:type="pct"/>
            <w:vAlign w:val="center"/>
          </w:tcPr>
          <w:p w14:paraId="167D48EC">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80~90</w:t>
            </w:r>
          </w:p>
        </w:tc>
      </w:tr>
      <w:tr w14:paraId="5280F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9" w:type="pct"/>
            <w:vMerge w:val="continue"/>
            <w:vAlign w:val="center"/>
          </w:tcPr>
          <w:p w14:paraId="7D4036A8">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p>
        </w:tc>
        <w:tc>
          <w:tcPr>
            <w:tcW w:w="1184" w:type="pct"/>
            <w:vMerge w:val="continue"/>
            <w:vAlign w:val="center"/>
          </w:tcPr>
          <w:p w14:paraId="237DBDD3">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p>
        </w:tc>
        <w:tc>
          <w:tcPr>
            <w:tcW w:w="889" w:type="pct"/>
            <w:vAlign w:val="center"/>
          </w:tcPr>
          <w:p w14:paraId="29E8059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装载机</w:t>
            </w:r>
          </w:p>
        </w:tc>
        <w:tc>
          <w:tcPr>
            <w:tcW w:w="1447" w:type="pct"/>
            <w:vAlign w:val="center"/>
          </w:tcPr>
          <w:p w14:paraId="452C608E">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90~95</w:t>
            </w:r>
          </w:p>
        </w:tc>
      </w:tr>
      <w:tr w14:paraId="46898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9" w:type="pct"/>
            <w:vMerge w:val="continue"/>
            <w:vAlign w:val="center"/>
          </w:tcPr>
          <w:p w14:paraId="39D5C7A2">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p>
        </w:tc>
        <w:tc>
          <w:tcPr>
            <w:tcW w:w="1184" w:type="pct"/>
            <w:vMerge w:val="continue"/>
            <w:vAlign w:val="center"/>
          </w:tcPr>
          <w:p w14:paraId="5958634C">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p>
        </w:tc>
        <w:tc>
          <w:tcPr>
            <w:tcW w:w="889" w:type="pct"/>
            <w:vAlign w:val="center"/>
          </w:tcPr>
          <w:p w14:paraId="2EE64575">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运输车辆</w:t>
            </w:r>
          </w:p>
        </w:tc>
        <w:tc>
          <w:tcPr>
            <w:tcW w:w="1447" w:type="pct"/>
            <w:vAlign w:val="center"/>
          </w:tcPr>
          <w:p w14:paraId="53037417">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82~90</w:t>
            </w:r>
          </w:p>
        </w:tc>
      </w:tr>
      <w:tr w14:paraId="450DD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9" w:type="pct"/>
            <w:vMerge w:val="restart"/>
            <w:vAlign w:val="center"/>
          </w:tcPr>
          <w:p w14:paraId="251A37E0">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基础施工阶段</w:t>
            </w:r>
          </w:p>
        </w:tc>
        <w:tc>
          <w:tcPr>
            <w:tcW w:w="1184" w:type="pct"/>
            <w:vMerge w:val="restart"/>
            <w:vAlign w:val="center"/>
          </w:tcPr>
          <w:p w14:paraId="79DE5E58">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典型的脉冲噪声</w:t>
            </w:r>
          </w:p>
          <w:p w14:paraId="62D64B3B">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有明显指向性</w:t>
            </w:r>
          </w:p>
          <w:p w14:paraId="5210FA9D">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声功率级最高</w:t>
            </w:r>
          </w:p>
        </w:tc>
        <w:tc>
          <w:tcPr>
            <w:tcW w:w="889" w:type="pct"/>
            <w:vAlign w:val="center"/>
          </w:tcPr>
          <w:p w14:paraId="706B2D40">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混凝土罐车</w:t>
            </w:r>
          </w:p>
        </w:tc>
        <w:tc>
          <w:tcPr>
            <w:tcW w:w="1447" w:type="pct"/>
            <w:vAlign w:val="center"/>
          </w:tcPr>
          <w:p w14:paraId="5AB3F6B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85~90</w:t>
            </w:r>
          </w:p>
        </w:tc>
      </w:tr>
      <w:tr w14:paraId="423D1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9" w:type="pct"/>
            <w:vMerge w:val="continue"/>
            <w:vAlign w:val="center"/>
          </w:tcPr>
          <w:p w14:paraId="3F4B9AA4">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p>
        </w:tc>
        <w:tc>
          <w:tcPr>
            <w:tcW w:w="1184" w:type="pct"/>
            <w:vMerge w:val="continue"/>
            <w:vAlign w:val="center"/>
          </w:tcPr>
          <w:p w14:paraId="527848CA">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p>
        </w:tc>
        <w:tc>
          <w:tcPr>
            <w:tcW w:w="889" w:type="pct"/>
            <w:vAlign w:val="center"/>
          </w:tcPr>
          <w:p w14:paraId="6B8D4499">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振捣棒</w:t>
            </w:r>
          </w:p>
        </w:tc>
        <w:tc>
          <w:tcPr>
            <w:tcW w:w="1447" w:type="pct"/>
            <w:vAlign w:val="center"/>
          </w:tcPr>
          <w:p w14:paraId="258D8BE8">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80~88</w:t>
            </w:r>
          </w:p>
        </w:tc>
      </w:tr>
      <w:tr w14:paraId="2399A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9" w:type="pct"/>
            <w:vMerge w:val="restart"/>
            <w:vAlign w:val="center"/>
          </w:tcPr>
          <w:p w14:paraId="3C23107D">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结构施工阶段</w:t>
            </w:r>
          </w:p>
        </w:tc>
        <w:tc>
          <w:tcPr>
            <w:tcW w:w="1184" w:type="pct"/>
            <w:vMerge w:val="restart"/>
            <w:vAlign w:val="center"/>
          </w:tcPr>
          <w:p w14:paraId="283C5B36">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施工期长</w:t>
            </w:r>
          </w:p>
          <w:p w14:paraId="2E83EB41">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工作时间长</w:t>
            </w:r>
          </w:p>
          <w:p w14:paraId="15E4DEC7">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影响面广</w:t>
            </w:r>
          </w:p>
        </w:tc>
        <w:tc>
          <w:tcPr>
            <w:tcW w:w="889" w:type="pct"/>
            <w:vAlign w:val="center"/>
          </w:tcPr>
          <w:p w14:paraId="08433AA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电焊机</w:t>
            </w:r>
          </w:p>
        </w:tc>
        <w:tc>
          <w:tcPr>
            <w:tcW w:w="1447" w:type="pct"/>
            <w:vAlign w:val="center"/>
          </w:tcPr>
          <w:p w14:paraId="162EFC81">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90~95</w:t>
            </w:r>
          </w:p>
        </w:tc>
      </w:tr>
      <w:tr w14:paraId="0AA3F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9" w:type="pct"/>
            <w:vMerge w:val="continue"/>
            <w:vAlign w:val="center"/>
          </w:tcPr>
          <w:p w14:paraId="596056CC">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p>
        </w:tc>
        <w:tc>
          <w:tcPr>
            <w:tcW w:w="1184" w:type="pct"/>
            <w:vMerge w:val="continue"/>
            <w:vAlign w:val="center"/>
          </w:tcPr>
          <w:p w14:paraId="5FEEB7F5">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p>
        </w:tc>
        <w:tc>
          <w:tcPr>
            <w:tcW w:w="889" w:type="pct"/>
            <w:vAlign w:val="center"/>
          </w:tcPr>
          <w:p w14:paraId="641428C3">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电钻</w:t>
            </w:r>
          </w:p>
        </w:tc>
        <w:tc>
          <w:tcPr>
            <w:tcW w:w="1447" w:type="pct"/>
            <w:vAlign w:val="center"/>
          </w:tcPr>
          <w:p w14:paraId="746CBD38">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90~95</w:t>
            </w:r>
          </w:p>
        </w:tc>
      </w:tr>
      <w:tr w14:paraId="77806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9" w:type="pct"/>
            <w:vMerge w:val="continue"/>
            <w:vAlign w:val="center"/>
          </w:tcPr>
          <w:p w14:paraId="4FEB2529">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p>
        </w:tc>
        <w:tc>
          <w:tcPr>
            <w:tcW w:w="1184" w:type="pct"/>
            <w:vMerge w:val="continue"/>
            <w:vAlign w:val="center"/>
          </w:tcPr>
          <w:p w14:paraId="0AFD7E59">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p>
        </w:tc>
        <w:tc>
          <w:tcPr>
            <w:tcW w:w="889" w:type="pct"/>
            <w:vAlign w:val="center"/>
          </w:tcPr>
          <w:p w14:paraId="39E4D7C0">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电锤</w:t>
            </w:r>
          </w:p>
        </w:tc>
        <w:tc>
          <w:tcPr>
            <w:tcW w:w="1447" w:type="pct"/>
            <w:vAlign w:val="center"/>
          </w:tcPr>
          <w:p w14:paraId="1B35BC2A">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100~105</w:t>
            </w:r>
          </w:p>
        </w:tc>
      </w:tr>
      <w:tr w14:paraId="3684C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9" w:type="pct"/>
            <w:vMerge w:val="restart"/>
            <w:vAlign w:val="center"/>
          </w:tcPr>
          <w:p w14:paraId="13353824">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装修、设备安装阶段</w:t>
            </w:r>
          </w:p>
        </w:tc>
        <w:tc>
          <w:tcPr>
            <w:tcW w:w="1184" w:type="pct"/>
            <w:vMerge w:val="restart"/>
            <w:vAlign w:val="center"/>
          </w:tcPr>
          <w:p w14:paraId="7BB76CF4">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施工期长</w:t>
            </w:r>
          </w:p>
          <w:p w14:paraId="46DBCF77">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声源强度较小</w:t>
            </w:r>
          </w:p>
        </w:tc>
        <w:tc>
          <w:tcPr>
            <w:tcW w:w="889" w:type="pct"/>
            <w:vAlign w:val="center"/>
          </w:tcPr>
          <w:p w14:paraId="79B2E7C3">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手工钻</w:t>
            </w:r>
          </w:p>
        </w:tc>
        <w:tc>
          <w:tcPr>
            <w:tcW w:w="1447" w:type="pct"/>
            <w:vAlign w:val="center"/>
          </w:tcPr>
          <w:p w14:paraId="5F721461">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95~100</w:t>
            </w:r>
          </w:p>
        </w:tc>
      </w:tr>
      <w:tr w14:paraId="4DD42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9" w:type="pct"/>
            <w:vMerge w:val="continue"/>
            <w:vAlign w:val="center"/>
          </w:tcPr>
          <w:p w14:paraId="1ECD451B">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p>
        </w:tc>
        <w:tc>
          <w:tcPr>
            <w:tcW w:w="1184" w:type="pct"/>
            <w:vMerge w:val="continue"/>
            <w:vAlign w:val="center"/>
          </w:tcPr>
          <w:p w14:paraId="43E0E138">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p>
        </w:tc>
        <w:tc>
          <w:tcPr>
            <w:tcW w:w="889" w:type="pct"/>
            <w:vAlign w:val="center"/>
          </w:tcPr>
          <w:p w14:paraId="252CF4F7">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电锯</w:t>
            </w:r>
          </w:p>
        </w:tc>
        <w:tc>
          <w:tcPr>
            <w:tcW w:w="1447" w:type="pct"/>
            <w:vAlign w:val="center"/>
          </w:tcPr>
          <w:p w14:paraId="48BE767B">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90~95</w:t>
            </w:r>
          </w:p>
        </w:tc>
      </w:tr>
      <w:tr w14:paraId="108F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9" w:type="pct"/>
            <w:vMerge w:val="continue"/>
            <w:vAlign w:val="center"/>
          </w:tcPr>
          <w:p w14:paraId="5E49DAB0">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p>
        </w:tc>
        <w:tc>
          <w:tcPr>
            <w:tcW w:w="1184" w:type="pct"/>
            <w:vMerge w:val="continue"/>
            <w:vAlign w:val="center"/>
          </w:tcPr>
          <w:p w14:paraId="52577571">
            <w:pPr>
              <w:spacing w:line="240" w:lineRule="auto"/>
              <w:jc w:val="center"/>
              <w:rPr>
                <w:rFonts w:cs="Times New Roman"/>
                <w:color w:val="0D0D0D" w:themeColor="text1" w:themeTint="F2"/>
                <w:sz w:val="21"/>
                <w:szCs w:val="24"/>
                <w14:textFill>
                  <w14:solidFill>
                    <w14:schemeClr w14:val="tx1">
                      <w14:lumMod w14:val="95000"/>
                      <w14:lumOff w14:val="5000"/>
                    </w14:schemeClr>
                  </w14:solidFill>
                </w14:textFill>
              </w:rPr>
            </w:pPr>
          </w:p>
        </w:tc>
        <w:tc>
          <w:tcPr>
            <w:tcW w:w="889" w:type="pct"/>
            <w:vAlign w:val="center"/>
          </w:tcPr>
          <w:p w14:paraId="00415249">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电刨</w:t>
            </w:r>
          </w:p>
        </w:tc>
        <w:tc>
          <w:tcPr>
            <w:tcW w:w="1447" w:type="pct"/>
            <w:vAlign w:val="center"/>
          </w:tcPr>
          <w:p w14:paraId="64FE7303">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90~95</w:t>
            </w:r>
          </w:p>
        </w:tc>
      </w:tr>
    </w:tbl>
    <w:p w14:paraId="35C500CE">
      <w:pPr>
        <w:pStyle w:val="10"/>
      </w:pPr>
      <w:r>
        <w:rPr>
          <w:rFonts w:hint="eastAsia"/>
        </w:rPr>
        <w:t>施工期固体废物污染源分析</w:t>
      </w:r>
    </w:p>
    <w:p w14:paraId="5CB176FE">
      <w:pPr>
        <w:autoSpaceDE w:val="0"/>
        <w:autoSpaceDN w:val="0"/>
        <w:ind w:firstLine="480" w:firstLineChars="200"/>
        <w:rPr>
          <w:rFonts w:cs="Times New Roman"/>
          <w:color w:val="0D0D0D" w:themeColor="text1" w:themeTint="F2"/>
          <w14:textFill>
            <w14:solidFill>
              <w14:schemeClr w14:val="tx1">
                <w14:lumMod w14:val="95000"/>
                <w14:lumOff w14:val="5000"/>
              </w14:schemeClr>
            </w14:solidFill>
          </w14:textFill>
        </w:rPr>
      </w:pPr>
      <w:bookmarkStart w:id="104" w:name="_Hlk166953573"/>
      <w:r>
        <w:rPr>
          <w:rFonts w:cs="Times New Roman"/>
          <w:color w:val="0D0D0D" w:themeColor="text1" w:themeTint="F2"/>
          <w14:textFill>
            <w14:solidFill>
              <w14:schemeClr w14:val="tx1">
                <w14:lumMod w14:val="95000"/>
                <w14:lumOff w14:val="5000"/>
              </w14:schemeClr>
            </w14:solidFill>
          </w14:textFill>
        </w:rPr>
        <w:t>施工期</w:t>
      </w:r>
      <w:r>
        <w:rPr>
          <w:rFonts w:hint="eastAsia" w:cs="Times New Roman"/>
          <w:color w:val="0D0D0D" w:themeColor="text1" w:themeTint="F2"/>
          <w14:textFill>
            <w14:solidFill>
              <w14:schemeClr w14:val="tx1">
                <w14:lumMod w14:val="95000"/>
                <w14:lumOff w14:val="5000"/>
              </w14:schemeClr>
            </w14:solidFill>
          </w14:textFill>
        </w:rPr>
        <w:t>产生的</w:t>
      </w:r>
      <w:r>
        <w:rPr>
          <w:rFonts w:cs="Times New Roman"/>
          <w:color w:val="0D0D0D" w:themeColor="text1" w:themeTint="F2"/>
          <w14:textFill>
            <w14:solidFill>
              <w14:schemeClr w14:val="tx1">
                <w14:lumMod w14:val="95000"/>
                <w14:lumOff w14:val="5000"/>
              </w14:schemeClr>
            </w14:solidFill>
          </w14:textFill>
        </w:rPr>
        <w:t>固体废物主要</w:t>
      </w:r>
      <w:r>
        <w:rPr>
          <w:rFonts w:hint="eastAsia" w:cs="Times New Roman"/>
          <w:color w:val="0D0D0D" w:themeColor="text1" w:themeTint="F2"/>
          <w14:textFill>
            <w14:solidFill>
              <w14:schemeClr w14:val="tx1">
                <w14:lumMod w14:val="95000"/>
                <w14:lumOff w14:val="5000"/>
              </w14:schemeClr>
            </w14:solidFill>
          </w14:textFill>
        </w:rPr>
        <w:t>为</w:t>
      </w:r>
      <w:r>
        <w:rPr>
          <w:rFonts w:cs="Times New Roman"/>
          <w:color w:val="0D0D0D" w:themeColor="text1" w:themeTint="F2"/>
          <w14:textFill>
            <w14:solidFill>
              <w14:schemeClr w14:val="tx1">
                <w14:lumMod w14:val="95000"/>
                <w14:lumOff w14:val="5000"/>
              </w14:schemeClr>
            </w14:solidFill>
          </w14:textFill>
        </w:rPr>
        <w:t>施工开挖产生的土石方、建筑垃圾及施工人员的生活垃圾等。</w:t>
      </w:r>
    </w:p>
    <w:p w14:paraId="1F2EDBAC">
      <w:pPr>
        <w:autoSpaceDE w:val="0"/>
        <w:autoSpaceDN w:val="0"/>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（1）土石方</w:t>
      </w:r>
    </w:p>
    <w:p w14:paraId="63AE1073">
      <w:pPr>
        <w:autoSpaceDE w:val="0"/>
        <w:autoSpaceDN w:val="0"/>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项目土石方主要来自场地的平整，用于后期回填</w:t>
      </w:r>
      <w:r>
        <w:rPr>
          <w:rFonts w:cs="Times New Roman"/>
          <w:color w:val="0D0D0D" w:themeColor="text1" w:themeTint="F2"/>
          <w14:textFill>
            <w14:solidFill>
              <w14:schemeClr w14:val="tx1">
                <w14:lumMod w14:val="95000"/>
                <w14:lumOff w14:val="5000"/>
              </w14:schemeClr>
            </w14:solidFill>
          </w14:textFill>
        </w:rPr>
        <w:t>。</w:t>
      </w:r>
      <w:r>
        <w:rPr>
          <w:rFonts w:hint="eastAsia" w:cs="Times New Roman"/>
          <w:color w:val="0D0D0D" w:themeColor="text1" w:themeTint="F2"/>
          <w14:textFill>
            <w14:solidFill>
              <w14:schemeClr w14:val="tx1">
                <w14:lumMod w14:val="95000"/>
                <w14:lumOff w14:val="5000"/>
              </w14:schemeClr>
            </w14:solidFill>
          </w14:textFill>
        </w:rPr>
        <w:t>根据项目设计资料，项目无弃方产生。</w:t>
      </w:r>
    </w:p>
    <w:p w14:paraId="27BA0A1C">
      <w:pPr>
        <w:autoSpaceDE w:val="0"/>
        <w:autoSpaceDN w:val="0"/>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（2）建筑垃圾</w:t>
      </w:r>
    </w:p>
    <w:p w14:paraId="27229117">
      <w:pPr>
        <w:autoSpaceDE w:val="0"/>
        <w:autoSpaceDN w:val="0"/>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建筑垃圾指在新建筑物（或构筑物）建设过程中产生的废弃物，主要为废混凝土块、施工过程中散落的砂浆和混凝土、碎砖渣、金属、木材、装饰装修产生的废料、各种包装材料和其他废弃物等。对不同结构形式的建筑工地，建筑垃圾组成比例略有不同，而建筑垃圾数量因施工管理情况不同在各工地不同。</w:t>
      </w:r>
    </w:p>
    <w:p w14:paraId="49350B77">
      <w:pPr>
        <w:autoSpaceDE w:val="0"/>
        <w:autoSpaceDN w:val="0"/>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根据</w:t>
      </w:r>
      <w:r>
        <w:rPr>
          <w:rFonts w:cs="Times New Roman"/>
          <w:color w:val="0D0D0D" w:themeColor="text1" w:themeTint="F2"/>
          <w14:textFill>
            <w14:solidFill>
              <w14:schemeClr w14:val="tx1">
                <w14:lumMod w14:val="95000"/>
                <w14:lumOff w14:val="5000"/>
              </w14:schemeClr>
            </w14:solidFill>
          </w14:textFill>
        </w:rPr>
        <w:t>《建筑垃圾的产生与循环利用管理》（陈军，何品晶，吕凡，邵立明，同济大学污染控制与资源化研究国家重点实验室），建筑物在建造过程中，单位建筑面积的建筑垃圾产生量为20</w:t>
      </w:r>
      <w:r>
        <w:rPr>
          <w:rFonts w:hint="eastAsia" w:cs="Times New Roman"/>
          <w:color w:val="0D0D0D" w:themeColor="text1" w:themeTint="F2"/>
          <w14:textFill>
            <w14:solidFill>
              <w14:schemeClr w14:val="tx1">
                <w14:lumMod w14:val="95000"/>
                <w14:lumOff w14:val="5000"/>
              </w14:schemeClr>
            </w14:solidFill>
          </w14:textFill>
        </w:rPr>
        <w:t>～</w:t>
      </w:r>
      <w:r>
        <w:rPr>
          <w:rFonts w:cs="Times New Roman"/>
          <w:color w:val="0D0D0D" w:themeColor="text1" w:themeTint="F2"/>
          <w14:textFill>
            <w14:solidFill>
              <w14:schemeClr w14:val="tx1">
                <w14:lumMod w14:val="95000"/>
                <w14:lumOff w14:val="5000"/>
              </w14:schemeClr>
            </w14:solidFill>
          </w14:textFill>
        </w:rPr>
        <w:t>50kg/m</w:t>
      </w:r>
      <w:r>
        <w:rPr>
          <w:rFonts w:cs="Times New Roman"/>
          <w:color w:val="0D0D0D" w:themeColor="text1" w:themeTint="F2"/>
          <w:vertAlign w:val="superscript"/>
          <w14:textFill>
            <w14:solidFill>
              <w14:schemeClr w14:val="tx1">
                <w14:lumMod w14:val="95000"/>
                <w14:lumOff w14:val="5000"/>
              </w14:schemeClr>
            </w14:solidFill>
          </w14:textFill>
        </w:rPr>
        <w:t>2</w:t>
      </w:r>
      <w:r>
        <w:rPr>
          <w:rFonts w:cs="Times New Roman"/>
          <w:color w:val="0D0D0D" w:themeColor="text1" w:themeTint="F2"/>
          <w14:textFill>
            <w14:solidFill>
              <w14:schemeClr w14:val="tx1">
                <w14:lumMod w14:val="95000"/>
                <w14:lumOff w14:val="5000"/>
              </w14:schemeClr>
            </w14:solidFill>
          </w14:textFill>
        </w:rPr>
        <w:t>，</w:t>
      </w:r>
      <w:r>
        <w:rPr>
          <w:rFonts w:hint="eastAsia" w:cs="Times New Roman"/>
          <w:color w:val="0D0D0D" w:themeColor="text1" w:themeTint="F2"/>
          <w14:textFill>
            <w14:solidFill>
              <w14:schemeClr w14:val="tx1">
                <w14:lumMod w14:val="95000"/>
                <w14:lumOff w14:val="5000"/>
              </w14:schemeClr>
            </w14:solidFill>
          </w14:textFill>
        </w:rPr>
        <w:t>本次评价</w:t>
      </w:r>
      <w:r>
        <w:rPr>
          <w:rFonts w:cs="Times New Roman"/>
          <w:color w:val="0D0D0D" w:themeColor="text1" w:themeTint="F2"/>
          <w14:textFill>
            <w14:solidFill>
              <w14:schemeClr w14:val="tx1">
                <w14:lumMod w14:val="95000"/>
                <w14:lumOff w14:val="5000"/>
              </w14:schemeClr>
            </w14:solidFill>
          </w14:textFill>
        </w:rPr>
        <w:t>建筑垃圾产生</w:t>
      </w:r>
      <w:r>
        <w:rPr>
          <w:rFonts w:hint="eastAsia" w:cs="Times New Roman"/>
          <w:color w:val="0D0D0D" w:themeColor="text1" w:themeTint="F2"/>
          <w14:textFill>
            <w14:solidFill>
              <w14:schemeClr w14:val="tx1">
                <w14:lumMod w14:val="95000"/>
                <w14:lumOff w14:val="5000"/>
              </w14:schemeClr>
            </w14:solidFill>
          </w14:textFill>
        </w:rPr>
        <w:t>系数</w:t>
      </w:r>
      <w:r>
        <w:rPr>
          <w:rFonts w:cs="Times New Roman"/>
          <w:color w:val="0D0D0D" w:themeColor="text1" w:themeTint="F2"/>
          <w14:textFill>
            <w14:solidFill>
              <w14:schemeClr w14:val="tx1">
                <w14:lumMod w14:val="95000"/>
                <w14:lumOff w14:val="5000"/>
              </w14:schemeClr>
            </w14:solidFill>
          </w14:textFill>
        </w:rPr>
        <w:t>按30kg/m</w:t>
      </w:r>
      <w:r>
        <w:rPr>
          <w:rFonts w:cs="Times New Roman"/>
          <w:color w:val="0D0D0D" w:themeColor="text1" w:themeTint="F2"/>
          <w:vertAlign w:val="superscript"/>
          <w14:textFill>
            <w14:solidFill>
              <w14:schemeClr w14:val="tx1">
                <w14:lumMod w14:val="95000"/>
                <w14:lumOff w14:val="5000"/>
              </w14:schemeClr>
            </w14:solidFill>
          </w14:textFill>
        </w:rPr>
        <w:t>2</w:t>
      </w:r>
      <w:r>
        <w:rPr>
          <w:rFonts w:cs="Times New Roman"/>
          <w:color w:val="0D0D0D" w:themeColor="text1" w:themeTint="F2"/>
          <w14:textFill>
            <w14:solidFill>
              <w14:schemeClr w14:val="tx1">
                <w14:lumMod w14:val="95000"/>
                <w14:lumOff w14:val="5000"/>
              </w14:schemeClr>
            </w14:solidFill>
          </w14:textFill>
        </w:rPr>
        <w:t>计</w:t>
      </w:r>
      <w:r>
        <w:rPr>
          <w:rFonts w:hint="eastAsia" w:cs="Times New Roman"/>
          <w:color w:val="0D0D0D" w:themeColor="text1" w:themeTint="F2"/>
          <w14:textFill>
            <w14:solidFill>
              <w14:schemeClr w14:val="tx1">
                <w14:lumMod w14:val="95000"/>
                <w14:lumOff w14:val="5000"/>
              </w14:schemeClr>
            </w14:solidFill>
          </w14:textFill>
        </w:rPr>
        <w:t>，</w:t>
      </w:r>
      <w:r>
        <w:rPr>
          <w:rFonts w:cs="Times New Roman"/>
          <w:color w:val="0D0D0D" w:themeColor="text1" w:themeTint="F2"/>
          <w14:textFill>
            <w14:solidFill>
              <w14:schemeClr w14:val="tx1">
                <w14:lumMod w14:val="95000"/>
                <w14:lumOff w14:val="5000"/>
              </w14:schemeClr>
            </w14:solidFill>
          </w14:textFill>
        </w:rPr>
        <w:t>项目建筑面积</w:t>
      </w:r>
      <w:r>
        <w:rPr>
          <w:rFonts w:hint="eastAsia" w:cs="Times New Roman"/>
          <w:color w:val="0D0D0D" w:themeColor="text1" w:themeTint="F2"/>
          <w14:textFill>
            <w14:solidFill>
              <w14:schemeClr w14:val="tx1">
                <w14:lumMod w14:val="95000"/>
                <w14:lumOff w14:val="5000"/>
              </w14:schemeClr>
            </w14:solidFill>
          </w14:textFill>
        </w:rPr>
        <w:t>约</w:t>
      </w:r>
      <w:r>
        <w:rPr>
          <w:rFonts w:cs="Times New Roman"/>
          <w:color w:val="0D0D0D" w:themeColor="text1" w:themeTint="F2"/>
          <w14:textFill>
            <w14:solidFill>
              <w14:schemeClr w14:val="tx1">
                <w14:lumMod w14:val="95000"/>
                <w14:lumOff w14:val="5000"/>
              </w14:schemeClr>
            </w14:solidFill>
          </w14:textFill>
        </w:rPr>
        <w:t>为</w:t>
      </w:r>
      <w:r>
        <w:rPr>
          <w:rFonts w:hint="eastAsia" w:cs="Times New Roman"/>
          <w:color w:val="0D0D0D" w:themeColor="text1" w:themeTint="F2"/>
          <w:szCs w:val="24"/>
          <w14:textFill>
            <w14:solidFill>
              <w14:schemeClr w14:val="tx1">
                <w14:lumMod w14:val="95000"/>
                <w14:lumOff w14:val="5000"/>
              </w14:schemeClr>
            </w14:solidFill>
          </w14:textFill>
        </w:rPr>
        <w:t>6380.2</w:t>
      </w:r>
      <w:r>
        <w:rPr>
          <w:rFonts w:cs="Times New Roman"/>
          <w:color w:val="0D0D0D" w:themeColor="text1" w:themeTint="F2"/>
          <w14:textFill>
            <w14:solidFill>
              <w14:schemeClr w14:val="tx1">
                <w14:lumMod w14:val="95000"/>
                <w14:lumOff w14:val="5000"/>
              </w14:schemeClr>
            </w14:solidFill>
          </w14:textFill>
        </w:rPr>
        <w:t>m</w:t>
      </w:r>
      <w:r>
        <w:rPr>
          <w:rFonts w:cs="Times New Roman"/>
          <w:color w:val="0D0D0D" w:themeColor="text1" w:themeTint="F2"/>
          <w:vertAlign w:val="superscript"/>
          <w14:textFill>
            <w14:solidFill>
              <w14:schemeClr w14:val="tx1">
                <w14:lumMod w14:val="95000"/>
                <w14:lumOff w14:val="5000"/>
              </w14:schemeClr>
            </w14:solidFill>
          </w14:textFill>
        </w:rPr>
        <w:t>2</w:t>
      </w:r>
      <w:r>
        <w:rPr>
          <w:rFonts w:cs="Times New Roman"/>
          <w:color w:val="0D0D0D" w:themeColor="text1" w:themeTint="F2"/>
          <w14:textFill>
            <w14:solidFill>
              <w14:schemeClr w14:val="tx1">
                <w14:lumMod w14:val="95000"/>
                <w14:lumOff w14:val="5000"/>
              </w14:schemeClr>
            </w14:solidFill>
          </w14:textFill>
        </w:rPr>
        <w:t>，则建筑垃圾产生量为</w:t>
      </w:r>
      <w:r>
        <w:rPr>
          <w:rFonts w:hint="eastAsia" w:cs="Times New Roman"/>
          <w:color w:val="0D0D0D" w:themeColor="text1" w:themeTint="F2"/>
          <w14:textFill>
            <w14:solidFill>
              <w14:schemeClr w14:val="tx1">
                <w14:lumMod w14:val="95000"/>
                <w14:lumOff w14:val="5000"/>
              </w14:schemeClr>
            </w14:solidFill>
          </w14:textFill>
        </w:rPr>
        <w:t>191.41</w:t>
      </w:r>
      <w:r>
        <w:rPr>
          <w:rFonts w:cs="Times New Roman"/>
          <w:color w:val="0D0D0D" w:themeColor="text1" w:themeTint="F2"/>
          <w14:textFill>
            <w14:solidFill>
              <w14:schemeClr w14:val="tx1">
                <w14:lumMod w14:val="95000"/>
                <w14:lumOff w14:val="5000"/>
              </w14:schemeClr>
            </w14:solidFill>
          </w14:textFill>
        </w:rPr>
        <w:t>t。</w:t>
      </w:r>
      <w:r>
        <w:rPr>
          <w:rFonts w:hint="eastAsia" w:cs="Times New Roman"/>
          <w:color w:val="0D0D0D" w:themeColor="text1" w:themeTint="F2"/>
          <w14:textFill>
            <w14:solidFill>
              <w14:schemeClr w14:val="tx1">
                <w14:lumMod w14:val="95000"/>
                <w14:lumOff w14:val="5000"/>
              </w14:schemeClr>
            </w14:solidFill>
          </w14:textFill>
        </w:rPr>
        <w:t>建筑垃圾需分类收集、集中堆放，及时清运处置，并做好水土保持措施。建筑垃圾可回收利用的部分回收利用，不能回收利用的按照市政主管部门的要求清运至指定建筑垃圾消纳场妥善处置</w:t>
      </w:r>
      <w:r>
        <w:rPr>
          <w:rFonts w:cs="Times New Roman"/>
          <w:color w:val="0D0D0D" w:themeColor="text1" w:themeTint="F2"/>
          <w14:textFill>
            <w14:solidFill>
              <w14:schemeClr w14:val="tx1">
                <w14:lumMod w14:val="95000"/>
                <w14:lumOff w14:val="5000"/>
              </w14:schemeClr>
            </w14:solidFill>
          </w14:textFill>
        </w:rPr>
        <w:t>。</w:t>
      </w:r>
    </w:p>
    <w:p w14:paraId="1305B797">
      <w:pPr>
        <w:autoSpaceDE w:val="0"/>
        <w:autoSpaceDN w:val="0"/>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（3）生活垃圾</w:t>
      </w:r>
    </w:p>
    <w:p w14:paraId="5D60C9C9">
      <w:pPr>
        <w:autoSpaceDE w:val="0"/>
        <w:autoSpaceDN w:val="0"/>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施工期施工人员均为当地民工，不在场区食宿，施工高峰期人数按50人计</w:t>
      </w:r>
      <w:r>
        <w:rPr>
          <w:rFonts w:cs="Times New Roman"/>
          <w:color w:val="0D0D0D" w:themeColor="text1" w:themeTint="F2"/>
          <w14:textFill>
            <w14:solidFill>
              <w14:schemeClr w14:val="tx1">
                <w14:lumMod w14:val="95000"/>
                <w14:lumOff w14:val="5000"/>
              </w14:schemeClr>
            </w14:solidFill>
          </w14:textFill>
        </w:rPr>
        <w:t>，生活垃圾</w:t>
      </w:r>
      <w:r>
        <w:rPr>
          <w:rFonts w:hint="eastAsia" w:cs="Times New Roman"/>
          <w:color w:val="0D0D0D" w:themeColor="text1" w:themeTint="F2"/>
          <w14:textFill>
            <w14:solidFill>
              <w14:schemeClr w14:val="tx1">
                <w14:lumMod w14:val="95000"/>
                <w14:lumOff w14:val="5000"/>
              </w14:schemeClr>
            </w14:solidFill>
          </w14:textFill>
        </w:rPr>
        <w:t>产污系数按</w:t>
      </w:r>
      <w:r>
        <w:rPr>
          <w:rFonts w:cs="Times New Roman"/>
          <w:color w:val="0D0D0D" w:themeColor="text1" w:themeTint="F2"/>
          <w14:textFill>
            <w14:solidFill>
              <w14:schemeClr w14:val="tx1">
                <w14:lumMod w14:val="95000"/>
                <w14:lumOff w14:val="5000"/>
              </w14:schemeClr>
            </w14:solidFill>
          </w14:textFill>
        </w:rPr>
        <w:t>0.5kg/d‧人</w:t>
      </w:r>
      <w:r>
        <w:rPr>
          <w:rFonts w:hint="eastAsia" w:cs="Times New Roman"/>
          <w:color w:val="0D0D0D" w:themeColor="text1" w:themeTint="F2"/>
          <w14:textFill>
            <w14:solidFill>
              <w14:schemeClr w14:val="tx1">
                <w14:lumMod w14:val="95000"/>
                <w14:lumOff w14:val="5000"/>
              </w14:schemeClr>
            </w14:solidFill>
          </w14:textFill>
        </w:rPr>
        <w:t>计</w:t>
      </w:r>
      <w:r>
        <w:rPr>
          <w:rFonts w:cs="Times New Roman"/>
          <w:color w:val="0D0D0D" w:themeColor="text1" w:themeTint="F2"/>
          <w14:textFill>
            <w14:solidFill>
              <w14:schemeClr w14:val="tx1">
                <w14:lumMod w14:val="95000"/>
                <w14:lumOff w14:val="5000"/>
              </w14:schemeClr>
            </w14:solidFill>
          </w14:textFill>
        </w:rPr>
        <w:t>，</w:t>
      </w:r>
      <w:r>
        <w:rPr>
          <w:rFonts w:hint="eastAsia" w:cs="Times New Roman"/>
          <w:color w:val="0D0D0D" w:themeColor="text1" w:themeTint="F2"/>
          <w14:textFill>
            <w14:solidFill>
              <w14:schemeClr w14:val="tx1">
                <w14:lumMod w14:val="95000"/>
                <w14:lumOff w14:val="5000"/>
              </w14:schemeClr>
            </w14:solidFill>
          </w14:textFill>
        </w:rPr>
        <w:t>则</w:t>
      </w:r>
      <w:r>
        <w:rPr>
          <w:rFonts w:cs="Times New Roman"/>
          <w:color w:val="0D0D0D" w:themeColor="text1" w:themeTint="F2"/>
          <w14:textFill>
            <w14:solidFill>
              <w14:schemeClr w14:val="tx1">
                <w14:lumMod w14:val="95000"/>
                <w14:lumOff w14:val="5000"/>
              </w14:schemeClr>
            </w14:solidFill>
          </w14:textFill>
        </w:rPr>
        <w:t>生活垃圾产生量为</w:t>
      </w:r>
      <w:r>
        <w:rPr>
          <w:rFonts w:hint="eastAsia" w:cs="Times New Roman"/>
          <w:color w:val="0D0D0D" w:themeColor="text1" w:themeTint="F2"/>
          <w14:textFill>
            <w14:solidFill>
              <w14:schemeClr w14:val="tx1">
                <w14:lumMod w14:val="95000"/>
                <w14:lumOff w14:val="5000"/>
              </w14:schemeClr>
            </w14:solidFill>
          </w14:textFill>
        </w:rPr>
        <w:t>25</w:t>
      </w:r>
      <w:r>
        <w:rPr>
          <w:rFonts w:cs="Times New Roman"/>
          <w:color w:val="0D0D0D" w:themeColor="text1" w:themeTint="F2"/>
          <w14:textFill>
            <w14:solidFill>
              <w14:schemeClr w14:val="tx1">
                <w14:lumMod w14:val="95000"/>
                <w14:lumOff w14:val="5000"/>
              </w14:schemeClr>
            </w14:solidFill>
          </w14:textFill>
        </w:rPr>
        <w:t>kg/d，统一袋装后收集放置于垃圾桶，交由环卫部门</w:t>
      </w:r>
      <w:bookmarkEnd w:id="104"/>
      <w:r>
        <w:rPr>
          <w:rFonts w:hint="eastAsia" w:cs="Times New Roman"/>
          <w:color w:val="0D0D0D" w:themeColor="text1" w:themeTint="F2"/>
          <w14:textFill>
            <w14:solidFill>
              <w14:schemeClr w14:val="tx1">
                <w14:lumMod w14:val="95000"/>
                <w14:lumOff w14:val="5000"/>
              </w14:schemeClr>
            </w14:solidFill>
          </w14:textFill>
        </w:rPr>
        <w:t>清运处置</w:t>
      </w:r>
      <w:r>
        <w:rPr>
          <w:rFonts w:cs="Times New Roman"/>
          <w:color w:val="0D0D0D" w:themeColor="text1" w:themeTint="F2"/>
          <w14:textFill>
            <w14:solidFill>
              <w14:schemeClr w14:val="tx1">
                <w14:lumMod w14:val="95000"/>
                <w14:lumOff w14:val="5000"/>
              </w14:schemeClr>
            </w14:solidFill>
          </w14:textFill>
        </w:rPr>
        <w:t>。</w:t>
      </w:r>
    </w:p>
    <w:p w14:paraId="490AEEE5">
      <w:pPr>
        <w:pStyle w:val="9"/>
      </w:pPr>
      <w:bookmarkStart w:id="105" w:name="_Toc204062577"/>
      <w:r>
        <w:rPr>
          <w:rFonts w:hint="eastAsia"/>
        </w:rPr>
        <w:t>运营期污染源分析</w:t>
      </w:r>
      <w:bookmarkEnd w:id="105"/>
    </w:p>
    <w:p w14:paraId="7421E397">
      <w:pPr>
        <w:pStyle w:val="10"/>
      </w:pPr>
      <w:r>
        <w:rPr>
          <w:rFonts w:hint="eastAsia"/>
        </w:rPr>
        <w:t>废气污染源分析</w:t>
      </w:r>
    </w:p>
    <w:p w14:paraId="1B90ACA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项目运营期废气主要为储罐呼吸废气、生产线工艺废气、导热油炉燃烧废气、污水处理站废气和食堂油烟等。余热蒸汽锅炉利用导热油炉高温烟气进行热量回收再利用，无燃料燃烧废气产生。</w:t>
      </w:r>
    </w:p>
    <w:p w14:paraId="15DB4FFB">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（1）废弃油脂装卸废气</w:t>
      </w:r>
    </w:p>
    <w:p w14:paraId="1997FE1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项目外购符合《生物柴油（BD100）原料  废弃油脂》（NB/T13007-2021）的废弃动植物油脂进行深加工，不涉及废弃油脂的酸化脱乳等预处理工艺，废弃动植物油脂的水杂含量小于3%，其含水率和臭气浓度较未经预处理的原始泔水油、潲水油已大大降低，但在装卸过程中会有少量恶臭气体产生，主要成分为氨、三甲胺、硫化氢、甲硫醇、甲硫醚、二甲二硫、二硫化碳等，本次评价以臭气浓度表征，由于项目废弃动植物油脂装卸均通过鹤管密闭输送，恶臭污染物主要产污环节为鹤管接口密封处以及阀门、法兰连接处，由于恶臭污染物产生量较少，本次评价不再对该部分废气进行定量核算，仅进行定性分析。</w:t>
      </w:r>
    </w:p>
    <w:p w14:paraId="1C008144">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（2）卸油池废气</w:t>
      </w:r>
    </w:p>
    <w:p w14:paraId="56C5973E">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（涉密，公示本已删除）。</w:t>
      </w:r>
    </w:p>
    <w:p w14:paraId="35BEF13F">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（3）储罐呼吸废气</w:t>
      </w:r>
    </w:p>
    <w:p w14:paraId="3251DFE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项目原辅料、产品和副产品在储存过程中，存在各种损耗而形成污染源，主要包括装罐和出罐损耗（大呼吸蒸发损耗）与静止存储损耗（小呼吸蒸发损耗）。</w:t>
      </w:r>
      <w:r>
        <w:rPr>
          <w:rFonts w:hint="eastAsia"/>
          <w:color w:val="0D0D0D" w:themeColor="text1" w:themeTint="F2"/>
          <w:u w:val="single"/>
          <w14:textFill>
            <w14:solidFill>
              <w14:schemeClr w14:val="tx1">
                <w14:lumMod w14:val="95000"/>
                <w14:lumOff w14:val="5000"/>
              </w14:schemeClr>
            </w14:solidFill>
          </w14:textFill>
        </w:rPr>
        <w:t>项目甲醇储罐为内浮顶充氮结构，其余储罐均为固定顶结构。</w:t>
      </w:r>
    </w:p>
    <w:p w14:paraId="0A08137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①装罐和出罐损耗（大呼吸损耗）</w:t>
      </w:r>
    </w:p>
    <w:p w14:paraId="109AFBFA">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大呼吸排放是由于人为的装料与卸料而产生的损失。因装料的结果，罐内压力超过释放压力时，蒸气从罐内压出；而卸料损失发生于液面排出，空气被抽入罐体内，因空气变成有机蒸气饱和的气体而膨胀，因而超过蒸气空间容纳的能力。</w:t>
      </w:r>
    </w:p>
    <w:p w14:paraId="00A2265F">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根据《空气污染和排放控制手册（工业污染源调查与研究 第二辑）》（美国环境保护局编，中国环境科学出版社），固定顶罐的“大呼吸”损耗可用下列公式计算：</w:t>
      </w:r>
    </w:p>
    <w:p w14:paraId="67A6AEB3">
      <w:pPr>
        <w:ind w:firstLine="480" w:firstLineChars="200"/>
        <w:jc w:val="center"/>
        <w:rPr>
          <w:rFonts w:cs="Times New Roman"/>
          <w:bCs/>
          <w:color w:val="0D0D0D" w:themeColor="text1" w:themeTint="F2"/>
          <w:szCs w:val="24"/>
          <w14:textFill>
            <w14:solidFill>
              <w14:schemeClr w14:val="tx1">
                <w14:lumMod w14:val="95000"/>
                <w14:lumOff w14:val="5000"/>
              </w14:schemeClr>
            </w14:solidFill>
          </w14:textFill>
        </w:rPr>
      </w:pPr>
      <w:r>
        <w:rPr>
          <w:rFonts w:cs="Times New Roman"/>
          <w:bCs/>
          <w:color w:val="0D0D0D" w:themeColor="text1" w:themeTint="F2"/>
          <w:szCs w:val="24"/>
          <w14:textFill>
            <w14:solidFill>
              <w14:schemeClr w14:val="tx1">
                <w14:lumMod w14:val="95000"/>
                <w14:lumOff w14:val="5000"/>
              </w14:schemeClr>
            </w14:solidFill>
          </w14:textFill>
        </w:rPr>
        <w:t>L</w:t>
      </w:r>
      <w:r>
        <w:rPr>
          <w:rFonts w:cs="Times New Roman"/>
          <w:bCs/>
          <w:color w:val="0D0D0D" w:themeColor="text1" w:themeTint="F2"/>
          <w:szCs w:val="24"/>
          <w:vertAlign w:val="subscript"/>
          <w14:textFill>
            <w14:solidFill>
              <w14:schemeClr w14:val="tx1">
                <w14:lumMod w14:val="95000"/>
                <w14:lumOff w14:val="5000"/>
              </w14:schemeClr>
            </w14:solidFill>
          </w14:textFill>
        </w:rPr>
        <w:t>W</w:t>
      </w:r>
      <w:r>
        <w:rPr>
          <w:rFonts w:cs="Times New Roman"/>
          <w:bCs/>
          <w:color w:val="0D0D0D" w:themeColor="text1" w:themeTint="F2"/>
          <w:szCs w:val="24"/>
          <w14:textFill>
            <w14:solidFill>
              <w14:schemeClr w14:val="tx1">
                <w14:lumMod w14:val="95000"/>
                <w14:lumOff w14:val="5000"/>
              </w14:schemeClr>
            </w14:solidFill>
          </w14:textFill>
        </w:rPr>
        <w:t>=4.188×10</w:t>
      </w:r>
      <w:r>
        <w:rPr>
          <w:rFonts w:cs="Times New Roman"/>
          <w:bCs/>
          <w:color w:val="0D0D0D" w:themeColor="text1" w:themeTint="F2"/>
          <w:szCs w:val="24"/>
          <w:vertAlign w:val="superscript"/>
          <w14:textFill>
            <w14:solidFill>
              <w14:schemeClr w14:val="tx1">
                <w14:lumMod w14:val="95000"/>
                <w14:lumOff w14:val="5000"/>
              </w14:schemeClr>
            </w14:solidFill>
          </w14:textFill>
        </w:rPr>
        <w:t>-7</w:t>
      </w:r>
      <w:r>
        <w:rPr>
          <w:rFonts w:cs="Times New Roman"/>
          <w:bCs/>
          <w:color w:val="0D0D0D" w:themeColor="text1" w:themeTint="F2"/>
          <w:szCs w:val="24"/>
          <w14:textFill>
            <w14:solidFill>
              <w14:schemeClr w14:val="tx1">
                <w14:lumMod w14:val="95000"/>
                <w14:lumOff w14:val="5000"/>
              </w14:schemeClr>
            </w14:solidFill>
          </w14:textFill>
        </w:rPr>
        <w:t>×M×P×K</w:t>
      </w:r>
      <w:r>
        <w:rPr>
          <w:rFonts w:cs="Times New Roman"/>
          <w:bCs/>
          <w:color w:val="0D0D0D" w:themeColor="text1" w:themeTint="F2"/>
          <w:szCs w:val="24"/>
          <w:vertAlign w:val="subscript"/>
          <w14:textFill>
            <w14:solidFill>
              <w14:schemeClr w14:val="tx1">
                <w14:lumMod w14:val="95000"/>
                <w14:lumOff w14:val="5000"/>
              </w14:schemeClr>
            </w14:solidFill>
          </w14:textFill>
        </w:rPr>
        <w:t>N</w:t>
      </w:r>
      <w:r>
        <w:rPr>
          <w:rFonts w:cs="Times New Roman"/>
          <w:bCs/>
          <w:color w:val="0D0D0D" w:themeColor="text1" w:themeTint="F2"/>
          <w:szCs w:val="24"/>
          <w14:textFill>
            <w14:solidFill>
              <w14:schemeClr w14:val="tx1">
                <w14:lumMod w14:val="95000"/>
                <w14:lumOff w14:val="5000"/>
              </w14:schemeClr>
            </w14:solidFill>
          </w14:textFill>
        </w:rPr>
        <w:t>×Kc</w:t>
      </w:r>
    </w:p>
    <w:p w14:paraId="0088FEF8">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cs="Times New Roman"/>
          <w:bCs/>
          <w:color w:val="0D0D0D" w:themeColor="text1" w:themeTint="F2"/>
          <w:szCs w:val="24"/>
          <w:u w:val="single"/>
          <w14:textFill>
            <w14:solidFill>
              <w14:schemeClr w14:val="tx1">
                <w14:lumMod w14:val="95000"/>
                <w14:lumOff w14:val="5000"/>
              </w14:schemeClr>
            </w14:solidFill>
          </w14:textFill>
        </w:rPr>
        <w:t>式中：</w:t>
      </w:r>
    </w:p>
    <w:p w14:paraId="22AA2B4A">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cs="Times New Roman"/>
          <w:bCs/>
          <w:color w:val="0D0D0D" w:themeColor="text1" w:themeTint="F2"/>
          <w:szCs w:val="24"/>
          <w:u w:val="single"/>
          <w14:textFill>
            <w14:solidFill>
              <w14:schemeClr w14:val="tx1">
                <w14:lumMod w14:val="95000"/>
                <w14:lumOff w14:val="5000"/>
              </w14:schemeClr>
            </w14:solidFill>
          </w14:textFill>
        </w:rPr>
        <w:t>L</w:t>
      </w:r>
      <w:r>
        <w:rPr>
          <w:rFonts w:cs="Times New Roman"/>
          <w:bCs/>
          <w:color w:val="0D0D0D" w:themeColor="text1" w:themeTint="F2"/>
          <w:szCs w:val="24"/>
          <w:u w:val="single"/>
          <w:vertAlign w:val="subscript"/>
          <w14:textFill>
            <w14:solidFill>
              <w14:schemeClr w14:val="tx1">
                <w14:lumMod w14:val="95000"/>
                <w14:lumOff w14:val="5000"/>
              </w14:schemeClr>
            </w14:solidFill>
          </w14:textFill>
        </w:rPr>
        <w:t>W</w:t>
      </w:r>
      <w:r>
        <w:rPr>
          <w:rFonts w:cs="Times New Roman"/>
          <w:bCs/>
          <w:color w:val="0D0D0D" w:themeColor="text1" w:themeTint="F2"/>
          <w:szCs w:val="24"/>
          <w:u w:val="single"/>
          <w14:textFill>
            <w14:solidFill>
              <w14:schemeClr w14:val="tx1">
                <w14:lumMod w14:val="95000"/>
                <w14:lumOff w14:val="5000"/>
              </w14:schemeClr>
            </w14:solidFill>
          </w14:textFill>
        </w:rPr>
        <w:t>—固定顶罐的工作损失（kg/m</w:t>
      </w:r>
      <w:r>
        <w:rPr>
          <w:rFonts w:cs="Times New Roman"/>
          <w:bCs/>
          <w:color w:val="0D0D0D" w:themeColor="text1" w:themeTint="F2"/>
          <w:szCs w:val="24"/>
          <w:u w:val="single"/>
          <w:vertAlign w:val="superscript"/>
          <w14:textFill>
            <w14:solidFill>
              <w14:schemeClr w14:val="tx1">
                <w14:lumMod w14:val="95000"/>
                <w14:lumOff w14:val="5000"/>
              </w14:schemeClr>
            </w14:solidFill>
          </w14:textFill>
        </w:rPr>
        <w:t>3</w:t>
      </w:r>
      <w:r>
        <w:rPr>
          <w:rFonts w:cs="Times New Roman"/>
          <w:bCs/>
          <w:color w:val="0D0D0D" w:themeColor="text1" w:themeTint="F2"/>
          <w:szCs w:val="24"/>
          <w:u w:val="single"/>
          <w14:textFill>
            <w14:solidFill>
              <w14:schemeClr w14:val="tx1">
                <w14:lumMod w14:val="95000"/>
                <w14:lumOff w14:val="5000"/>
              </w14:schemeClr>
            </w14:solidFill>
          </w14:textFill>
        </w:rPr>
        <w:t>投入量）；</w:t>
      </w:r>
    </w:p>
    <w:p w14:paraId="754B7C63">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cs="Times New Roman"/>
          <w:bCs/>
          <w:color w:val="0D0D0D" w:themeColor="text1" w:themeTint="F2"/>
          <w:szCs w:val="24"/>
          <w:u w:val="single"/>
          <w14:textFill>
            <w14:solidFill>
              <w14:schemeClr w14:val="tx1">
                <w14:lumMod w14:val="95000"/>
                <w14:lumOff w14:val="5000"/>
              </w14:schemeClr>
            </w14:solidFill>
          </w14:textFill>
        </w:rPr>
        <w:t>M—</w:t>
      </w:r>
      <w:r>
        <w:rPr>
          <w:rFonts w:hint="eastAsia" w:cs="Times New Roman"/>
          <w:bCs/>
          <w:color w:val="0D0D0D" w:themeColor="text1" w:themeTint="F2"/>
          <w:szCs w:val="24"/>
          <w:u w:val="single"/>
          <w14:textFill>
            <w14:solidFill>
              <w14:schemeClr w14:val="tx1">
                <w14:lumMod w14:val="95000"/>
                <w14:lumOff w14:val="5000"/>
              </w14:schemeClr>
            </w14:solidFill>
          </w14:textFill>
        </w:rPr>
        <w:t>储罐内蒸气</w:t>
      </w:r>
      <w:r>
        <w:rPr>
          <w:rFonts w:cs="Times New Roman"/>
          <w:bCs/>
          <w:color w:val="0D0D0D" w:themeColor="text1" w:themeTint="F2"/>
          <w:szCs w:val="24"/>
          <w:u w:val="single"/>
          <w14:textFill>
            <w14:solidFill>
              <w14:schemeClr w14:val="tx1">
                <w14:lumMod w14:val="95000"/>
                <w14:lumOff w14:val="5000"/>
              </w14:schemeClr>
            </w14:solidFill>
          </w14:textFill>
        </w:rPr>
        <w:t>分子量</w:t>
      </w:r>
      <w:r>
        <w:rPr>
          <w:rFonts w:hint="eastAsia" w:cs="Times New Roman"/>
          <w:bCs/>
          <w:color w:val="0D0D0D" w:themeColor="text1" w:themeTint="F2"/>
          <w:szCs w:val="24"/>
          <w:u w:val="single"/>
          <w14:textFill>
            <w14:solidFill>
              <w14:schemeClr w14:val="tx1">
                <w14:lumMod w14:val="95000"/>
                <w14:lumOff w14:val="5000"/>
              </w14:schemeClr>
            </w14:solidFill>
          </w14:textFill>
        </w:rPr>
        <w:t>，生物柴油储罐取296，重质脂肪酸储罐取284，工业级混合油储罐取282</w:t>
      </w:r>
      <w:r>
        <w:rPr>
          <w:rFonts w:cs="Times New Roman"/>
          <w:bCs/>
          <w:color w:val="0D0D0D" w:themeColor="text1" w:themeTint="F2"/>
          <w:szCs w:val="24"/>
          <w:u w:val="single"/>
          <w14:textFill>
            <w14:solidFill>
              <w14:schemeClr w14:val="tx1">
                <w14:lumMod w14:val="95000"/>
                <w14:lumOff w14:val="5000"/>
              </w14:schemeClr>
            </w14:solidFill>
          </w14:textFill>
        </w:rPr>
        <w:t>；</w:t>
      </w:r>
    </w:p>
    <w:p w14:paraId="6BEFEABE">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cs="Times New Roman"/>
          <w:bCs/>
          <w:color w:val="0D0D0D" w:themeColor="text1" w:themeTint="F2"/>
          <w:szCs w:val="24"/>
          <w:u w:val="single"/>
          <w14:textFill>
            <w14:solidFill>
              <w14:schemeClr w14:val="tx1">
                <w14:lumMod w14:val="95000"/>
                <w14:lumOff w14:val="5000"/>
              </w14:schemeClr>
            </w14:solidFill>
          </w14:textFill>
        </w:rPr>
        <w:t>P—在大量液体状态下，真实的蒸气压力（Pa）</w:t>
      </w:r>
      <w:r>
        <w:rPr>
          <w:rFonts w:hint="eastAsia" w:cs="Times New Roman"/>
          <w:bCs/>
          <w:color w:val="0D0D0D" w:themeColor="text1" w:themeTint="F2"/>
          <w:szCs w:val="24"/>
          <w:u w:val="single"/>
          <w14:textFill>
            <w14:solidFill>
              <w14:schemeClr w14:val="tx1">
                <w14:lumMod w14:val="95000"/>
                <w14:lumOff w14:val="5000"/>
              </w14:schemeClr>
            </w14:solidFill>
          </w14:textFill>
        </w:rPr>
        <w:t>，取500</w:t>
      </w:r>
      <w:r>
        <w:rPr>
          <w:rFonts w:cs="Times New Roman"/>
          <w:bCs/>
          <w:color w:val="0D0D0D" w:themeColor="text1" w:themeTint="F2"/>
          <w:szCs w:val="24"/>
          <w:u w:val="single"/>
          <w14:textFill>
            <w14:solidFill>
              <w14:schemeClr w14:val="tx1">
                <w14:lumMod w14:val="95000"/>
                <w14:lumOff w14:val="5000"/>
              </w14:schemeClr>
            </w14:solidFill>
          </w14:textFill>
        </w:rPr>
        <w:t>；</w:t>
      </w:r>
    </w:p>
    <w:p w14:paraId="6E0D7E85">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cs="Times New Roman"/>
          <w:bCs/>
          <w:color w:val="0D0D0D" w:themeColor="text1" w:themeTint="F2"/>
          <w:szCs w:val="24"/>
          <w:u w:val="single"/>
          <w14:textFill>
            <w14:solidFill>
              <w14:schemeClr w14:val="tx1">
                <w14:lumMod w14:val="95000"/>
                <w14:lumOff w14:val="5000"/>
              </w14:schemeClr>
            </w14:solidFill>
          </w14:textFill>
        </w:rPr>
        <w:t>K</w:t>
      </w:r>
      <w:r>
        <w:rPr>
          <w:rFonts w:cs="Times New Roman"/>
          <w:bCs/>
          <w:color w:val="0D0D0D" w:themeColor="text1" w:themeTint="F2"/>
          <w:szCs w:val="24"/>
          <w:u w:val="single"/>
          <w:vertAlign w:val="subscript"/>
          <w14:textFill>
            <w14:solidFill>
              <w14:schemeClr w14:val="tx1">
                <w14:lumMod w14:val="95000"/>
                <w14:lumOff w14:val="5000"/>
              </w14:schemeClr>
            </w14:solidFill>
          </w14:textFill>
        </w:rPr>
        <w:t>N</w:t>
      </w:r>
      <w:r>
        <w:rPr>
          <w:rFonts w:cs="Times New Roman"/>
          <w:bCs/>
          <w:color w:val="0D0D0D" w:themeColor="text1" w:themeTint="F2"/>
          <w:szCs w:val="24"/>
          <w:u w:val="single"/>
          <w14:textFill>
            <w14:solidFill>
              <w14:schemeClr w14:val="tx1">
                <w14:lumMod w14:val="95000"/>
                <w14:lumOff w14:val="5000"/>
              </w14:schemeClr>
            </w14:solidFill>
          </w14:textFill>
        </w:rPr>
        <w:t>—周转因子（无量纲），取值按年周转次数确定（K≤36，K</w:t>
      </w:r>
      <w:r>
        <w:rPr>
          <w:rFonts w:cs="Times New Roman"/>
          <w:bCs/>
          <w:color w:val="0D0D0D" w:themeColor="text1" w:themeTint="F2"/>
          <w:szCs w:val="24"/>
          <w:u w:val="single"/>
          <w:vertAlign w:val="subscript"/>
          <w14:textFill>
            <w14:solidFill>
              <w14:schemeClr w14:val="tx1">
                <w14:lumMod w14:val="95000"/>
                <w14:lumOff w14:val="5000"/>
              </w14:schemeClr>
            </w14:solidFill>
          </w14:textFill>
        </w:rPr>
        <w:t>N</w:t>
      </w:r>
      <w:r>
        <w:rPr>
          <w:rFonts w:cs="Times New Roman"/>
          <w:bCs/>
          <w:color w:val="0D0D0D" w:themeColor="text1" w:themeTint="F2"/>
          <w:szCs w:val="24"/>
          <w:u w:val="single"/>
          <w14:textFill>
            <w14:solidFill>
              <w14:schemeClr w14:val="tx1">
                <w14:lumMod w14:val="95000"/>
                <w14:lumOff w14:val="5000"/>
              </w14:schemeClr>
            </w14:solidFill>
          </w14:textFill>
        </w:rPr>
        <w:t>=1；36＜K≤220，K</w:t>
      </w:r>
      <w:r>
        <w:rPr>
          <w:rFonts w:cs="Times New Roman"/>
          <w:bCs/>
          <w:color w:val="0D0D0D" w:themeColor="text1" w:themeTint="F2"/>
          <w:szCs w:val="24"/>
          <w:u w:val="single"/>
          <w:vertAlign w:val="subscript"/>
          <w14:textFill>
            <w14:solidFill>
              <w14:schemeClr w14:val="tx1">
                <w14:lumMod w14:val="95000"/>
                <w14:lumOff w14:val="5000"/>
              </w14:schemeClr>
            </w14:solidFill>
          </w14:textFill>
        </w:rPr>
        <w:t>N</w:t>
      </w:r>
      <w:r>
        <w:rPr>
          <w:rFonts w:cs="Times New Roman"/>
          <w:bCs/>
          <w:color w:val="0D0D0D" w:themeColor="text1" w:themeTint="F2"/>
          <w:szCs w:val="24"/>
          <w:u w:val="single"/>
          <w14:textFill>
            <w14:solidFill>
              <w14:schemeClr w14:val="tx1">
                <w14:lumMod w14:val="95000"/>
                <w14:lumOff w14:val="5000"/>
              </w14:schemeClr>
            </w14:solidFill>
          </w14:textFill>
        </w:rPr>
        <w:t>=11.467×K</w:t>
      </w:r>
      <w:r>
        <w:rPr>
          <w:rFonts w:cs="Times New Roman"/>
          <w:bCs/>
          <w:color w:val="0D0D0D" w:themeColor="text1" w:themeTint="F2"/>
          <w:szCs w:val="24"/>
          <w:u w:val="single"/>
          <w:vertAlign w:val="superscript"/>
          <w14:textFill>
            <w14:solidFill>
              <w14:schemeClr w14:val="tx1">
                <w14:lumMod w14:val="95000"/>
                <w14:lumOff w14:val="5000"/>
              </w14:schemeClr>
            </w14:solidFill>
          </w14:textFill>
        </w:rPr>
        <w:t>-0.7026</w:t>
      </w:r>
      <w:r>
        <w:rPr>
          <w:rFonts w:cs="Times New Roman"/>
          <w:bCs/>
          <w:color w:val="0D0D0D" w:themeColor="text1" w:themeTint="F2"/>
          <w:szCs w:val="24"/>
          <w:u w:val="single"/>
          <w14:textFill>
            <w14:solidFill>
              <w14:schemeClr w14:val="tx1">
                <w14:lumMod w14:val="95000"/>
                <w14:lumOff w14:val="5000"/>
              </w14:schemeClr>
            </w14:solidFill>
          </w14:textFill>
        </w:rPr>
        <w:t>，K＞220，K</w:t>
      </w:r>
      <w:r>
        <w:rPr>
          <w:rFonts w:cs="Times New Roman"/>
          <w:bCs/>
          <w:color w:val="0D0D0D" w:themeColor="text1" w:themeTint="F2"/>
          <w:szCs w:val="24"/>
          <w:u w:val="single"/>
          <w:vertAlign w:val="subscript"/>
          <w14:textFill>
            <w14:solidFill>
              <w14:schemeClr w14:val="tx1">
                <w14:lumMod w14:val="95000"/>
                <w14:lumOff w14:val="5000"/>
              </w14:schemeClr>
            </w14:solidFill>
          </w14:textFill>
        </w:rPr>
        <w:t>N</w:t>
      </w:r>
      <w:r>
        <w:rPr>
          <w:rFonts w:cs="Times New Roman"/>
          <w:bCs/>
          <w:color w:val="0D0D0D" w:themeColor="text1" w:themeTint="F2"/>
          <w:szCs w:val="24"/>
          <w:u w:val="single"/>
          <w14:textFill>
            <w14:solidFill>
              <w14:schemeClr w14:val="tx1">
                <w14:lumMod w14:val="95000"/>
                <w14:lumOff w14:val="5000"/>
              </w14:schemeClr>
            </w14:solidFill>
          </w14:textFill>
        </w:rPr>
        <w:t>=0.26）</w:t>
      </w:r>
      <w:r>
        <w:rPr>
          <w:rFonts w:hint="eastAsia" w:cs="Times New Roman"/>
          <w:bCs/>
          <w:color w:val="0D0D0D" w:themeColor="text1" w:themeTint="F2"/>
          <w:szCs w:val="24"/>
          <w:u w:val="single"/>
          <w14:textFill>
            <w14:solidFill>
              <w14:schemeClr w14:val="tx1">
                <w14:lumMod w14:val="95000"/>
                <w14:lumOff w14:val="5000"/>
              </w14:schemeClr>
            </w14:solidFill>
          </w14:textFill>
        </w:rPr>
        <w:t>，根据设计资料，生物柴油周转次数K约为50次，</w:t>
      </w:r>
      <w:r>
        <w:rPr>
          <w:rFonts w:cs="Times New Roman"/>
          <w:bCs/>
          <w:color w:val="0D0D0D" w:themeColor="text1" w:themeTint="F2"/>
          <w:szCs w:val="24"/>
          <w:u w:val="single"/>
          <w14:textFill>
            <w14:solidFill>
              <w14:schemeClr w14:val="tx1">
                <w14:lumMod w14:val="95000"/>
                <w14:lumOff w14:val="5000"/>
              </w14:schemeClr>
            </w14:solidFill>
          </w14:textFill>
        </w:rPr>
        <w:t>K</w:t>
      </w:r>
      <w:r>
        <w:rPr>
          <w:rFonts w:cs="Times New Roman"/>
          <w:bCs/>
          <w:color w:val="0D0D0D" w:themeColor="text1" w:themeTint="F2"/>
          <w:szCs w:val="24"/>
          <w:u w:val="single"/>
          <w:vertAlign w:val="subscript"/>
          <w14:textFill>
            <w14:solidFill>
              <w14:schemeClr w14:val="tx1">
                <w14:lumMod w14:val="95000"/>
                <w14:lumOff w14:val="5000"/>
              </w14:schemeClr>
            </w14:solidFill>
          </w14:textFill>
        </w:rPr>
        <w:t>N</w:t>
      </w:r>
      <w:r>
        <w:rPr>
          <w:rFonts w:hint="eastAsia" w:cs="Times New Roman"/>
          <w:bCs/>
          <w:color w:val="0D0D0D" w:themeColor="text1" w:themeTint="F2"/>
          <w:szCs w:val="24"/>
          <w:u w:val="single"/>
          <w14:textFill>
            <w14:solidFill>
              <w14:schemeClr w14:val="tx1">
                <w14:lumMod w14:val="95000"/>
                <w14:lumOff w14:val="5000"/>
              </w14:schemeClr>
            </w14:solidFill>
          </w14:textFill>
        </w:rPr>
        <w:t>取0.73；重质脂肪酸周转次数K约为20次，</w:t>
      </w:r>
      <w:r>
        <w:rPr>
          <w:rFonts w:cs="Times New Roman"/>
          <w:bCs/>
          <w:color w:val="0D0D0D" w:themeColor="text1" w:themeTint="F2"/>
          <w:szCs w:val="24"/>
          <w:u w:val="single"/>
          <w14:textFill>
            <w14:solidFill>
              <w14:schemeClr w14:val="tx1">
                <w14:lumMod w14:val="95000"/>
                <w14:lumOff w14:val="5000"/>
              </w14:schemeClr>
            </w14:solidFill>
          </w14:textFill>
        </w:rPr>
        <w:t>K</w:t>
      </w:r>
      <w:r>
        <w:rPr>
          <w:rFonts w:cs="Times New Roman"/>
          <w:bCs/>
          <w:color w:val="0D0D0D" w:themeColor="text1" w:themeTint="F2"/>
          <w:szCs w:val="24"/>
          <w:u w:val="single"/>
          <w:vertAlign w:val="subscript"/>
          <w14:textFill>
            <w14:solidFill>
              <w14:schemeClr w14:val="tx1">
                <w14:lumMod w14:val="95000"/>
                <w14:lumOff w14:val="5000"/>
              </w14:schemeClr>
            </w14:solidFill>
          </w14:textFill>
        </w:rPr>
        <w:t>N</w:t>
      </w:r>
      <w:r>
        <w:rPr>
          <w:rFonts w:hint="eastAsia" w:cs="Times New Roman"/>
          <w:bCs/>
          <w:color w:val="0D0D0D" w:themeColor="text1" w:themeTint="F2"/>
          <w:szCs w:val="24"/>
          <w:u w:val="single"/>
          <w14:textFill>
            <w14:solidFill>
              <w14:schemeClr w14:val="tx1">
                <w14:lumMod w14:val="95000"/>
                <w14:lumOff w14:val="5000"/>
              </w14:schemeClr>
            </w14:solidFill>
          </w14:textFill>
        </w:rPr>
        <w:t>取1；工业级混合油周转次数K约为136次，</w:t>
      </w:r>
      <w:r>
        <w:rPr>
          <w:rFonts w:cs="Times New Roman"/>
          <w:bCs/>
          <w:color w:val="0D0D0D" w:themeColor="text1" w:themeTint="F2"/>
          <w:szCs w:val="24"/>
          <w:u w:val="single"/>
          <w14:textFill>
            <w14:solidFill>
              <w14:schemeClr w14:val="tx1">
                <w14:lumMod w14:val="95000"/>
                <w14:lumOff w14:val="5000"/>
              </w14:schemeClr>
            </w14:solidFill>
          </w14:textFill>
        </w:rPr>
        <w:t>K</w:t>
      </w:r>
      <w:r>
        <w:rPr>
          <w:rFonts w:cs="Times New Roman"/>
          <w:bCs/>
          <w:color w:val="0D0D0D" w:themeColor="text1" w:themeTint="F2"/>
          <w:szCs w:val="24"/>
          <w:u w:val="single"/>
          <w:vertAlign w:val="subscript"/>
          <w14:textFill>
            <w14:solidFill>
              <w14:schemeClr w14:val="tx1">
                <w14:lumMod w14:val="95000"/>
                <w14:lumOff w14:val="5000"/>
              </w14:schemeClr>
            </w14:solidFill>
          </w14:textFill>
        </w:rPr>
        <w:t>N</w:t>
      </w:r>
      <w:r>
        <w:rPr>
          <w:rFonts w:hint="eastAsia" w:cs="Times New Roman"/>
          <w:bCs/>
          <w:color w:val="0D0D0D" w:themeColor="text1" w:themeTint="F2"/>
          <w:szCs w:val="24"/>
          <w:u w:val="single"/>
          <w14:textFill>
            <w14:solidFill>
              <w14:schemeClr w14:val="tx1">
                <w14:lumMod w14:val="95000"/>
                <w14:lumOff w14:val="5000"/>
              </w14:schemeClr>
            </w14:solidFill>
          </w14:textFill>
        </w:rPr>
        <w:t>取0.36</w:t>
      </w:r>
      <w:r>
        <w:rPr>
          <w:rFonts w:cs="Times New Roman"/>
          <w:bCs/>
          <w:color w:val="0D0D0D" w:themeColor="text1" w:themeTint="F2"/>
          <w:szCs w:val="24"/>
          <w:u w:val="single"/>
          <w14:textFill>
            <w14:solidFill>
              <w14:schemeClr w14:val="tx1">
                <w14:lumMod w14:val="95000"/>
                <w14:lumOff w14:val="5000"/>
              </w14:schemeClr>
            </w14:solidFill>
          </w14:textFill>
        </w:rPr>
        <w:t>；</w:t>
      </w:r>
    </w:p>
    <w:p w14:paraId="16BBAC21">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cs="Times New Roman"/>
          <w:bCs/>
          <w:color w:val="0D0D0D" w:themeColor="text1" w:themeTint="F2"/>
          <w:szCs w:val="24"/>
          <w:u w:val="single"/>
          <w14:textFill>
            <w14:solidFill>
              <w14:schemeClr w14:val="tx1">
                <w14:lumMod w14:val="95000"/>
                <w14:lumOff w14:val="5000"/>
              </w14:schemeClr>
            </w14:solidFill>
          </w14:textFill>
        </w:rPr>
        <w:t>Kc—产品因子</w:t>
      </w:r>
      <w:r>
        <w:rPr>
          <w:rFonts w:hint="eastAsia" w:cs="Times New Roman"/>
          <w:bCs/>
          <w:color w:val="0D0D0D" w:themeColor="text1" w:themeTint="F2"/>
          <w:szCs w:val="24"/>
          <w:u w:val="single"/>
          <w14:textFill>
            <w14:solidFill>
              <w14:schemeClr w14:val="tx1">
                <w14:lumMod w14:val="95000"/>
                <w14:lumOff w14:val="5000"/>
              </w14:schemeClr>
            </w14:solidFill>
          </w14:textFill>
        </w:rPr>
        <w:t>，</w:t>
      </w:r>
      <w:r>
        <w:rPr>
          <w:rFonts w:cs="Times New Roman"/>
          <w:bCs/>
          <w:color w:val="0D0D0D" w:themeColor="text1" w:themeTint="F2"/>
          <w:szCs w:val="24"/>
          <w:u w:val="single"/>
          <w14:textFill>
            <w14:solidFill>
              <w14:schemeClr w14:val="tx1">
                <w14:lumMod w14:val="95000"/>
                <w14:lumOff w14:val="5000"/>
              </w14:schemeClr>
            </w14:solidFill>
          </w14:textFill>
        </w:rPr>
        <w:t>石油原油Kc取0.65，其他的有机液体取1.0</w:t>
      </w:r>
      <w:r>
        <w:rPr>
          <w:rFonts w:hint="eastAsia" w:cs="Times New Roman"/>
          <w:bCs/>
          <w:color w:val="0D0D0D" w:themeColor="text1" w:themeTint="F2"/>
          <w:szCs w:val="24"/>
          <w:u w:val="single"/>
          <w14:textFill>
            <w14:solidFill>
              <w14:schemeClr w14:val="tx1">
                <w14:lumMod w14:val="95000"/>
                <w14:lumOff w14:val="5000"/>
              </w14:schemeClr>
            </w14:solidFill>
          </w14:textFill>
        </w:rPr>
        <w:t>，本次评价取1</w:t>
      </w:r>
      <w:r>
        <w:rPr>
          <w:rFonts w:cs="Times New Roman"/>
          <w:bCs/>
          <w:color w:val="0D0D0D" w:themeColor="text1" w:themeTint="F2"/>
          <w:szCs w:val="24"/>
          <w:u w:val="single"/>
          <w14:textFill>
            <w14:solidFill>
              <w14:schemeClr w14:val="tx1">
                <w14:lumMod w14:val="95000"/>
                <w14:lumOff w14:val="5000"/>
              </w14:schemeClr>
            </w14:solidFill>
          </w14:textFill>
        </w:rPr>
        <w:t>。</w:t>
      </w:r>
    </w:p>
    <w:p w14:paraId="41FCBDC5">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根据上式计算，</w:t>
      </w:r>
      <w:r>
        <w:rPr>
          <w:rFonts w:hint="eastAsia" w:cs="Times New Roman"/>
          <w:bCs/>
          <w:color w:val="0D0D0D" w:themeColor="text1" w:themeTint="F2"/>
          <w:szCs w:val="24"/>
          <w:u w:val="single"/>
          <w14:textFill>
            <w14:solidFill>
              <w14:schemeClr w14:val="tx1">
                <w14:lumMod w14:val="95000"/>
                <w14:lumOff w14:val="5000"/>
              </w14:schemeClr>
            </w14:solidFill>
          </w14:textFill>
        </w:rPr>
        <w:t>生物柴油储罐</w:t>
      </w:r>
      <w:r>
        <w:rPr>
          <w:rFonts w:cs="Times New Roman"/>
          <w:bCs/>
          <w:color w:val="0D0D0D" w:themeColor="text1" w:themeTint="F2"/>
          <w:szCs w:val="24"/>
          <w:u w:val="single"/>
          <w14:textFill>
            <w14:solidFill>
              <w14:schemeClr w14:val="tx1">
                <w14:lumMod w14:val="95000"/>
                <w14:lumOff w14:val="5000"/>
              </w14:schemeClr>
            </w14:solidFill>
          </w14:textFill>
        </w:rPr>
        <w:t>L</w:t>
      </w:r>
      <w:r>
        <w:rPr>
          <w:rFonts w:hint="eastAsia" w:cs="Times New Roman"/>
          <w:bCs/>
          <w:color w:val="0D0D0D" w:themeColor="text1" w:themeTint="F2"/>
          <w:szCs w:val="24"/>
          <w:u w:val="single"/>
          <w:vertAlign w:val="subscript"/>
          <w14:textFill>
            <w14:solidFill>
              <w14:schemeClr w14:val="tx1">
                <w14:lumMod w14:val="95000"/>
                <w14:lumOff w14:val="5000"/>
              </w14:schemeClr>
            </w14:solidFill>
          </w14:textFill>
        </w:rPr>
        <w:t>w=</w:t>
      </w:r>
      <w:r>
        <w:rPr>
          <w:rFonts w:hint="eastAsia" w:cs="Times New Roman"/>
          <w:bCs/>
          <w:color w:val="0D0D0D" w:themeColor="text1" w:themeTint="F2"/>
          <w:szCs w:val="24"/>
          <w:u w:val="single"/>
          <w14:textFill>
            <w14:solidFill>
              <w14:schemeClr w14:val="tx1">
                <w14:lumMod w14:val="95000"/>
                <w14:lumOff w14:val="5000"/>
              </w14:schemeClr>
            </w14:solidFill>
          </w14:textFill>
        </w:rPr>
        <w:t>0.045kg/m</w:t>
      </w:r>
      <w:r>
        <w:rPr>
          <w:rFonts w:hint="eastAsia" w:cs="Times New Roman"/>
          <w:bCs/>
          <w:color w:val="0D0D0D" w:themeColor="text1" w:themeTint="F2"/>
          <w:szCs w:val="24"/>
          <w:u w:val="single"/>
          <w:vertAlign w:val="superscript"/>
          <w14:textFill>
            <w14:solidFill>
              <w14:schemeClr w14:val="tx1">
                <w14:lumMod w14:val="95000"/>
                <w14:lumOff w14:val="5000"/>
              </w14:schemeClr>
            </w14:solidFill>
          </w14:textFill>
        </w:rPr>
        <w:t>3</w:t>
      </w:r>
      <w:r>
        <w:rPr>
          <w:rFonts w:hint="eastAsia" w:cs="Times New Roman"/>
          <w:bCs/>
          <w:color w:val="0D0D0D" w:themeColor="text1" w:themeTint="F2"/>
          <w:szCs w:val="24"/>
          <w:u w:val="single"/>
          <w14:textFill>
            <w14:solidFill>
              <w14:schemeClr w14:val="tx1">
                <w14:lumMod w14:val="95000"/>
                <w14:lumOff w14:val="5000"/>
              </w14:schemeClr>
            </w14:solidFill>
          </w14:textFill>
        </w:rPr>
        <w:t>；重质脂肪酸储罐</w:t>
      </w:r>
      <w:r>
        <w:rPr>
          <w:rFonts w:cs="Times New Roman"/>
          <w:bCs/>
          <w:color w:val="0D0D0D" w:themeColor="text1" w:themeTint="F2"/>
          <w:szCs w:val="24"/>
          <w:u w:val="single"/>
          <w14:textFill>
            <w14:solidFill>
              <w14:schemeClr w14:val="tx1">
                <w14:lumMod w14:val="95000"/>
                <w14:lumOff w14:val="5000"/>
              </w14:schemeClr>
            </w14:solidFill>
          </w14:textFill>
        </w:rPr>
        <w:t>L</w:t>
      </w:r>
      <w:r>
        <w:rPr>
          <w:rFonts w:hint="eastAsia" w:cs="Times New Roman"/>
          <w:bCs/>
          <w:color w:val="0D0D0D" w:themeColor="text1" w:themeTint="F2"/>
          <w:szCs w:val="24"/>
          <w:u w:val="single"/>
          <w:vertAlign w:val="subscript"/>
          <w14:textFill>
            <w14:solidFill>
              <w14:schemeClr w14:val="tx1">
                <w14:lumMod w14:val="95000"/>
                <w14:lumOff w14:val="5000"/>
              </w14:schemeClr>
            </w14:solidFill>
          </w14:textFill>
        </w:rPr>
        <w:t>w=</w:t>
      </w:r>
      <w:r>
        <w:rPr>
          <w:rFonts w:hint="eastAsia" w:cs="Times New Roman"/>
          <w:bCs/>
          <w:color w:val="0D0D0D" w:themeColor="text1" w:themeTint="F2"/>
          <w:szCs w:val="24"/>
          <w:u w:val="single"/>
          <w14:textFill>
            <w14:solidFill>
              <w14:schemeClr w14:val="tx1">
                <w14:lumMod w14:val="95000"/>
                <w14:lumOff w14:val="5000"/>
              </w14:schemeClr>
            </w14:solidFill>
          </w14:textFill>
        </w:rPr>
        <w:t>0.059kg/m</w:t>
      </w:r>
      <w:r>
        <w:rPr>
          <w:rFonts w:hint="eastAsia" w:cs="Times New Roman"/>
          <w:bCs/>
          <w:color w:val="0D0D0D" w:themeColor="text1" w:themeTint="F2"/>
          <w:szCs w:val="24"/>
          <w:u w:val="single"/>
          <w:vertAlign w:val="superscript"/>
          <w14:textFill>
            <w14:solidFill>
              <w14:schemeClr w14:val="tx1">
                <w14:lumMod w14:val="95000"/>
                <w14:lumOff w14:val="5000"/>
              </w14:schemeClr>
            </w14:solidFill>
          </w14:textFill>
        </w:rPr>
        <w:t>3</w:t>
      </w:r>
      <w:r>
        <w:rPr>
          <w:rFonts w:hint="eastAsia" w:cs="Times New Roman"/>
          <w:bCs/>
          <w:color w:val="0D0D0D" w:themeColor="text1" w:themeTint="F2"/>
          <w:szCs w:val="24"/>
          <w:u w:val="single"/>
          <w14:textFill>
            <w14:solidFill>
              <w14:schemeClr w14:val="tx1">
                <w14:lumMod w14:val="95000"/>
                <w14:lumOff w14:val="5000"/>
              </w14:schemeClr>
            </w14:solidFill>
          </w14:textFill>
        </w:rPr>
        <w:t>；工业级混合油储罐</w:t>
      </w:r>
      <w:r>
        <w:rPr>
          <w:rFonts w:cs="Times New Roman"/>
          <w:bCs/>
          <w:color w:val="0D0D0D" w:themeColor="text1" w:themeTint="F2"/>
          <w:szCs w:val="24"/>
          <w:u w:val="single"/>
          <w14:textFill>
            <w14:solidFill>
              <w14:schemeClr w14:val="tx1">
                <w14:lumMod w14:val="95000"/>
                <w14:lumOff w14:val="5000"/>
              </w14:schemeClr>
            </w14:solidFill>
          </w14:textFill>
        </w:rPr>
        <w:t>L</w:t>
      </w:r>
      <w:r>
        <w:rPr>
          <w:rFonts w:hint="eastAsia" w:cs="Times New Roman"/>
          <w:bCs/>
          <w:color w:val="0D0D0D" w:themeColor="text1" w:themeTint="F2"/>
          <w:szCs w:val="24"/>
          <w:u w:val="single"/>
          <w:vertAlign w:val="subscript"/>
          <w14:textFill>
            <w14:solidFill>
              <w14:schemeClr w14:val="tx1">
                <w14:lumMod w14:val="95000"/>
                <w14:lumOff w14:val="5000"/>
              </w14:schemeClr>
            </w14:solidFill>
          </w14:textFill>
        </w:rPr>
        <w:t>w=</w:t>
      </w:r>
      <w:r>
        <w:rPr>
          <w:rFonts w:hint="eastAsia" w:cs="Times New Roman"/>
          <w:bCs/>
          <w:color w:val="0D0D0D" w:themeColor="text1" w:themeTint="F2"/>
          <w:szCs w:val="24"/>
          <w:u w:val="single"/>
          <w14:textFill>
            <w14:solidFill>
              <w14:schemeClr w14:val="tx1">
                <w14:lumMod w14:val="95000"/>
                <w14:lumOff w14:val="5000"/>
              </w14:schemeClr>
            </w14:solidFill>
          </w14:textFill>
        </w:rPr>
        <w:t>0.021kg/m</w:t>
      </w:r>
      <w:r>
        <w:rPr>
          <w:rFonts w:hint="eastAsia" w:cs="Times New Roman"/>
          <w:bCs/>
          <w:color w:val="0D0D0D" w:themeColor="text1" w:themeTint="F2"/>
          <w:szCs w:val="24"/>
          <w:u w:val="single"/>
          <w:vertAlign w:val="superscript"/>
          <w14:textFill>
            <w14:solidFill>
              <w14:schemeClr w14:val="tx1">
                <w14:lumMod w14:val="95000"/>
                <w14:lumOff w14:val="5000"/>
              </w14:schemeClr>
            </w14:solidFill>
          </w14:textFill>
        </w:rPr>
        <w:t>3</w:t>
      </w:r>
      <w:r>
        <w:rPr>
          <w:rFonts w:hint="eastAsia" w:cs="Times New Roman"/>
          <w:bCs/>
          <w:color w:val="0D0D0D" w:themeColor="text1" w:themeTint="F2"/>
          <w:szCs w:val="24"/>
          <w:u w:val="single"/>
          <w14:textFill>
            <w14:solidFill>
              <w14:schemeClr w14:val="tx1">
                <w14:lumMod w14:val="95000"/>
                <w14:lumOff w14:val="5000"/>
              </w14:schemeClr>
            </w14:solidFill>
          </w14:textFill>
        </w:rPr>
        <w:t>。</w:t>
      </w:r>
    </w:p>
    <w:p w14:paraId="2069F9B1">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hint="eastAsia" w:cs="Times New Roman"/>
          <w:bCs/>
          <w:color w:val="0D0D0D" w:themeColor="text1" w:themeTint="F2"/>
          <w:szCs w:val="24"/>
          <w:u w:val="single"/>
          <w14:textFill>
            <w14:solidFill>
              <w14:schemeClr w14:val="tx1">
                <w14:lumMod w14:val="95000"/>
                <w14:lumOff w14:val="5000"/>
              </w14:schemeClr>
            </w14:solidFill>
          </w14:textFill>
        </w:rPr>
        <w:t>项目设置有气相平衡管，根据《利用气相平衡管原理控制有机污染物的无组织排放》（齐刚，北方环境 第22卷第2期）中对气相平衡管的实际效果的实测结果，气相平衡管可减少约90%装卸过程的大呼吸废气排放，因此，生物柴油储罐</w:t>
      </w:r>
      <w:r>
        <w:rPr>
          <w:rFonts w:cs="Times New Roman"/>
          <w:bCs/>
          <w:color w:val="0D0D0D" w:themeColor="text1" w:themeTint="F2"/>
          <w:szCs w:val="24"/>
          <w:u w:val="single"/>
          <w14:textFill>
            <w14:solidFill>
              <w14:schemeClr w14:val="tx1">
                <w14:lumMod w14:val="95000"/>
                <w14:lumOff w14:val="5000"/>
              </w14:schemeClr>
            </w14:solidFill>
          </w14:textFill>
        </w:rPr>
        <w:t>L</w:t>
      </w:r>
      <w:r>
        <w:rPr>
          <w:rFonts w:hint="eastAsia" w:cs="Times New Roman"/>
          <w:bCs/>
          <w:color w:val="0D0D0D" w:themeColor="text1" w:themeTint="F2"/>
          <w:szCs w:val="24"/>
          <w:u w:val="single"/>
          <w:vertAlign w:val="subscript"/>
          <w14:textFill>
            <w14:solidFill>
              <w14:schemeClr w14:val="tx1">
                <w14:lumMod w14:val="95000"/>
                <w14:lumOff w14:val="5000"/>
              </w14:schemeClr>
            </w14:solidFill>
          </w14:textFill>
        </w:rPr>
        <w:t>w=</w:t>
      </w:r>
      <w:r>
        <w:rPr>
          <w:rFonts w:hint="eastAsia" w:cs="Times New Roman"/>
          <w:bCs/>
          <w:color w:val="0D0D0D" w:themeColor="text1" w:themeTint="F2"/>
          <w:szCs w:val="24"/>
          <w:u w:val="single"/>
          <w14:textFill>
            <w14:solidFill>
              <w14:schemeClr w14:val="tx1">
                <w14:lumMod w14:val="95000"/>
                <w14:lumOff w14:val="5000"/>
              </w14:schemeClr>
            </w14:solidFill>
          </w14:textFill>
        </w:rPr>
        <w:t>0.0045kg/m</w:t>
      </w:r>
      <w:r>
        <w:rPr>
          <w:rFonts w:hint="eastAsia" w:cs="Times New Roman"/>
          <w:bCs/>
          <w:color w:val="0D0D0D" w:themeColor="text1" w:themeTint="F2"/>
          <w:szCs w:val="24"/>
          <w:u w:val="single"/>
          <w:vertAlign w:val="superscript"/>
          <w14:textFill>
            <w14:solidFill>
              <w14:schemeClr w14:val="tx1">
                <w14:lumMod w14:val="95000"/>
                <w14:lumOff w14:val="5000"/>
              </w14:schemeClr>
            </w14:solidFill>
          </w14:textFill>
        </w:rPr>
        <w:t>3</w:t>
      </w:r>
      <w:r>
        <w:rPr>
          <w:rFonts w:hint="eastAsia" w:cs="Times New Roman"/>
          <w:bCs/>
          <w:color w:val="0D0D0D" w:themeColor="text1" w:themeTint="F2"/>
          <w:szCs w:val="24"/>
          <w:u w:val="single"/>
          <w14:textFill>
            <w14:solidFill>
              <w14:schemeClr w14:val="tx1">
                <w14:lumMod w14:val="95000"/>
                <w14:lumOff w14:val="5000"/>
              </w14:schemeClr>
            </w14:solidFill>
          </w14:textFill>
        </w:rPr>
        <w:t>；重质脂肪酸储罐</w:t>
      </w:r>
      <w:r>
        <w:rPr>
          <w:rFonts w:cs="Times New Roman"/>
          <w:bCs/>
          <w:color w:val="0D0D0D" w:themeColor="text1" w:themeTint="F2"/>
          <w:szCs w:val="24"/>
          <w:u w:val="single"/>
          <w14:textFill>
            <w14:solidFill>
              <w14:schemeClr w14:val="tx1">
                <w14:lumMod w14:val="95000"/>
                <w14:lumOff w14:val="5000"/>
              </w14:schemeClr>
            </w14:solidFill>
          </w14:textFill>
        </w:rPr>
        <w:t>L</w:t>
      </w:r>
      <w:r>
        <w:rPr>
          <w:rFonts w:hint="eastAsia" w:cs="Times New Roman"/>
          <w:bCs/>
          <w:color w:val="0D0D0D" w:themeColor="text1" w:themeTint="F2"/>
          <w:szCs w:val="24"/>
          <w:u w:val="single"/>
          <w:vertAlign w:val="subscript"/>
          <w14:textFill>
            <w14:solidFill>
              <w14:schemeClr w14:val="tx1">
                <w14:lumMod w14:val="95000"/>
                <w14:lumOff w14:val="5000"/>
              </w14:schemeClr>
            </w14:solidFill>
          </w14:textFill>
        </w:rPr>
        <w:t>w=</w:t>
      </w:r>
      <w:r>
        <w:rPr>
          <w:rFonts w:hint="eastAsia" w:cs="Times New Roman"/>
          <w:bCs/>
          <w:color w:val="0D0D0D" w:themeColor="text1" w:themeTint="F2"/>
          <w:szCs w:val="24"/>
          <w:u w:val="single"/>
          <w14:textFill>
            <w14:solidFill>
              <w14:schemeClr w14:val="tx1">
                <w14:lumMod w14:val="95000"/>
                <w14:lumOff w14:val="5000"/>
              </w14:schemeClr>
            </w14:solidFill>
          </w14:textFill>
        </w:rPr>
        <w:t>0.0059kg/m</w:t>
      </w:r>
      <w:r>
        <w:rPr>
          <w:rFonts w:hint="eastAsia" w:cs="Times New Roman"/>
          <w:bCs/>
          <w:color w:val="0D0D0D" w:themeColor="text1" w:themeTint="F2"/>
          <w:szCs w:val="24"/>
          <w:u w:val="single"/>
          <w:vertAlign w:val="superscript"/>
          <w14:textFill>
            <w14:solidFill>
              <w14:schemeClr w14:val="tx1">
                <w14:lumMod w14:val="95000"/>
                <w14:lumOff w14:val="5000"/>
              </w14:schemeClr>
            </w14:solidFill>
          </w14:textFill>
        </w:rPr>
        <w:t>3</w:t>
      </w:r>
      <w:r>
        <w:rPr>
          <w:rFonts w:hint="eastAsia" w:cs="Times New Roman"/>
          <w:bCs/>
          <w:color w:val="0D0D0D" w:themeColor="text1" w:themeTint="F2"/>
          <w:szCs w:val="24"/>
          <w:u w:val="single"/>
          <w14:textFill>
            <w14:solidFill>
              <w14:schemeClr w14:val="tx1">
                <w14:lumMod w14:val="95000"/>
                <w14:lumOff w14:val="5000"/>
              </w14:schemeClr>
            </w14:solidFill>
          </w14:textFill>
        </w:rPr>
        <w:t>；工业级混合油储罐</w:t>
      </w:r>
      <w:r>
        <w:rPr>
          <w:rFonts w:cs="Times New Roman"/>
          <w:bCs/>
          <w:color w:val="0D0D0D" w:themeColor="text1" w:themeTint="F2"/>
          <w:szCs w:val="24"/>
          <w:u w:val="single"/>
          <w14:textFill>
            <w14:solidFill>
              <w14:schemeClr w14:val="tx1">
                <w14:lumMod w14:val="95000"/>
                <w14:lumOff w14:val="5000"/>
              </w14:schemeClr>
            </w14:solidFill>
          </w14:textFill>
        </w:rPr>
        <w:t>L</w:t>
      </w:r>
      <w:r>
        <w:rPr>
          <w:rFonts w:hint="eastAsia" w:cs="Times New Roman"/>
          <w:bCs/>
          <w:color w:val="0D0D0D" w:themeColor="text1" w:themeTint="F2"/>
          <w:szCs w:val="24"/>
          <w:u w:val="single"/>
          <w:vertAlign w:val="subscript"/>
          <w14:textFill>
            <w14:solidFill>
              <w14:schemeClr w14:val="tx1">
                <w14:lumMod w14:val="95000"/>
                <w14:lumOff w14:val="5000"/>
              </w14:schemeClr>
            </w14:solidFill>
          </w14:textFill>
        </w:rPr>
        <w:t>w=</w:t>
      </w:r>
      <w:r>
        <w:rPr>
          <w:rFonts w:hint="eastAsia" w:cs="Times New Roman"/>
          <w:bCs/>
          <w:color w:val="0D0D0D" w:themeColor="text1" w:themeTint="F2"/>
          <w:szCs w:val="24"/>
          <w:u w:val="single"/>
          <w14:textFill>
            <w14:solidFill>
              <w14:schemeClr w14:val="tx1">
                <w14:lumMod w14:val="95000"/>
                <w14:lumOff w14:val="5000"/>
              </w14:schemeClr>
            </w14:solidFill>
          </w14:textFill>
        </w:rPr>
        <w:t>0.0021kg/m</w:t>
      </w:r>
      <w:r>
        <w:rPr>
          <w:rFonts w:hint="eastAsia" w:cs="Times New Roman"/>
          <w:bCs/>
          <w:color w:val="0D0D0D" w:themeColor="text1" w:themeTint="F2"/>
          <w:szCs w:val="24"/>
          <w:u w:val="single"/>
          <w:vertAlign w:val="superscript"/>
          <w14:textFill>
            <w14:solidFill>
              <w14:schemeClr w14:val="tx1">
                <w14:lumMod w14:val="95000"/>
                <w14:lumOff w14:val="5000"/>
              </w14:schemeClr>
            </w14:solidFill>
          </w14:textFill>
        </w:rPr>
        <w:t>3</w:t>
      </w:r>
      <w:r>
        <w:rPr>
          <w:rFonts w:hint="eastAsia" w:cs="Times New Roman"/>
          <w:bCs/>
          <w:color w:val="0D0D0D" w:themeColor="text1" w:themeTint="F2"/>
          <w:szCs w:val="24"/>
          <w:u w:val="single"/>
          <w14:textFill>
            <w14:solidFill>
              <w14:schemeClr w14:val="tx1">
                <w14:lumMod w14:val="95000"/>
                <w14:lumOff w14:val="5000"/>
              </w14:schemeClr>
            </w14:solidFill>
          </w14:textFill>
        </w:rPr>
        <w:t>。</w:t>
      </w:r>
    </w:p>
    <w:p w14:paraId="3E78BD7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浮顶罐的“大呼吸”损耗可用下列公式计算：</w:t>
      </w:r>
    </w:p>
    <w:p w14:paraId="0F773C4B">
      <w:pPr>
        <w:ind w:firstLine="480" w:firstLineChars="200"/>
        <w:jc w:val="center"/>
        <w:rPr>
          <w:color w:val="0D0D0D" w:themeColor="text1" w:themeTint="F2"/>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Lw=4×Q×C</w:t>
      </w:r>
      <w:r>
        <w:rPr>
          <w:color w:val="0D0D0D" w:themeColor="text1" w:themeTint="F2"/>
          <w:u w:val="single"/>
          <w:vertAlign w:val="subscript"/>
          <w14:textFill>
            <w14:solidFill>
              <w14:schemeClr w14:val="tx1">
                <w14:lumMod w14:val="95000"/>
                <w14:lumOff w14:val="5000"/>
              </w14:schemeClr>
            </w14:solidFill>
          </w14:textFill>
        </w:rPr>
        <w:t>1</w:t>
      </w:r>
      <w:r>
        <w:rPr>
          <w:color w:val="0D0D0D" w:themeColor="text1" w:themeTint="F2"/>
          <w:u w:val="single"/>
          <w14:textFill>
            <w14:solidFill>
              <w14:schemeClr w14:val="tx1">
                <w14:lumMod w14:val="95000"/>
                <w14:lumOff w14:val="5000"/>
              </w14:schemeClr>
            </w14:solidFill>
          </w14:textFill>
        </w:rPr>
        <w:t>×V/D</w:t>
      </w:r>
    </w:p>
    <w:p w14:paraId="7191AF37">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式中：</w:t>
      </w:r>
    </w:p>
    <w:p w14:paraId="4EAB92F0">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L</w:t>
      </w:r>
      <w:r>
        <w:rPr>
          <w:rFonts w:hint="eastAsia"/>
          <w:color w:val="0D0D0D" w:themeColor="text1" w:themeTint="F2"/>
          <w:u w:val="single"/>
          <w:vertAlign w:val="subscript"/>
          <w14:textFill>
            <w14:solidFill>
              <w14:schemeClr w14:val="tx1">
                <w14:lumMod w14:val="95000"/>
                <w14:lumOff w14:val="5000"/>
              </w14:schemeClr>
            </w14:solidFill>
          </w14:textFill>
        </w:rPr>
        <w:t>W</w:t>
      </w:r>
      <w:r>
        <w:rPr>
          <w:rFonts w:hint="eastAsia"/>
          <w:color w:val="0D0D0D" w:themeColor="text1" w:themeTint="F2"/>
          <w:u w:val="single"/>
          <w14:textFill>
            <w14:solidFill>
              <w14:schemeClr w14:val="tx1">
                <w14:lumMod w14:val="95000"/>
                <w14:lumOff w14:val="5000"/>
              </w14:schemeClr>
            </w14:solidFill>
          </w14:textFill>
        </w:rPr>
        <w:t>—浮顶罐的大呼吸损耗量，kg/a；</w:t>
      </w:r>
    </w:p>
    <w:p w14:paraId="2730EF4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Q—年泵送入罐量，m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/a，取32476.34；</w:t>
      </w:r>
    </w:p>
    <w:p w14:paraId="1B578A4D">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C</w:t>
      </w:r>
      <w:r>
        <w:rPr>
          <w:rFonts w:hint="eastAsia"/>
          <w:color w:val="0D0D0D" w:themeColor="text1" w:themeTint="F2"/>
          <w:u w:val="single"/>
          <w:vertAlign w:val="subscript"/>
          <w14:textFill>
            <w14:solidFill>
              <w14:schemeClr w14:val="tx1">
                <w14:lumMod w14:val="95000"/>
                <w14:lumOff w14:val="5000"/>
              </w14:schemeClr>
            </w14:solidFill>
          </w14:textFill>
        </w:rPr>
        <w:t>1</w:t>
      </w:r>
      <w:r>
        <w:rPr>
          <w:rFonts w:hint="eastAsia"/>
          <w:color w:val="0D0D0D" w:themeColor="text1" w:themeTint="F2"/>
          <w:u w:val="single"/>
          <w14:textFill>
            <w14:solidFill>
              <w14:schemeClr w14:val="tx1">
                <w14:lumMod w14:val="95000"/>
                <w14:lumOff w14:val="5000"/>
              </w14:schemeClr>
            </w14:solidFill>
          </w14:textFill>
        </w:rPr>
        <w:t>—罐壁粘附系数，m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，参照喷涂内璧的石油罐壁粘附系数1.03×10</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w:t>
      </w:r>
    </w:p>
    <w:p w14:paraId="08615EDA">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V—物料平均密度，kg/m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，甲醇取791；</w:t>
      </w:r>
    </w:p>
    <w:p w14:paraId="734795A4">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D—罐的直径，m，取6m；</w:t>
      </w:r>
    </w:p>
    <w:p w14:paraId="1AC9B8BB">
      <w:pPr>
        <w:pStyle w:val="2"/>
        <w:spacing w:after="0"/>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根据上式计算，</w:t>
      </w:r>
      <w:r>
        <w:rPr>
          <w:rFonts w:hint="eastAsia" w:cs="Times New Roman"/>
          <w:bCs/>
          <w:color w:val="0D0D0D" w:themeColor="text1" w:themeTint="F2"/>
          <w:szCs w:val="24"/>
          <w:u w:val="single"/>
          <w14:textFill>
            <w14:solidFill>
              <w14:schemeClr w14:val="tx1">
                <w14:lumMod w14:val="95000"/>
                <w14:lumOff w14:val="5000"/>
              </w14:schemeClr>
            </w14:solidFill>
          </w14:textFill>
        </w:rPr>
        <w:t>甲醇储罐</w:t>
      </w:r>
      <w:r>
        <w:rPr>
          <w:rFonts w:cs="Times New Roman"/>
          <w:bCs/>
          <w:color w:val="0D0D0D" w:themeColor="text1" w:themeTint="F2"/>
          <w:szCs w:val="24"/>
          <w:u w:val="single"/>
          <w14:textFill>
            <w14:solidFill>
              <w14:schemeClr w14:val="tx1">
                <w14:lumMod w14:val="95000"/>
                <w14:lumOff w14:val="5000"/>
              </w14:schemeClr>
            </w14:solidFill>
          </w14:textFill>
        </w:rPr>
        <w:t>L</w:t>
      </w:r>
      <w:r>
        <w:rPr>
          <w:rFonts w:hint="eastAsia" w:cs="Times New Roman"/>
          <w:bCs/>
          <w:color w:val="0D0D0D" w:themeColor="text1" w:themeTint="F2"/>
          <w:szCs w:val="24"/>
          <w:u w:val="single"/>
          <w:vertAlign w:val="subscript"/>
          <w14:textFill>
            <w14:solidFill>
              <w14:schemeClr w14:val="tx1">
                <w14:lumMod w14:val="95000"/>
                <w14:lumOff w14:val="5000"/>
              </w14:schemeClr>
            </w14:solidFill>
          </w14:textFill>
        </w:rPr>
        <w:t>w=</w:t>
      </w:r>
      <w:r>
        <w:rPr>
          <w:rFonts w:hint="eastAsia" w:cs="Times New Roman"/>
          <w:bCs/>
          <w:color w:val="0D0D0D" w:themeColor="text1" w:themeTint="F2"/>
          <w:szCs w:val="24"/>
          <w:u w:val="single"/>
          <w14:textFill>
            <w14:solidFill>
              <w14:schemeClr w14:val="tx1">
                <w14:lumMod w14:val="95000"/>
                <w14:lumOff w14:val="5000"/>
              </w14:schemeClr>
            </w14:solidFill>
          </w14:textFill>
        </w:rPr>
        <w:t>17640.33kg/a。</w:t>
      </w:r>
    </w:p>
    <w:p w14:paraId="66668E9E">
      <w:pPr>
        <w:pStyle w:val="2"/>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hint="eastAsia" w:cs="Times New Roman"/>
          <w:bCs/>
          <w:color w:val="0D0D0D" w:themeColor="text1" w:themeTint="F2"/>
          <w:szCs w:val="24"/>
          <w:u w:val="single"/>
          <w14:textFill>
            <w14:solidFill>
              <w14:schemeClr w14:val="tx1">
                <w14:lumMod w14:val="95000"/>
                <w14:lumOff w14:val="5000"/>
              </w14:schemeClr>
            </w14:solidFill>
          </w14:textFill>
        </w:rPr>
        <w:t>项目甲醇储罐设置氮封和气相平衡管，根据《利用气相平衡管原理控制有机污染物的无组织排放》（齐刚，北方环境 第22卷第2期）中对气相平衡管的实际效果的实测结果，气相平衡管可减少约90%装卸过程的大呼吸废气排放。根据《石油商技》（第17卷第3期）中《油罐氮封系统的应用》（郑学志），“氮封能有效防止烃类气体对周围环境的污染，污染程度下降95%~98%”。本次评价保守取值90%，则甲醇储罐</w:t>
      </w:r>
      <w:r>
        <w:rPr>
          <w:rFonts w:cs="Times New Roman"/>
          <w:bCs/>
          <w:color w:val="0D0D0D" w:themeColor="text1" w:themeTint="F2"/>
          <w:szCs w:val="24"/>
          <w:u w:val="single"/>
          <w14:textFill>
            <w14:solidFill>
              <w14:schemeClr w14:val="tx1">
                <w14:lumMod w14:val="95000"/>
                <w14:lumOff w14:val="5000"/>
              </w14:schemeClr>
            </w14:solidFill>
          </w14:textFill>
        </w:rPr>
        <w:t>L</w:t>
      </w:r>
      <w:r>
        <w:rPr>
          <w:rFonts w:hint="eastAsia" w:cs="Times New Roman"/>
          <w:bCs/>
          <w:color w:val="0D0D0D" w:themeColor="text1" w:themeTint="F2"/>
          <w:szCs w:val="24"/>
          <w:u w:val="single"/>
          <w:vertAlign w:val="subscript"/>
          <w14:textFill>
            <w14:solidFill>
              <w14:schemeClr w14:val="tx1">
                <w14:lumMod w14:val="95000"/>
                <w14:lumOff w14:val="5000"/>
              </w14:schemeClr>
            </w14:solidFill>
          </w14:textFill>
        </w:rPr>
        <w:t>w=</w:t>
      </w:r>
      <w:r>
        <w:rPr>
          <w:rFonts w:hint="eastAsia" w:cs="Times New Roman"/>
          <w:bCs/>
          <w:color w:val="0D0D0D" w:themeColor="text1" w:themeTint="F2"/>
          <w:szCs w:val="24"/>
          <w:u w:val="single"/>
          <w14:textFill>
            <w14:solidFill>
              <w14:schemeClr w14:val="tx1">
                <w14:lumMod w14:val="95000"/>
                <w14:lumOff w14:val="5000"/>
              </w14:schemeClr>
            </w14:solidFill>
          </w14:textFill>
        </w:rPr>
        <w:t>1764.03kg/a。</w:t>
      </w:r>
    </w:p>
    <w:p w14:paraId="38C7328C">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②静止储存损耗（小呼吸损耗）</w:t>
      </w:r>
    </w:p>
    <w:p w14:paraId="2A0F98D3">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小呼吸排放是由于温度和大气压力的变化引起蒸气的膨胀和收缩而产生的蒸气排出，它出现在罐内液面无任何变化的情况，是非人为干扰的自然排放方式。</w:t>
      </w:r>
    </w:p>
    <w:p w14:paraId="6F61FD60">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根据《空气污染和排放控制手册（工业污染源调查与研究 第二辑）》（美国环境保护局编，中国环境科学出版社），固定顶罐的“小呼吸”损耗可用下列公式计算：</w:t>
      </w:r>
    </w:p>
    <w:p w14:paraId="1D424928">
      <w:pPr>
        <w:spacing w:line="276" w:lineRule="auto"/>
        <w:ind w:firstLine="480" w:firstLineChars="200"/>
        <w:rPr>
          <w:rFonts w:cs="Times New Roman"/>
          <w:bCs/>
          <w:iCs/>
          <w:color w:val="0D0D0D" w:themeColor="text1" w:themeTint="F2"/>
          <w14:textFill>
            <w14:solidFill>
              <w14:schemeClr w14:val="tx1">
                <w14:lumMod w14:val="95000"/>
                <w14:lumOff w14:val="5000"/>
              </w14:schemeClr>
            </w14:solidFill>
          </w14:textFill>
        </w:rPr>
      </w:pPr>
      <w:bookmarkStart w:id="106" w:name="_Hlk83636047"/>
      <m:oMathPara>
        <m:oMath>
          <m:sSub>
            <m:sSubP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sSubPr>
            <m:e>
              <m:r>
                <m:rPr>
                  <m:sty m:val="p"/>
                </m:rPr>
                <w:rPr>
                  <w:rFonts w:ascii="Cambria Math" w:hAnsi="Cambria Math" w:cs="Times New Roman"/>
                  <w:color w:val="0D0D0D" w:themeColor="text1" w:themeTint="F2"/>
                  <w14:textFill>
                    <w14:solidFill>
                      <w14:schemeClr w14:val="tx1">
                        <w14:lumMod w14:val="95000"/>
                        <w14:lumOff w14:val="5000"/>
                      </w14:schemeClr>
                    </w14:solidFill>
                  </w14:textFill>
                </w:rPr>
                <m:t>L</m:t>
              </m: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e>
            <m:sub>
              <m:r>
                <m:rPr>
                  <m:sty m:val="p"/>
                </m:rPr>
                <w:rPr>
                  <w:rFonts w:ascii="Cambria Math" w:hAnsi="Cambria Math" w:cs="Times New Roman"/>
                  <w:color w:val="0D0D0D" w:themeColor="text1" w:themeTint="F2"/>
                  <w14:textFill>
                    <w14:solidFill>
                      <w14:schemeClr w14:val="tx1">
                        <w14:lumMod w14:val="95000"/>
                        <w14:lumOff w14:val="5000"/>
                      </w14:schemeClr>
                    </w14:solidFill>
                  </w14:textFill>
                </w:rPr>
                <m:t>B</m:t>
              </m: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sub>
          </m:sSub>
          <m:r>
            <m:rPr>
              <m:sty m:val="p"/>
            </m:rPr>
            <w:rPr>
              <w:rFonts w:ascii="Cambria Math" w:hAnsi="Cambria Math" w:cs="Times New Roman"/>
              <w:color w:val="0D0D0D" w:themeColor="text1" w:themeTint="F2"/>
              <w14:textFill>
                <w14:solidFill>
                  <w14:schemeClr w14:val="tx1">
                    <w14:lumMod w14:val="95000"/>
                    <w14:lumOff w14:val="5000"/>
                  </w14:schemeClr>
                </w14:solidFill>
              </w14:textFill>
            </w:rPr>
            <m:t>=0.191×M×</m:t>
          </m:r>
          <m:sSup>
            <m:sSupP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sSupPr>
            <m:e>
              <m:d>
                <m:dP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dPr>
                <m:e>
                  <m:f>
                    <m:fP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fPr>
                    <m:num>
                      <m:r>
                        <m:rPr>
                          <m:sty m:val="p"/>
                        </m:rPr>
                        <w:rPr>
                          <w:rFonts w:ascii="Cambria Math" w:hAnsi="Cambria Math" w:cs="Times New Roman"/>
                          <w:color w:val="0D0D0D" w:themeColor="text1" w:themeTint="F2"/>
                          <w14:textFill>
                            <w14:solidFill>
                              <w14:schemeClr w14:val="tx1">
                                <w14:lumMod w14:val="95000"/>
                                <w14:lumOff w14:val="5000"/>
                              </w14:schemeClr>
                            </w14:solidFill>
                          </w14:textFill>
                        </w:rPr>
                        <m:t>P</m:t>
                      </m: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num>
                    <m:den>
                      <m:r>
                        <m:rPr>
                          <m:sty m:val="p"/>
                        </m:rPr>
                        <w:rPr>
                          <w:rFonts w:ascii="Cambria Math" w:hAnsi="Cambria Math" w:cs="Times New Roman"/>
                          <w:color w:val="0D0D0D" w:themeColor="text1" w:themeTint="F2"/>
                          <w14:textFill>
                            <w14:solidFill>
                              <w14:schemeClr w14:val="tx1">
                                <w14:lumMod w14:val="95000"/>
                                <w14:lumOff w14:val="5000"/>
                              </w14:schemeClr>
                            </w14:solidFill>
                          </w14:textFill>
                        </w:rPr>
                        <m:t>100910−P</m:t>
                      </m: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den>
                  </m:f>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e>
              </m:d>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e>
            <m:sup>
              <m:r>
                <m:rPr>
                  <m:sty m:val="p"/>
                </m:rPr>
                <w:rPr>
                  <w:rFonts w:ascii="Cambria Math" w:hAnsi="Cambria Math" w:cs="Times New Roman"/>
                  <w:color w:val="0D0D0D" w:themeColor="text1" w:themeTint="F2"/>
                  <w14:textFill>
                    <w14:solidFill>
                      <w14:schemeClr w14:val="tx1">
                        <w14:lumMod w14:val="95000"/>
                        <w14:lumOff w14:val="5000"/>
                      </w14:schemeClr>
                    </w14:solidFill>
                  </w14:textFill>
                </w:rPr>
                <m:t>0.68</m:t>
              </m: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sup>
          </m:sSup>
          <m:r>
            <m:rPr>
              <m:sty m:val="p"/>
            </m:rPr>
            <w:rPr>
              <w:rFonts w:ascii="Cambria Math" w:hAnsi="Cambria Math" w:cs="Times New Roman"/>
              <w:color w:val="0D0D0D" w:themeColor="text1" w:themeTint="F2"/>
              <w14:textFill>
                <w14:solidFill>
                  <w14:schemeClr w14:val="tx1">
                    <w14:lumMod w14:val="95000"/>
                    <w14:lumOff w14:val="5000"/>
                  </w14:schemeClr>
                </w14:solidFill>
              </w14:textFill>
            </w:rPr>
            <m:t>×</m:t>
          </m:r>
          <m:sSup>
            <m:sSupP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sSupPr>
            <m:e>
              <m:r>
                <m:rPr>
                  <m:sty m:val="p"/>
                </m:rPr>
                <w:rPr>
                  <w:rFonts w:ascii="Cambria Math" w:hAnsi="Cambria Math" w:cs="Times New Roman"/>
                  <w:color w:val="0D0D0D" w:themeColor="text1" w:themeTint="F2"/>
                  <w14:textFill>
                    <w14:solidFill>
                      <w14:schemeClr w14:val="tx1">
                        <w14:lumMod w14:val="95000"/>
                        <w14:lumOff w14:val="5000"/>
                      </w14:schemeClr>
                    </w14:solidFill>
                  </w14:textFill>
                </w:rPr>
                <m:t>D</m:t>
              </m: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e>
            <m:sup>
              <m:r>
                <m:rPr>
                  <m:sty m:val="p"/>
                </m:rPr>
                <w:rPr>
                  <w:rFonts w:ascii="Cambria Math" w:hAnsi="Cambria Math" w:cs="Times New Roman"/>
                  <w:color w:val="0D0D0D" w:themeColor="text1" w:themeTint="F2"/>
                  <w14:textFill>
                    <w14:solidFill>
                      <w14:schemeClr w14:val="tx1">
                        <w14:lumMod w14:val="95000"/>
                        <w14:lumOff w14:val="5000"/>
                      </w14:schemeClr>
                    </w14:solidFill>
                  </w14:textFill>
                </w:rPr>
                <m:t>1.73</m:t>
              </m: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sup>
          </m:sSup>
          <m:r>
            <m:rPr>
              <m:sty m:val="p"/>
            </m:rPr>
            <w:rPr>
              <w:rFonts w:ascii="Cambria Math" w:hAnsi="Cambria Math" w:cs="Times New Roman"/>
              <w:color w:val="0D0D0D" w:themeColor="text1" w:themeTint="F2"/>
              <w14:textFill>
                <w14:solidFill>
                  <w14:schemeClr w14:val="tx1">
                    <w14:lumMod w14:val="95000"/>
                    <w14:lumOff w14:val="5000"/>
                  </w14:schemeClr>
                </w14:solidFill>
              </w14:textFill>
            </w:rPr>
            <m:t>×</m:t>
          </m:r>
          <m:sSup>
            <m:sSupP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sSupPr>
            <m:e>
              <m:r>
                <m:rPr>
                  <m:sty m:val="p"/>
                </m:rPr>
                <w:rPr>
                  <w:rFonts w:ascii="Cambria Math" w:hAnsi="Cambria Math" w:cs="Times New Roman"/>
                  <w:color w:val="0D0D0D" w:themeColor="text1" w:themeTint="F2"/>
                  <w14:textFill>
                    <w14:solidFill>
                      <w14:schemeClr w14:val="tx1">
                        <w14:lumMod w14:val="95000"/>
                        <w14:lumOff w14:val="5000"/>
                      </w14:schemeClr>
                    </w14:solidFill>
                  </w14:textFill>
                </w:rPr>
                <m:t>H</m:t>
              </m: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e>
            <m:sup>
              <m:r>
                <m:rPr>
                  <m:sty m:val="p"/>
                </m:rPr>
                <w:rPr>
                  <w:rFonts w:ascii="Cambria Math" w:hAnsi="Cambria Math" w:cs="Times New Roman"/>
                  <w:color w:val="0D0D0D" w:themeColor="text1" w:themeTint="F2"/>
                  <w14:textFill>
                    <w14:solidFill>
                      <w14:schemeClr w14:val="tx1">
                        <w14:lumMod w14:val="95000"/>
                        <w14:lumOff w14:val="5000"/>
                      </w14:schemeClr>
                    </w14:solidFill>
                  </w14:textFill>
                </w:rPr>
                <m:t>0.51</m:t>
              </m: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sup>
          </m:sSup>
          <m:r>
            <m:rPr>
              <m:sty m:val="p"/>
            </m:rPr>
            <w:rPr>
              <w:rFonts w:ascii="Cambria Math" w:hAnsi="Cambria Math" w:cs="Times New Roman"/>
              <w:color w:val="0D0D0D" w:themeColor="text1" w:themeTint="F2"/>
              <w14:textFill>
                <w14:solidFill>
                  <w14:schemeClr w14:val="tx1">
                    <w14:lumMod w14:val="95000"/>
                    <w14:lumOff w14:val="5000"/>
                  </w14:schemeClr>
                </w14:solidFill>
              </w14:textFill>
            </w:rPr>
            <m:t>×∆</m:t>
          </m:r>
          <m:sSup>
            <m:sSupP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sSupPr>
            <m:e>
              <m:r>
                <m:rPr>
                  <m:sty m:val="p"/>
                </m:rPr>
                <w:rPr>
                  <w:rFonts w:ascii="Cambria Math" w:hAnsi="Cambria Math" w:cs="Times New Roman"/>
                  <w:color w:val="0D0D0D" w:themeColor="text1" w:themeTint="F2"/>
                  <w14:textFill>
                    <w14:solidFill>
                      <w14:schemeClr w14:val="tx1">
                        <w14:lumMod w14:val="95000"/>
                        <w14:lumOff w14:val="5000"/>
                      </w14:schemeClr>
                    </w14:solidFill>
                  </w14:textFill>
                </w:rPr>
                <m:t>T</m:t>
              </m: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e>
            <m:sup>
              <m:r>
                <m:rPr>
                  <m:sty m:val="p"/>
                </m:rPr>
                <w:rPr>
                  <w:rFonts w:ascii="Cambria Math" w:hAnsi="Cambria Math" w:cs="Times New Roman"/>
                  <w:color w:val="0D0D0D" w:themeColor="text1" w:themeTint="F2"/>
                  <w14:textFill>
                    <w14:solidFill>
                      <w14:schemeClr w14:val="tx1">
                        <w14:lumMod w14:val="95000"/>
                        <w14:lumOff w14:val="5000"/>
                      </w14:schemeClr>
                    </w14:solidFill>
                  </w14:textFill>
                </w:rPr>
                <m:t>0.45</m:t>
              </m: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sup>
          </m:sSup>
          <m:r>
            <m:rPr>
              <m:sty m:val="p"/>
            </m:rPr>
            <w:rPr>
              <w:rFonts w:ascii="Cambria Math" w:hAnsi="Cambria Math" w:cs="Times New Roman"/>
              <w:color w:val="0D0D0D" w:themeColor="text1" w:themeTint="F2"/>
              <w14:textFill>
                <w14:solidFill>
                  <w14:schemeClr w14:val="tx1">
                    <w14:lumMod w14:val="95000"/>
                    <w14:lumOff w14:val="5000"/>
                  </w14:schemeClr>
                </w14:solidFill>
              </w14:textFill>
            </w:rPr>
            <m:t>×</m:t>
          </m:r>
          <m:sSub>
            <m:sSubP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sSubPr>
            <m:e>
              <m:r>
                <m:rPr>
                  <m:sty m:val="p"/>
                </m:rPr>
                <w:rPr>
                  <w:rFonts w:ascii="Cambria Math" w:hAnsi="Cambria Math" w:cs="Times New Roman"/>
                  <w:color w:val="0D0D0D" w:themeColor="text1" w:themeTint="F2"/>
                  <w14:textFill>
                    <w14:solidFill>
                      <w14:schemeClr w14:val="tx1">
                        <w14:lumMod w14:val="95000"/>
                        <w14:lumOff w14:val="5000"/>
                      </w14:schemeClr>
                    </w14:solidFill>
                  </w14:textFill>
                </w:rPr>
                <m:t>F</m:t>
              </m: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e>
            <m:sub>
              <m:r>
                <m:rPr>
                  <m:sty m:val="p"/>
                </m:rPr>
                <w:rPr>
                  <w:rFonts w:ascii="Cambria Math" w:hAnsi="Cambria Math" w:cs="Times New Roman"/>
                  <w:color w:val="0D0D0D" w:themeColor="text1" w:themeTint="F2"/>
                  <w14:textFill>
                    <w14:solidFill>
                      <w14:schemeClr w14:val="tx1">
                        <w14:lumMod w14:val="95000"/>
                        <w14:lumOff w14:val="5000"/>
                      </w14:schemeClr>
                    </w14:solidFill>
                  </w14:textFill>
                </w:rPr>
                <m:t>P</m:t>
              </m: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sub>
          </m:sSub>
          <m:r>
            <m:rPr>
              <m:sty m:val="p"/>
            </m:rPr>
            <w:rPr>
              <w:rFonts w:ascii="Cambria Math" w:hAnsi="Cambria Math" w:cs="Times New Roman"/>
              <w:color w:val="0D0D0D" w:themeColor="text1" w:themeTint="F2"/>
              <w14:textFill>
                <w14:solidFill>
                  <w14:schemeClr w14:val="tx1">
                    <w14:lumMod w14:val="95000"/>
                    <w14:lumOff w14:val="5000"/>
                  </w14:schemeClr>
                </w14:solidFill>
              </w14:textFill>
            </w:rPr>
            <m:t>×C×</m:t>
          </m:r>
          <m:sSub>
            <m:sSubP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sSubPr>
            <m:e>
              <m:r>
                <m:rPr>
                  <m:sty m:val="p"/>
                </m:rPr>
                <w:rPr>
                  <w:rFonts w:ascii="Cambria Math" w:hAnsi="Cambria Math" w:cs="Times New Roman"/>
                  <w:color w:val="0D0D0D" w:themeColor="text1" w:themeTint="F2"/>
                  <w14:textFill>
                    <w14:solidFill>
                      <w14:schemeClr w14:val="tx1">
                        <w14:lumMod w14:val="95000"/>
                        <w14:lumOff w14:val="5000"/>
                      </w14:schemeClr>
                    </w14:solidFill>
                  </w14:textFill>
                </w:rPr>
                <m:t>K</m:t>
              </m: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e>
            <m:sub>
              <m:r>
                <m:rPr>
                  <m:sty m:val="p"/>
                </m:rPr>
                <w:rPr>
                  <w:rFonts w:ascii="Cambria Math" w:hAnsi="Cambria Math" w:cs="Times New Roman"/>
                  <w:color w:val="0D0D0D" w:themeColor="text1" w:themeTint="F2"/>
                  <w14:textFill>
                    <w14:solidFill>
                      <w14:schemeClr w14:val="tx1">
                        <w14:lumMod w14:val="95000"/>
                        <w14:lumOff w14:val="5000"/>
                      </w14:schemeClr>
                    </w14:solidFill>
                  </w14:textFill>
                </w:rPr>
                <m:t>C</m:t>
              </m: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sub>
          </m:sSub>
        </m:oMath>
      </m:oMathPara>
    </w:p>
    <w:bookmarkEnd w:id="106"/>
    <w:p w14:paraId="12FD51FC">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cs="Times New Roman"/>
          <w:bCs/>
          <w:color w:val="0D0D0D" w:themeColor="text1" w:themeTint="F2"/>
          <w:szCs w:val="24"/>
          <w:u w:val="single"/>
          <w14:textFill>
            <w14:solidFill>
              <w14:schemeClr w14:val="tx1">
                <w14:lumMod w14:val="95000"/>
                <w14:lumOff w14:val="5000"/>
              </w14:schemeClr>
            </w14:solidFill>
          </w14:textFill>
        </w:rPr>
        <w:t>式中：</w:t>
      </w:r>
    </w:p>
    <w:p w14:paraId="1B3EEAD8">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cs="Times New Roman"/>
          <w:bCs/>
          <w:color w:val="0D0D0D" w:themeColor="text1" w:themeTint="F2"/>
          <w:szCs w:val="24"/>
          <w:u w:val="single"/>
          <w14:textFill>
            <w14:solidFill>
              <w14:schemeClr w14:val="tx1">
                <w14:lumMod w14:val="95000"/>
                <w14:lumOff w14:val="5000"/>
              </w14:schemeClr>
            </w14:solidFill>
          </w14:textFill>
        </w:rPr>
        <w:t>L</w:t>
      </w:r>
      <w:r>
        <w:rPr>
          <w:rFonts w:cs="Times New Roman"/>
          <w:bCs/>
          <w:color w:val="0D0D0D" w:themeColor="text1" w:themeTint="F2"/>
          <w:szCs w:val="24"/>
          <w:u w:val="single"/>
          <w:vertAlign w:val="subscript"/>
          <w14:textFill>
            <w14:solidFill>
              <w14:schemeClr w14:val="tx1">
                <w14:lumMod w14:val="95000"/>
                <w14:lumOff w14:val="5000"/>
              </w14:schemeClr>
            </w14:solidFill>
          </w14:textFill>
        </w:rPr>
        <w:t>B</w:t>
      </w:r>
      <w:r>
        <w:rPr>
          <w:rFonts w:cs="Times New Roman"/>
          <w:bCs/>
          <w:color w:val="0D0D0D" w:themeColor="text1" w:themeTint="F2"/>
          <w:szCs w:val="24"/>
          <w:u w:val="single"/>
          <w14:textFill>
            <w14:solidFill>
              <w14:schemeClr w14:val="tx1">
                <w14:lumMod w14:val="95000"/>
                <w14:lumOff w14:val="5000"/>
              </w14:schemeClr>
            </w14:solidFill>
          </w14:textFill>
        </w:rPr>
        <w:t>—固定顶罐的小呼吸排放量，kg/a；</w:t>
      </w:r>
    </w:p>
    <w:p w14:paraId="57C42015">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cs="Times New Roman"/>
          <w:bCs/>
          <w:color w:val="0D0D0D" w:themeColor="text1" w:themeTint="F2"/>
          <w:szCs w:val="24"/>
          <w:u w:val="single"/>
          <w14:textFill>
            <w14:solidFill>
              <w14:schemeClr w14:val="tx1">
                <w14:lumMod w14:val="95000"/>
                <w14:lumOff w14:val="5000"/>
              </w14:schemeClr>
            </w14:solidFill>
          </w14:textFill>
        </w:rPr>
        <w:t>M—储罐内蒸气分子量</w:t>
      </w:r>
      <w:r>
        <w:rPr>
          <w:rFonts w:hint="eastAsia" w:cs="Times New Roman"/>
          <w:bCs/>
          <w:color w:val="0D0D0D" w:themeColor="text1" w:themeTint="F2"/>
          <w:szCs w:val="24"/>
          <w:u w:val="single"/>
          <w14:textFill>
            <w14:solidFill>
              <w14:schemeClr w14:val="tx1">
                <w14:lumMod w14:val="95000"/>
                <w14:lumOff w14:val="5000"/>
              </w14:schemeClr>
            </w14:solidFill>
          </w14:textFill>
        </w:rPr>
        <w:t>，生物柴油储罐取296，重质脂肪酸储罐取284，工业级混合油储罐取282</w:t>
      </w:r>
      <w:r>
        <w:rPr>
          <w:rFonts w:cs="Times New Roman"/>
          <w:bCs/>
          <w:color w:val="0D0D0D" w:themeColor="text1" w:themeTint="F2"/>
          <w:szCs w:val="24"/>
          <w:u w:val="single"/>
          <w14:textFill>
            <w14:solidFill>
              <w14:schemeClr w14:val="tx1">
                <w14:lumMod w14:val="95000"/>
                <w14:lumOff w14:val="5000"/>
              </w14:schemeClr>
            </w14:solidFill>
          </w14:textFill>
        </w:rPr>
        <w:t>；</w:t>
      </w:r>
    </w:p>
    <w:p w14:paraId="1A0FA7A3">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cs="Times New Roman"/>
          <w:bCs/>
          <w:color w:val="0D0D0D" w:themeColor="text1" w:themeTint="F2"/>
          <w:szCs w:val="24"/>
          <w:u w:val="single"/>
          <w14:textFill>
            <w14:solidFill>
              <w14:schemeClr w14:val="tx1">
                <w14:lumMod w14:val="95000"/>
                <w14:lumOff w14:val="5000"/>
              </w14:schemeClr>
            </w14:solidFill>
          </w14:textFill>
        </w:rPr>
        <w:t>P—在大量液体状态下，真实的蒸气压力（Pa）</w:t>
      </w:r>
      <w:r>
        <w:rPr>
          <w:rFonts w:hint="eastAsia" w:cs="Times New Roman"/>
          <w:bCs/>
          <w:color w:val="0D0D0D" w:themeColor="text1" w:themeTint="F2"/>
          <w:szCs w:val="24"/>
          <w:u w:val="single"/>
          <w14:textFill>
            <w14:solidFill>
              <w14:schemeClr w14:val="tx1">
                <w14:lumMod w14:val="95000"/>
                <w14:lumOff w14:val="5000"/>
              </w14:schemeClr>
            </w14:solidFill>
          </w14:textFill>
        </w:rPr>
        <w:t>，取500</w:t>
      </w:r>
      <w:r>
        <w:rPr>
          <w:rFonts w:cs="Times New Roman"/>
          <w:bCs/>
          <w:color w:val="0D0D0D" w:themeColor="text1" w:themeTint="F2"/>
          <w:szCs w:val="24"/>
          <w:u w:val="single"/>
          <w14:textFill>
            <w14:solidFill>
              <w14:schemeClr w14:val="tx1">
                <w14:lumMod w14:val="95000"/>
                <w14:lumOff w14:val="5000"/>
              </w14:schemeClr>
            </w14:solidFill>
          </w14:textFill>
        </w:rPr>
        <w:t>；</w:t>
      </w:r>
    </w:p>
    <w:p w14:paraId="659EE22B">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cs="Times New Roman"/>
          <w:bCs/>
          <w:color w:val="0D0D0D" w:themeColor="text1" w:themeTint="F2"/>
          <w:szCs w:val="24"/>
          <w:u w:val="single"/>
          <w14:textFill>
            <w14:solidFill>
              <w14:schemeClr w14:val="tx1">
                <w14:lumMod w14:val="95000"/>
                <w14:lumOff w14:val="5000"/>
              </w14:schemeClr>
            </w14:solidFill>
          </w14:textFill>
        </w:rPr>
        <w:t>D—储罐的直径，m</w:t>
      </w:r>
      <w:r>
        <w:rPr>
          <w:rFonts w:hint="eastAsia" w:cs="Times New Roman"/>
          <w:bCs/>
          <w:color w:val="0D0D0D" w:themeColor="text1" w:themeTint="F2"/>
          <w:szCs w:val="24"/>
          <w:u w:val="single"/>
          <w14:textFill>
            <w14:solidFill>
              <w14:schemeClr w14:val="tx1">
                <w14:lumMod w14:val="95000"/>
                <w14:lumOff w14:val="5000"/>
              </w14:schemeClr>
            </w14:solidFill>
          </w14:textFill>
        </w:rPr>
        <w:t>，生物柴油储罐取17m，重质脂肪酸储罐取10m，工业级混合油储罐取10m</w:t>
      </w:r>
      <w:r>
        <w:rPr>
          <w:rFonts w:cs="Times New Roman"/>
          <w:bCs/>
          <w:color w:val="0D0D0D" w:themeColor="text1" w:themeTint="F2"/>
          <w:szCs w:val="24"/>
          <w:u w:val="single"/>
          <w14:textFill>
            <w14:solidFill>
              <w14:schemeClr w14:val="tx1">
                <w14:lumMod w14:val="95000"/>
                <w14:lumOff w14:val="5000"/>
              </w14:schemeClr>
            </w14:solidFill>
          </w14:textFill>
        </w:rPr>
        <w:t>；</w:t>
      </w:r>
    </w:p>
    <w:p w14:paraId="1B57702D">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cs="Times New Roman"/>
          <w:bCs/>
          <w:color w:val="0D0D0D" w:themeColor="text1" w:themeTint="F2"/>
          <w:szCs w:val="24"/>
          <w:u w:val="single"/>
          <w14:textFill>
            <w14:solidFill>
              <w14:schemeClr w14:val="tx1">
                <w14:lumMod w14:val="95000"/>
                <w14:lumOff w14:val="5000"/>
              </w14:schemeClr>
            </w14:solidFill>
          </w14:textFill>
        </w:rPr>
        <w:t>H—平均蒸气空间高度，m，</w:t>
      </w:r>
      <w:r>
        <w:rPr>
          <w:rFonts w:hint="eastAsia" w:cs="Times New Roman"/>
          <w:bCs/>
          <w:color w:val="0D0D0D" w:themeColor="text1" w:themeTint="F2"/>
          <w:szCs w:val="24"/>
          <w:u w:val="single"/>
          <w14:textFill>
            <w14:solidFill>
              <w14:schemeClr w14:val="tx1">
                <w14:lumMod w14:val="95000"/>
                <w14:lumOff w14:val="5000"/>
              </w14:schemeClr>
            </w14:solidFill>
          </w14:textFill>
        </w:rPr>
        <w:t>储罐平均储存系数按80%计，生物柴油储罐取10.58m，重质脂肪酸储罐取10m，工业级混合油储罐取10m</w:t>
      </w:r>
      <w:r>
        <w:rPr>
          <w:rFonts w:cs="Times New Roman"/>
          <w:bCs/>
          <w:color w:val="0D0D0D" w:themeColor="text1" w:themeTint="F2"/>
          <w:szCs w:val="24"/>
          <w:u w:val="single"/>
          <w14:textFill>
            <w14:solidFill>
              <w14:schemeClr w14:val="tx1">
                <w14:lumMod w14:val="95000"/>
                <w14:lumOff w14:val="5000"/>
              </w14:schemeClr>
            </w14:solidFill>
          </w14:textFill>
        </w:rPr>
        <w:t>；</w:t>
      </w:r>
    </w:p>
    <w:p w14:paraId="04773F0D">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hint="eastAsia" w:cs="宋体"/>
          <w:bCs/>
          <w:color w:val="0D0D0D" w:themeColor="text1" w:themeTint="F2"/>
          <w:szCs w:val="24"/>
          <w:u w:val="single"/>
          <w14:textFill>
            <w14:solidFill>
              <w14:schemeClr w14:val="tx1">
                <w14:lumMod w14:val="95000"/>
                <w14:lumOff w14:val="5000"/>
              </w14:schemeClr>
            </w14:solidFill>
          </w14:textFill>
        </w:rPr>
        <w:t>△</w:t>
      </w:r>
      <w:r>
        <w:rPr>
          <w:rFonts w:cs="Times New Roman"/>
          <w:bCs/>
          <w:color w:val="0D0D0D" w:themeColor="text1" w:themeTint="F2"/>
          <w:szCs w:val="24"/>
          <w:u w:val="single"/>
          <w14:textFill>
            <w14:solidFill>
              <w14:schemeClr w14:val="tx1">
                <w14:lumMod w14:val="95000"/>
                <w14:lumOff w14:val="5000"/>
              </w14:schemeClr>
            </w14:solidFill>
          </w14:textFill>
        </w:rPr>
        <w:t>T—日温差的多年均值，℃，</w:t>
      </w:r>
      <w:r>
        <w:rPr>
          <w:rFonts w:hint="eastAsia" w:cs="Times New Roman"/>
          <w:bCs/>
          <w:color w:val="0D0D0D" w:themeColor="text1" w:themeTint="F2"/>
          <w:szCs w:val="24"/>
          <w:u w:val="single"/>
          <w14:textFill>
            <w14:solidFill>
              <w14:schemeClr w14:val="tx1">
                <w14:lumMod w14:val="95000"/>
                <w14:lumOff w14:val="5000"/>
              </w14:schemeClr>
            </w14:solidFill>
          </w14:textFill>
        </w:rPr>
        <w:t>本次评价</w:t>
      </w:r>
      <w:r>
        <w:rPr>
          <w:rFonts w:cs="Times New Roman"/>
          <w:bCs/>
          <w:color w:val="0D0D0D" w:themeColor="text1" w:themeTint="F2"/>
          <w:szCs w:val="24"/>
          <w:u w:val="single"/>
          <w14:textFill>
            <w14:solidFill>
              <w14:schemeClr w14:val="tx1">
                <w14:lumMod w14:val="95000"/>
                <w14:lumOff w14:val="5000"/>
              </w14:schemeClr>
            </w14:solidFill>
          </w14:textFill>
        </w:rPr>
        <w:t>取10℃；</w:t>
      </w:r>
    </w:p>
    <w:p w14:paraId="6DBA7AE2">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cs="Times New Roman"/>
          <w:bCs/>
          <w:color w:val="0D0D0D" w:themeColor="text1" w:themeTint="F2"/>
          <w:szCs w:val="24"/>
          <w:u w:val="single"/>
          <w14:textFill>
            <w14:solidFill>
              <w14:schemeClr w14:val="tx1">
                <w14:lumMod w14:val="95000"/>
                <w14:lumOff w14:val="5000"/>
              </w14:schemeClr>
            </w14:solidFill>
          </w14:textFill>
        </w:rPr>
        <w:t>F</w:t>
      </w:r>
      <w:r>
        <w:rPr>
          <w:rFonts w:cs="Times New Roman"/>
          <w:bCs/>
          <w:color w:val="0D0D0D" w:themeColor="text1" w:themeTint="F2"/>
          <w:szCs w:val="24"/>
          <w:u w:val="single"/>
          <w:vertAlign w:val="subscript"/>
          <w14:textFill>
            <w14:solidFill>
              <w14:schemeClr w14:val="tx1">
                <w14:lumMod w14:val="95000"/>
                <w14:lumOff w14:val="5000"/>
              </w14:schemeClr>
            </w14:solidFill>
          </w14:textFill>
        </w:rPr>
        <w:t>P</w:t>
      </w:r>
      <w:r>
        <w:rPr>
          <w:rFonts w:cs="Times New Roman"/>
          <w:bCs/>
          <w:color w:val="0D0D0D" w:themeColor="text1" w:themeTint="F2"/>
          <w:szCs w:val="24"/>
          <w:u w:val="single"/>
          <w14:textFill>
            <w14:solidFill>
              <w14:schemeClr w14:val="tx1">
                <w14:lumMod w14:val="95000"/>
                <w14:lumOff w14:val="5000"/>
              </w14:schemeClr>
            </w14:solidFill>
          </w14:textFill>
        </w:rPr>
        <w:t>—涂层因子（无量纲），根据油漆状况取值在1~1.5之间，</w:t>
      </w:r>
      <w:r>
        <w:rPr>
          <w:rFonts w:hint="eastAsia" w:cs="Times New Roman"/>
          <w:bCs/>
          <w:color w:val="0D0D0D" w:themeColor="text1" w:themeTint="F2"/>
          <w:szCs w:val="24"/>
          <w:u w:val="single"/>
          <w14:textFill>
            <w14:solidFill>
              <w14:schemeClr w14:val="tx1">
                <w14:lumMod w14:val="95000"/>
                <w14:lumOff w14:val="5000"/>
              </w14:schemeClr>
            </w14:solidFill>
          </w14:textFill>
        </w:rPr>
        <w:t>本次评价</w:t>
      </w:r>
      <w:r>
        <w:rPr>
          <w:rFonts w:cs="Times New Roman"/>
          <w:bCs/>
          <w:color w:val="0D0D0D" w:themeColor="text1" w:themeTint="F2"/>
          <w:szCs w:val="24"/>
          <w:u w:val="single"/>
          <w14:textFill>
            <w14:solidFill>
              <w14:schemeClr w14:val="tx1">
                <w14:lumMod w14:val="95000"/>
                <w14:lumOff w14:val="5000"/>
              </w14:schemeClr>
            </w14:solidFill>
          </w14:textFill>
        </w:rPr>
        <w:t>取</w:t>
      </w:r>
      <w:r>
        <w:rPr>
          <w:rFonts w:hint="eastAsia" w:cs="Times New Roman"/>
          <w:bCs/>
          <w:color w:val="0D0D0D" w:themeColor="text1" w:themeTint="F2"/>
          <w:szCs w:val="24"/>
          <w:u w:val="single"/>
          <w14:textFill>
            <w14:solidFill>
              <w14:schemeClr w14:val="tx1">
                <w14:lumMod w14:val="95000"/>
                <w14:lumOff w14:val="5000"/>
              </w14:schemeClr>
            </w14:solidFill>
          </w14:textFill>
        </w:rPr>
        <w:t>1.25</w:t>
      </w:r>
      <w:r>
        <w:rPr>
          <w:rFonts w:cs="Times New Roman"/>
          <w:bCs/>
          <w:color w:val="0D0D0D" w:themeColor="text1" w:themeTint="F2"/>
          <w:szCs w:val="24"/>
          <w:u w:val="single"/>
          <w14:textFill>
            <w14:solidFill>
              <w14:schemeClr w14:val="tx1">
                <w14:lumMod w14:val="95000"/>
                <w14:lumOff w14:val="5000"/>
              </w14:schemeClr>
            </w14:solidFill>
          </w14:textFill>
        </w:rPr>
        <w:t>；</w:t>
      </w:r>
    </w:p>
    <w:p w14:paraId="260933E7">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cs="Times New Roman"/>
          <w:bCs/>
          <w:color w:val="0D0D0D" w:themeColor="text1" w:themeTint="F2"/>
          <w:szCs w:val="24"/>
          <w:u w:val="single"/>
          <w14:textFill>
            <w14:solidFill>
              <w14:schemeClr w14:val="tx1">
                <w14:lumMod w14:val="95000"/>
                <w14:lumOff w14:val="5000"/>
              </w14:schemeClr>
            </w14:solidFill>
          </w14:textFill>
        </w:rPr>
        <w:t>C—用于小直径罐的调节因子（无量纲）：直径在0~9m之间的罐体，C=1-0.0123</w:t>
      </w:r>
      <w:r>
        <w:rPr>
          <w:rFonts w:hint="eastAsia" w:cs="Times New Roman"/>
          <w:bCs/>
          <w:color w:val="0D0D0D" w:themeColor="text1" w:themeTint="F2"/>
          <w:szCs w:val="24"/>
          <w:u w:val="single"/>
          <w14:textFill>
            <w14:solidFill>
              <w14:schemeClr w14:val="tx1">
                <w14:lumMod w14:val="95000"/>
                <w14:lumOff w14:val="5000"/>
              </w14:schemeClr>
            </w14:solidFill>
          </w14:textFill>
        </w:rPr>
        <w:t>（</w:t>
      </w:r>
      <w:r>
        <w:rPr>
          <w:rFonts w:cs="Times New Roman"/>
          <w:bCs/>
          <w:color w:val="0D0D0D" w:themeColor="text1" w:themeTint="F2"/>
          <w:szCs w:val="24"/>
          <w:u w:val="single"/>
          <w14:textFill>
            <w14:solidFill>
              <w14:schemeClr w14:val="tx1">
                <w14:lumMod w14:val="95000"/>
                <w14:lumOff w14:val="5000"/>
              </w14:schemeClr>
            </w14:solidFill>
          </w14:textFill>
        </w:rPr>
        <w:t>D-9</w:t>
      </w:r>
      <w:r>
        <w:rPr>
          <w:rFonts w:hint="eastAsia" w:cs="Times New Roman"/>
          <w:bCs/>
          <w:color w:val="0D0D0D" w:themeColor="text1" w:themeTint="F2"/>
          <w:szCs w:val="24"/>
          <w:u w:val="single"/>
          <w14:textFill>
            <w14:solidFill>
              <w14:schemeClr w14:val="tx1">
                <w14:lumMod w14:val="95000"/>
                <w14:lumOff w14:val="5000"/>
              </w14:schemeClr>
            </w14:solidFill>
          </w14:textFill>
        </w:rPr>
        <w:t>）</w:t>
      </w:r>
      <w:r>
        <w:rPr>
          <w:rFonts w:cs="Times New Roman"/>
          <w:bCs/>
          <w:color w:val="0D0D0D" w:themeColor="text1" w:themeTint="F2"/>
          <w:szCs w:val="24"/>
          <w:u w:val="single"/>
          <w:vertAlign w:val="superscript"/>
          <w14:textFill>
            <w14:solidFill>
              <w14:schemeClr w14:val="tx1">
                <w14:lumMod w14:val="95000"/>
                <w14:lumOff w14:val="5000"/>
              </w14:schemeClr>
            </w14:solidFill>
          </w14:textFill>
        </w:rPr>
        <w:t>2</w:t>
      </w:r>
      <w:r>
        <w:rPr>
          <w:rFonts w:hint="eastAsia" w:cs="Times New Roman"/>
          <w:bCs/>
          <w:color w:val="0D0D0D" w:themeColor="text1" w:themeTint="F2"/>
          <w:szCs w:val="24"/>
          <w:u w:val="single"/>
          <w14:textFill>
            <w14:solidFill>
              <w14:schemeClr w14:val="tx1">
                <w14:lumMod w14:val="95000"/>
                <w14:lumOff w14:val="5000"/>
              </w14:schemeClr>
            </w14:solidFill>
          </w14:textFill>
        </w:rPr>
        <w:t>，</w:t>
      </w:r>
      <w:r>
        <w:rPr>
          <w:rFonts w:cs="Times New Roman"/>
          <w:bCs/>
          <w:color w:val="0D0D0D" w:themeColor="text1" w:themeTint="F2"/>
          <w:szCs w:val="24"/>
          <w:u w:val="single"/>
          <w14:textFill>
            <w14:solidFill>
              <w14:schemeClr w14:val="tx1">
                <w14:lumMod w14:val="95000"/>
                <w14:lumOff w14:val="5000"/>
              </w14:schemeClr>
            </w14:solidFill>
          </w14:textFill>
        </w:rPr>
        <w:t>罐径大于9m的C=1</w:t>
      </w:r>
      <w:r>
        <w:rPr>
          <w:rFonts w:hint="eastAsia" w:cs="Times New Roman"/>
          <w:bCs/>
          <w:color w:val="0D0D0D" w:themeColor="text1" w:themeTint="F2"/>
          <w:szCs w:val="24"/>
          <w:u w:val="single"/>
          <w14:textFill>
            <w14:solidFill>
              <w14:schemeClr w14:val="tx1">
                <w14:lumMod w14:val="95000"/>
                <w14:lumOff w14:val="5000"/>
              </w14:schemeClr>
            </w14:solidFill>
          </w14:textFill>
        </w:rPr>
        <w:t>，生物柴油储罐</w:t>
      </w:r>
      <w:r>
        <w:rPr>
          <w:rFonts w:cs="Times New Roman"/>
          <w:bCs/>
          <w:color w:val="0D0D0D" w:themeColor="text1" w:themeTint="F2"/>
          <w:szCs w:val="24"/>
          <w:u w:val="single"/>
          <w14:textFill>
            <w14:solidFill>
              <w14:schemeClr w14:val="tx1">
                <w14:lumMod w14:val="95000"/>
                <w14:lumOff w14:val="5000"/>
              </w14:schemeClr>
            </w14:solidFill>
          </w14:textFill>
        </w:rPr>
        <w:t>罐径</w:t>
      </w:r>
      <w:r>
        <w:rPr>
          <w:rFonts w:hint="eastAsia" w:cs="Times New Roman"/>
          <w:bCs/>
          <w:color w:val="0D0D0D" w:themeColor="text1" w:themeTint="F2"/>
          <w:szCs w:val="24"/>
          <w:u w:val="single"/>
          <w14:textFill>
            <w14:solidFill>
              <w14:schemeClr w14:val="tx1">
                <w14:lumMod w14:val="95000"/>
                <w14:lumOff w14:val="5000"/>
              </w14:schemeClr>
            </w14:solidFill>
          </w14:textFill>
        </w:rPr>
        <w:t>为17m，重质脂肪酸储罐和工业级混合油储罐</w:t>
      </w:r>
      <w:r>
        <w:rPr>
          <w:rFonts w:cs="Times New Roman"/>
          <w:bCs/>
          <w:color w:val="0D0D0D" w:themeColor="text1" w:themeTint="F2"/>
          <w:szCs w:val="24"/>
          <w:u w:val="single"/>
          <w14:textFill>
            <w14:solidFill>
              <w14:schemeClr w14:val="tx1">
                <w14:lumMod w14:val="95000"/>
                <w14:lumOff w14:val="5000"/>
              </w14:schemeClr>
            </w14:solidFill>
          </w14:textFill>
        </w:rPr>
        <w:t>罐径</w:t>
      </w:r>
      <w:r>
        <w:rPr>
          <w:rFonts w:hint="eastAsia" w:cs="Times New Roman"/>
          <w:bCs/>
          <w:color w:val="0D0D0D" w:themeColor="text1" w:themeTint="F2"/>
          <w:szCs w:val="24"/>
          <w:u w:val="single"/>
          <w14:textFill>
            <w14:solidFill>
              <w14:schemeClr w14:val="tx1">
                <w14:lumMod w14:val="95000"/>
                <w14:lumOff w14:val="5000"/>
              </w14:schemeClr>
            </w14:solidFill>
          </w14:textFill>
        </w:rPr>
        <w:t>均为10m，本次评价取1；</w:t>
      </w:r>
    </w:p>
    <w:p w14:paraId="135E322E">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cs="Times New Roman"/>
          <w:bCs/>
          <w:color w:val="0D0D0D" w:themeColor="text1" w:themeTint="F2"/>
          <w:szCs w:val="24"/>
          <w:u w:val="single"/>
          <w14:textFill>
            <w14:solidFill>
              <w14:schemeClr w14:val="tx1">
                <w14:lumMod w14:val="95000"/>
                <w14:lumOff w14:val="5000"/>
              </w14:schemeClr>
            </w14:solidFill>
          </w14:textFill>
        </w:rPr>
        <w:t>Kc—产品因子</w:t>
      </w:r>
      <w:r>
        <w:rPr>
          <w:rFonts w:hint="eastAsia" w:cs="Times New Roman"/>
          <w:bCs/>
          <w:color w:val="0D0D0D" w:themeColor="text1" w:themeTint="F2"/>
          <w:szCs w:val="24"/>
          <w:u w:val="single"/>
          <w14:textFill>
            <w14:solidFill>
              <w14:schemeClr w14:val="tx1">
                <w14:lumMod w14:val="95000"/>
                <w14:lumOff w14:val="5000"/>
              </w14:schemeClr>
            </w14:solidFill>
          </w14:textFill>
        </w:rPr>
        <w:t>，</w:t>
      </w:r>
      <w:r>
        <w:rPr>
          <w:rFonts w:cs="Times New Roman"/>
          <w:bCs/>
          <w:color w:val="0D0D0D" w:themeColor="text1" w:themeTint="F2"/>
          <w:szCs w:val="24"/>
          <w:u w:val="single"/>
          <w14:textFill>
            <w14:solidFill>
              <w14:schemeClr w14:val="tx1">
                <w14:lumMod w14:val="95000"/>
                <w14:lumOff w14:val="5000"/>
              </w14:schemeClr>
            </w14:solidFill>
          </w14:textFill>
        </w:rPr>
        <w:t>石油原油Kc取0.65，其他的有机液体取1.0</w:t>
      </w:r>
      <w:r>
        <w:rPr>
          <w:rFonts w:hint="eastAsia" w:cs="Times New Roman"/>
          <w:bCs/>
          <w:color w:val="0D0D0D" w:themeColor="text1" w:themeTint="F2"/>
          <w:szCs w:val="24"/>
          <w:u w:val="single"/>
          <w14:textFill>
            <w14:solidFill>
              <w14:schemeClr w14:val="tx1">
                <w14:lumMod w14:val="95000"/>
                <w14:lumOff w14:val="5000"/>
              </w14:schemeClr>
            </w14:solidFill>
          </w14:textFill>
        </w:rPr>
        <w:t>，本次评价取1。</w:t>
      </w:r>
    </w:p>
    <w:p w14:paraId="5CFE286F">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根据上式计算，</w:t>
      </w:r>
      <w:r>
        <w:rPr>
          <w:rFonts w:hint="eastAsia" w:cs="Times New Roman"/>
          <w:bCs/>
          <w:color w:val="0D0D0D" w:themeColor="text1" w:themeTint="F2"/>
          <w:szCs w:val="24"/>
          <w:u w:val="single"/>
          <w14:textFill>
            <w14:solidFill>
              <w14:schemeClr w14:val="tx1">
                <w14:lumMod w14:val="95000"/>
                <w14:lumOff w14:val="5000"/>
              </w14:schemeClr>
            </w14:solidFill>
          </w14:textFill>
        </w:rPr>
        <w:t>生物柴油储罐</w:t>
      </w:r>
      <w:r>
        <w:rPr>
          <w:rFonts w:cs="Times New Roman"/>
          <w:bCs/>
          <w:color w:val="0D0D0D" w:themeColor="text1" w:themeTint="F2"/>
          <w:szCs w:val="24"/>
          <w:u w:val="single"/>
          <w14:textFill>
            <w14:solidFill>
              <w14:schemeClr w14:val="tx1">
                <w14:lumMod w14:val="95000"/>
                <w14:lumOff w14:val="5000"/>
              </w14:schemeClr>
            </w14:solidFill>
          </w14:textFill>
        </w:rPr>
        <w:t>L</w:t>
      </w:r>
      <w:r>
        <w:rPr>
          <w:rFonts w:cs="Times New Roman"/>
          <w:bCs/>
          <w:color w:val="0D0D0D" w:themeColor="text1" w:themeTint="F2"/>
          <w:szCs w:val="24"/>
          <w:u w:val="single"/>
          <w:vertAlign w:val="subscript"/>
          <w14:textFill>
            <w14:solidFill>
              <w14:schemeClr w14:val="tx1">
                <w14:lumMod w14:val="95000"/>
                <w14:lumOff w14:val="5000"/>
              </w14:schemeClr>
            </w14:solidFill>
          </w14:textFill>
        </w:rPr>
        <w:t>B</w:t>
      </w:r>
      <w:r>
        <w:rPr>
          <w:rFonts w:hint="eastAsia" w:cs="Times New Roman"/>
          <w:bCs/>
          <w:color w:val="0D0D0D" w:themeColor="text1" w:themeTint="F2"/>
          <w:szCs w:val="24"/>
          <w:u w:val="single"/>
          <w:vertAlign w:val="subscript"/>
          <w14:textFill>
            <w14:solidFill>
              <w14:schemeClr w14:val="tx1">
                <w14:lumMod w14:val="95000"/>
                <w14:lumOff w14:val="5000"/>
              </w14:schemeClr>
            </w14:solidFill>
          </w14:textFill>
        </w:rPr>
        <w:t>=</w:t>
      </w:r>
      <w:r>
        <w:rPr>
          <w:rFonts w:hint="eastAsia" w:cs="Times New Roman"/>
          <w:bCs/>
          <w:color w:val="0D0D0D" w:themeColor="text1" w:themeTint="F2"/>
          <w:szCs w:val="24"/>
          <w:u w:val="single"/>
          <w14:textFill>
            <w14:solidFill>
              <w14:schemeClr w14:val="tx1">
                <w14:lumMod w14:val="95000"/>
                <w14:lumOff w14:val="5000"/>
              </w14:schemeClr>
            </w14:solidFill>
          </w14:textFill>
        </w:rPr>
        <w:t>2437.35kg/a；重质脂肪酸储罐</w:t>
      </w:r>
      <w:r>
        <w:rPr>
          <w:rFonts w:cs="Times New Roman"/>
          <w:bCs/>
          <w:color w:val="0D0D0D" w:themeColor="text1" w:themeTint="F2"/>
          <w:szCs w:val="24"/>
          <w:u w:val="single"/>
          <w14:textFill>
            <w14:solidFill>
              <w14:schemeClr w14:val="tx1">
                <w14:lumMod w14:val="95000"/>
                <w14:lumOff w14:val="5000"/>
              </w14:schemeClr>
            </w14:solidFill>
          </w14:textFill>
        </w:rPr>
        <w:t>L</w:t>
      </w:r>
      <w:r>
        <w:rPr>
          <w:rFonts w:cs="Times New Roman"/>
          <w:bCs/>
          <w:color w:val="0D0D0D" w:themeColor="text1" w:themeTint="F2"/>
          <w:szCs w:val="24"/>
          <w:u w:val="single"/>
          <w:vertAlign w:val="subscript"/>
          <w14:textFill>
            <w14:solidFill>
              <w14:schemeClr w14:val="tx1">
                <w14:lumMod w14:val="95000"/>
                <w14:lumOff w14:val="5000"/>
              </w14:schemeClr>
            </w14:solidFill>
          </w14:textFill>
        </w:rPr>
        <w:t>B</w:t>
      </w:r>
      <w:r>
        <w:rPr>
          <w:rFonts w:hint="eastAsia" w:cs="Times New Roman"/>
          <w:bCs/>
          <w:color w:val="0D0D0D" w:themeColor="text1" w:themeTint="F2"/>
          <w:szCs w:val="24"/>
          <w:u w:val="single"/>
          <w:vertAlign w:val="subscript"/>
          <w14:textFill>
            <w14:solidFill>
              <w14:schemeClr w14:val="tx1">
                <w14:lumMod w14:val="95000"/>
                <w14:lumOff w14:val="5000"/>
              </w14:schemeClr>
            </w14:solidFill>
          </w14:textFill>
        </w:rPr>
        <w:t>=</w:t>
      </w:r>
      <w:r>
        <w:rPr>
          <w:rFonts w:hint="eastAsia" w:cs="Times New Roman"/>
          <w:bCs/>
          <w:color w:val="0D0D0D" w:themeColor="text1" w:themeTint="F2"/>
          <w:szCs w:val="24"/>
          <w:u w:val="single"/>
          <w14:textFill>
            <w14:solidFill>
              <w14:schemeClr w14:val="tx1">
                <w14:lumMod w14:val="95000"/>
                <w14:lumOff w14:val="5000"/>
              </w14:schemeClr>
            </w14:solidFill>
          </w14:textFill>
        </w:rPr>
        <w:t>901.31kg/a；工业级混合油储罐</w:t>
      </w:r>
      <w:r>
        <w:rPr>
          <w:rFonts w:cs="Times New Roman"/>
          <w:bCs/>
          <w:color w:val="0D0D0D" w:themeColor="text1" w:themeTint="F2"/>
          <w:szCs w:val="24"/>
          <w:u w:val="single"/>
          <w14:textFill>
            <w14:solidFill>
              <w14:schemeClr w14:val="tx1">
                <w14:lumMod w14:val="95000"/>
                <w14:lumOff w14:val="5000"/>
              </w14:schemeClr>
            </w14:solidFill>
          </w14:textFill>
        </w:rPr>
        <w:t>L</w:t>
      </w:r>
      <w:r>
        <w:rPr>
          <w:rFonts w:cs="Times New Roman"/>
          <w:bCs/>
          <w:color w:val="0D0D0D" w:themeColor="text1" w:themeTint="F2"/>
          <w:szCs w:val="24"/>
          <w:u w:val="single"/>
          <w:vertAlign w:val="subscript"/>
          <w14:textFill>
            <w14:solidFill>
              <w14:schemeClr w14:val="tx1">
                <w14:lumMod w14:val="95000"/>
                <w14:lumOff w14:val="5000"/>
              </w14:schemeClr>
            </w14:solidFill>
          </w14:textFill>
        </w:rPr>
        <w:t>B</w:t>
      </w:r>
      <w:r>
        <w:rPr>
          <w:rFonts w:hint="eastAsia" w:cs="Times New Roman"/>
          <w:bCs/>
          <w:color w:val="0D0D0D" w:themeColor="text1" w:themeTint="F2"/>
          <w:szCs w:val="24"/>
          <w:u w:val="single"/>
          <w:vertAlign w:val="subscript"/>
          <w14:textFill>
            <w14:solidFill>
              <w14:schemeClr w14:val="tx1">
                <w14:lumMod w14:val="95000"/>
                <w14:lumOff w14:val="5000"/>
              </w14:schemeClr>
            </w14:solidFill>
          </w14:textFill>
        </w:rPr>
        <w:t>=</w:t>
      </w:r>
      <w:r>
        <w:rPr>
          <w:rFonts w:hint="eastAsia" w:cs="Times New Roman"/>
          <w:bCs/>
          <w:color w:val="0D0D0D" w:themeColor="text1" w:themeTint="F2"/>
          <w:szCs w:val="24"/>
          <w:u w:val="single"/>
          <w14:textFill>
            <w14:solidFill>
              <w14:schemeClr w14:val="tx1">
                <w14:lumMod w14:val="95000"/>
                <w14:lumOff w14:val="5000"/>
              </w14:schemeClr>
            </w14:solidFill>
          </w14:textFill>
        </w:rPr>
        <w:t>897.23kg/a。</w:t>
      </w:r>
    </w:p>
    <w:p w14:paraId="6ACC18A3">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hint="eastAsia" w:cs="Times New Roman"/>
          <w:bCs/>
          <w:color w:val="0D0D0D" w:themeColor="text1" w:themeTint="F2"/>
          <w:szCs w:val="24"/>
          <w:u w:val="single"/>
          <w14:textFill>
            <w14:solidFill>
              <w14:schemeClr w14:val="tx1">
                <w14:lumMod w14:val="95000"/>
                <w14:lumOff w14:val="5000"/>
              </w14:schemeClr>
            </w14:solidFill>
          </w14:textFill>
        </w:rPr>
        <w:t>内/外浮顶罐的“小呼吸”损耗可用下列公式计算：</w:t>
      </w:r>
    </w:p>
    <w:p w14:paraId="6735C7ED">
      <w:pPr>
        <w:ind w:firstLine="480" w:firstLineChars="200"/>
        <w:rPr>
          <w:rFonts w:cs="Times New Roman"/>
          <w:bCs/>
          <w:iCs/>
          <w:color w:val="0D0D0D" w:themeColor="text1" w:themeTint="F2"/>
          <w:szCs w:val="24"/>
          <w14:textFill>
            <w14:solidFill>
              <w14:schemeClr w14:val="tx1">
                <w14:lumMod w14:val="95000"/>
                <w14:lumOff w14:val="5000"/>
              </w14:schemeClr>
            </w14:solidFill>
          </w14:textFill>
        </w:rPr>
      </w:pPr>
      <m:oMathPara>
        <m:oMath>
          <m:sSub>
            <m:sSubP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sSubPr>
            <m:e>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L</m:t>
              </m: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e>
            <m:sub>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B</m:t>
              </m: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sub>
          </m:sSub>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=2.05×</m:t>
          </m:r>
          <m:sSup>
            <m:sSupP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sSupPr>
            <m:e>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S</m:t>
              </m: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e>
            <m:sup>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n</m:t>
              </m: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sup>
          </m:sSup>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m:t>
          </m:r>
          <m:sSub>
            <m:sSubP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sSubPr>
            <m:e>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P</m:t>
              </m: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e>
            <m:sub>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r</m:t>
              </m: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sub>
          </m:sSub>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×D×M×</m:t>
          </m:r>
          <m:sSub>
            <m:sSubP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sSubPr>
            <m:e>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K</m:t>
              </m: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e>
            <m:sub>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s</m:t>
              </m: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sub>
          </m:sSub>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m:t>
          </m:r>
          <m:sSub>
            <m:sSubP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sSubPr>
            <m:e>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K</m:t>
              </m: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e>
            <m:sub>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c</m:t>
              </m: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sub>
          </m:sSub>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m:t>
          </m:r>
          <m:sSub>
            <m:sSubP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sSubPr>
            <m:e>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E</m:t>
              </m: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e>
            <m:sub>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f</m:t>
              </m:r>
              <m:ctrlPr>
                <w:rPr>
                  <w:rFonts w:ascii="Cambria Math" w:hAnsi="Cambria Math" w:cs="Times New Roman"/>
                  <w:bCs/>
                  <w:iCs/>
                  <w:color w:val="0D0D0D" w:themeColor="text1" w:themeTint="F2"/>
                  <w:szCs w:val="24"/>
                  <w14:textFill>
                    <w14:solidFill>
                      <w14:schemeClr w14:val="tx1">
                        <w14:lumMod w14:val="95000"/>
                        <w14:lumOff w14:val="5000"/>
                      </w14:schemeClr>
                    </w14:solidFill>
                  </w14:textFill>
                </w:rPr>
              </m:ctrlPr>
            </m:sub>
          </m:sSub>
        </m:oMath>
      </m:oMathPara>
    </w:p>
    <w:p w14:paraId="751A23E3">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hint="eastAsia" w:cs="Times New Roman"/>
          <w:bCs/>
          <w:color w:val="0D0D0D" w:themeColor="text1" w:themeTint="F2"/>
          <w:szCs w:val="24"/>
          <w:u w:val="single"/>
          <w14:textFill>
            <w14:solidFill>
              <w14:schemeClr w14:val="tx1">
                <w14:lumMod w14:val="95000"/>
                <w14:lumOff w14:val="5000"/>
              </w14:schemeClr>
            </w14:solidFill>
          </w14:textFill>
        </w:rPr>
        <w:t>式中：</w:t>
      </w:r>
    </w:p>
    <w:p w14:paraId="42E66229">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hint="eastAsia" w:cs="Times New Roman"/>
          <w:bCs/>
          <w:color w:val="0D0D0D" w:themeColor="text1" w:themeTint="F2"/>
          <w:szCs w:val="24"/>
          <w:u w:val="single"/>
          <w14:textFill>
            <w14:solidFill>
              <w14:schemeClr w14:val="tx1">
                <w14:lumMod w14:val="95000"/>
                <w14:lumOff w14:val="5000"/>
              </w14:schemeClr>
            </w14:solidFill>
          </w14:textFill>
        </w:rPr>
        <w:t>L</w:t>
      </w:r>
      <w:r>
        <w:rPr>
          <w:rFonts w:hint="eastAsia" w:cs="Times New Roman"/>
          <w:bCs/>
          <w:color w:val="0D0D0D" w:themeColor="text1" w:themeTint="F2"/>
          <w:szCs w:val="24"/>
          <w:u w:val="single"/>
          <w:vertAlign w:val="subscript"/>
          <w14:textFill>
            <w14:solidFill>
              <w14:schemeClr w14:val="tx1">
                <w14:lumMod w14:val="95000"/>
                <w14:lumOff w14:val="5000"/>
              </w14:schemeClr>
            </w14:solidFill>
          </w14:textFill>
        </w:rPr>
        <w:t>B</w:t>
      </w:r>
      <w:r>
        <w:rPr>
          <w:rFonts w:hint="eastAsia" w:cs="Times New Roman"/>
          <w:bCs/>
          <w:color w:val="0D0D0D" w:themeColor="text1" w:themeTint="F2"/>
          <w:szCs w:val="24"/>
          <w:u w:val="single"/>
          <w14:textFill>
            <w14:solidFill>
              <w14:schemeClr w14:val="tx1">
                <w14:lumMod w14:val="95000"/>
                <w14:lumOff w14:val="5000"/>
              </w14:schemeClr>
            </w14:solidFill>
          </w14:textFill>
        </w:rPr>
        <w:t>—浮顶罐的小呼吸损耗量，kg/a；</w:t>
      </w:r>
    </w:p>
    <w:p w14:paraId="1B5095F7">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hint="eastAsia" w:cs="Times New Roman"/>
          <w:bCs/>
          <w:color w:val="0D0D0D" w:themeColor="text1" w:themeTint="F2"/>
          <w:szCs w:val="24"/>
          <w:u w:val="single"/>
          <w14:textFill>
            <w14:solidFill>
              <w14:schemeClr w14:val="tx1">
                <w14:lumMod w14:val="95000"/>
                <w14:lumOff w14:val="5000"/>
              </w14:schemeClr>
            </w14:solidFill>
          </w14:textFill>
        </w:rPr>
        <w:t>S—罐外平均风速，m/s，取年平均风速2.4；</w:t>
      </w:r>
    </w:p>
    <w:p w14:paraId="7D95DAC0">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hint="eastAsia" w:cs="Times New Roman"/>
          <w:bCs/>
          <w:color w:val="0D0D0D" w:themeColor="text1" w:themeTint="F2"/>
          <w:szCs w:val="24"/>
          <w:u w:val="single"/>
          <w14:textFill>
            <w14:solidFill>
              <w14:schemeClr w14:val="tx1">
                <w14:lumMod w14:val="95000"/>
                <w14:lumOff w14:val="5000"/>
              </w14:schemeClr>
            </w14:solidFill>
          </w14:textFill>
        </w:rPr>
        <w:t>n—与密封有关的风速指数，二级密封取1.2；</w:t>
      </w:r>
    </w:p>
    <w:p w14:paraId="78F5F687">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hint="eastAsia" w:cs="Times New Roman"/>
          <w:bCs/>
          <w:color w:val="0D0D0D" w:themeColor="text1" w:themeTint="F2"/>
          <w:szCs w:val="24"/>
          <w:u w:val="single"/>
          <w14:textFill>
            <w14:solidFill>
              <w14:schemeClr w14:val="tx1">
                <w14:lumMod w14:val="95000"/>
                <w14:lumOff w14:val="5000"/>
              </w14:schemeClr>
            </w14:solidFill>
          </w14:textFill>
        </w:rPr>
        <w:t>P</w:t>
      </w:r>
      <w:r>
        <w:rPr>
          <w:rFonts w:hint="eastAsia" w:cs="Times New Roman"/>
          <w:bCs/>
          <w:color w:val="0D0D0D" w:themeColor="text1" w:themeTint="F2"/>
          <w:szCs w:val="24"/>
          <w:u w:val="single"/>
          <w:vertAlign w:val="subscript"/>
          <w14:textFill>
            <w14:solidFill>
              <w14:schemeClr w14:val="tx1">
                <w14:lumMod w14:val="95000"/>
                <w14:lumOff w14:val="5000"/>
              </w14:schemeClr>
            </w14:solidFill>
          </w14:textFill>
        </w:rPr>
        <w:t>r</w:t>
      </w:r>
      <w:r>
        <w:rPr>
          <w:rFonts w:hint="eastAsia" w:cs="Times New Roman"/>
          <w:bCs/>
          <w:color w:val="0D0D0D" w:themeColor="text1" w:themeTint="F2"/>
          <w:szCs w:val="24"/>
          <w:u w:val="single"/>
          <w14:textFill>
            <w14:solidFill>
              <w14:schemeClr w14:val="tx1">
                <w14:lumMod w14:val="95000"/>
                <w14:lumOff w14:val="5000"/>
              </w14:schemeClr>
            </w14:solidFill>
          </w14:textFill>
        </w:rPr>
        <w:t>—蒸汽压函数，无量纲，取0.668；</w:t>
      </w:r>
    </w:p>
    <w:p w14:paraId="0EFF7FC6">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hint="eastAsia" w:cs="Times New Roman"/>
          <w:bCs/>
          <w:color w:val="0D0D0D" w:themeColor="text1" w:themeTint="F2"/>
          <w:szCs w:val="24"/>
          <w:u w:val="single"/>
          <w14:textFill>
            <w14:solidFill>
              <w14:schemeClr w14:val="tx1">
                <w14:lumMod w14:val="95000"/>
                <w14:lumOff w14:val="5000"/>
              </w14:schemeClr>
            </w14:solidFill>
          </w14:textFill>
        </w:rPr>
        <w:t>D—储罐的直径，m，甲醇储罐取6m；</w:t>
      </w:r>
    </w:p>
    <w:p w14:paraId="7AD5839A">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hint="eastAsia" w:cs="Times New Roman"/>
          <w:bCs/>
          <w:color w:val="0D0D0D" w:themeColor="text1" w:themeTint="F2"/>
          <w:szCs w:val="24"/>
          <w:u w:val="single"/>
          <w14:textFill>
            <w14:solidFill>
              <w14:schemeClr w14:val="tx1">
                <w14:lumMod w14:val="95000"/>
                <w14:lumOff w14:val="5000"/>
              </w14:schemeClr>
            </w14:solidFill>
          </w14:textFill>
        </w:rPr>
        <w:t>M—储罐内物料蒸气的分子量，甲醇取32；</w:t>
      </w:r>
    </w:p>
    <w:p w14:paraId="6C269F62">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hint="eastAsia" w:cs="Times New Roman"/>
          <w:bCs/>
          <w:color w:val="0D0D0D" w:themeColor="text1" w:themeTint="F2"/>
          <w:szCs w:val="24"/>
          <w:u w:val="single"/>
          <w14:textFill>
            <w14:solidFill>
              <w14:schemeClr w14:val="tx1">
                <w14:lumMod w14:val="95000"/>
                <w14:lumOff w14:val="5000"/>
              </w14:schemeClr>
            </w14:solidFill>
          </w14:textFill>
        </w:rPr>
        <w:t>Ks—密封系数，一级密封取1，二级密封取0.8，本次评价取0.8；</w:t>
      </w:r>
    </w:p>
    <w:p w14:paraId="57B8C729">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hint="eastAsia" w:cs="Times New Roman"/>
          <w:bCs/>
          <w:color w:val="0D0D0D" w:themeColor="text1" w:themeTint="F2"/>
          <w:szCs w:val="24"/>
          <w:u w:val="single"/>
          <w14:textFill>
            <w14:solidFill>
              <w14:schemeClr w14:val="tx1">
                <w14:lumMod w14:val="95000"/>
                <w14:lumOff w14:val="5000"/>
              </w14:schemeClr>
            </w14:solidFill>
          </w14:textFill>
        </w:rPr>
        <w:t>K</w:t>
      </w:r>
      <w:r>
        <w:rPr>
          <w:rFonts w:hint="eastAsia" w:cs="Times New Roman"/>
          <w:bCs/>
          <w:color w:val="0D0D0D" w:themeColor="text1" w:themeTint="F2"/>
          <w:szCs w:val="24"/>
          <w:u w:val="single"/>
          <w:vertAlign w:val="subscript"/>
          <w14:textFill>
            <w14:solidFill>
              <w14:schemeClr w14:val="tx1">
                <w14:lumMod w14:val="95000"/>
                <w14:lumOff w14:val="5000"/>
              </w14:schemeClr>
            </w14:solidFill>
          </w14:textFill>
        </w:rPr>
        <w:t>C</w:t>
      </w:r>
      <w:r>
        <w:rPr>
          <w:rFonts w:hint="eastAsia" w:cs="Times New Roman"/>
          <w:bCs/>
          <w:color w:val="0D0D0D" w:themeColor="text1" w:themeTint="F2"/>
          <w:szCs w:val="24"/>
          <w:u w:val="single"/>
          <w14:textFill>
            <w14:solidFill>
              <w14:schemeClr w14:val="tx1">
                <w14:lumMod w14:val="95000"/>
                <w14:lumOff w14:val="5000"/>
              </w14:schemeClr>
            </w14:solidFill>
          </w14:textFill>
        </w:rPr>
        <w:t>—产品因子，原油、石油外的挥发性有机液体取1.0；</w:t>
      </w:r>
    </w:p>
    <w:p w14:paraId="1277B1EF">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hint="eastAsia" w:cs="Times New Roman"/>
          <w:bCs/>
          <w:color w:val="0D0D0D" w:themeColor="text1" w:themeTint="F2"/>
          <w:szCs w:val="24"/>
          <w:u w:val="single"/>
          <w14:textFill>
            <w14:solidFill>
              <w14:schemeClr w14:val="tx1">
                <w14:lumMod w14:val="95000"/>
                <w14:lumOff w14:val="5000"/>
              </w14:schemeClr>
            </w14:solidFill>
          </w14:textFill>
        </w:rPr>
        <w:t>E</w:t>
      </w:r>
      <w:r>
        <w:rPr>
          <w:rFonts w:hint="eastAsia" w:cs="Times New Roman"/>
          <w:bCs/>
          <w:color w:val="0D0D0D" w:themeColor="text1" w:themeTint="F2"/>
          <w:szCs w:val="24"/>
          <w:u w:val="single"/>
          <w:vertAlign w:val="subscript"/>
          <w14:textFill>
            <w14:solidFill>
              <w14:schemeClr w14:val="tx1">
                <w14:lumMod w14:val="95000"/>
                <w14:lumOff w14:val="5000"/>
              </w14:schemeClr>
            </w14:solidFill>
          </w14:textFill>
        </w:rPr>
        <w:t>F</w:t>
      </w:r>
      <w:r>
        <w:rPr>
          <w:rFonts w:hint="eastAsia" w:cs="Times New Roman"/>
          <w:bCs/>
          <w:color w:val="0D0D0D" w:themeColor="text1" w:themeTint="F2"/>
          <w:szCs w:val="24"/>
          <w:u w:val="single"/>
          <w14:textFill>
            <w14:solidFill>
              <w14:schemeClr w14:val="tx1">
                <w14:lumMod w14:val="95000"/>
                <w14:lumOff w14:val="5000"/>
              </w14:schemeClr>
            </w14:solidFill>
          </w14:textFill>
        </w:rPr>
        <w:t>—二次密封系数，单次密封取1，二次密封取0.25，本次评价取0.25。</w:t>
      </w:r>
    </w:p>
    <w:p w14:paraId="590629D5">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根据上式计算，</w:t>
      </w:r>
      <w:r>
        <w:rPr>
          <w:rFonts w:hint="eastAsia" w:cs="Times New Roman"/>
          <w:bCs/>
          <w:color w:val="0D0D0D" w:themeColor="text1" w:themeTint="F2"/>
          <w:szCs w:val="24"/>
          <w:u w:val="single"/>
          <w14:textFill>
            <w14:solidFill>
              <w14:schemeClr w14:val="tx1">
                <w14:lumMod w14:val="95000"/>
                <w14:lumOff w14:val="5000"/>
              </w14:schemeClr>
            </w14:solidFill>
          </w14:textFill>
        </w:rPr>
        <w:t>甲醇储罐</w:t>
      </w:r>
      <w:r>
        <w:rPr>
          <w:rFonts w:cs="Times New Roman"/>
          <w:bCs/>
          <w:color w:val="0D0D0D" w:themeColor="text1" w:themeTint="F2"/>
          <w:szCs w:val="24"/>
          <w:u w:val="single"/>
          <w14:textFill>
            <w14:solidFill>
              <w14:schemeClr w14:val="tx1">
                <w14:lumMod w14:val="95000"/>
                <w14:lumOff w14:val="5000"/>
              </w14:schemeClr>
            </w14:solidFill>
          </w14:textFill>
        </w:rPr>
        <w:t>L</w:t>
      </w:r>
      <w:r>
        <w:rPr>
          <w:rFonts w:cs="Times New Roman"/>
          <w:bCs/>
          <w:color w:val="0D0D0D" w:themeColor="text1" w:themeTint="F2"/>
          <w:szCs w:val="24"/>
          <w:u w:val="single"/>
          <w:vertAlign w:val="subscript"/>
          <w14:textFill>
            <w14:solidFill>
              <w14:schemeClr w14:val="tx1">
                <w14:lumMod w14:val="95000"/>
                <w14:lumOff w14:val="5000"/>
              </w14:schemeClr>
            </w14:solidFill>
          </w14:textFill>
        </w:rPr>
        <w:t>B</w:t>
      </w:r>
      <w:r>
        <w:rPr>
          <w:rFonts w:hint="eastAsia" w:cs="Times New Roman"/>
          <w:bCs/>
          <w:color w:val="0D0D0D" w:themeColor="text1" w:themeTint="F2"/>
          <w:szCs w:val="24"/>
          <w:u w:val="single"/>
          <w:vertAlign w:val="subscript"/>
          <w14:textFill>
            <w14:solidFill>
              <w14:schemeClr w14:val="tx1">
                <w14:lumMod w14:val="95000"/>
                <w14:lumOff w14:val="5000"/>
              </w14:schemeClr>
            </w14:solidFill>
          </w14:textFill>
        </w:rPr>
        <w:t>=</w:t>
      </w:r>
      <w:r>
        <w:rPr>
          <w:rFonts w:hint="eastAsia" w:cs="Times New Roman"/>
          <w:bCs/>
          <w:color w:val="0D0D0D" w:themeColor="text1" w:themeTint="F2"/>
          <w:szCs w:val="24"/>
          <w:u w:val="single"/>
          <w14:textFill>
            <w14:solidFill>
              <w14:schemeClr w14:val="tx1">
                <w14:lumMod w14:val="95000"/>
                <w14:lumOff w14:val="5000"/>
              </w14:schemeClr>
            </w14:solidFill>
          </w14:textFill>
        </w:rPr>
        <w:t>150.34kg/a；</w:t>
      </w:r>
    </w:p>
    <w:p w14:paraId="1D46213D">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hint="eastAsia" w:cs="Times New Roman"/>
          <w:bCs/>
          <w:color w:val="0D0D0D" w:themeColor="text1" w:themeTint="F2"/>
          <w:szCs w:val="24"/>
          <w:u w:val="single"/>
          <w14:textFill>
            <w14:solidFill>
              <w14:schemeClr w14:val="tx1">
                <w14:lumMod w14:val="95000"/>
                <w14:lumOff w14:val="5000"/>
              </w14:schemeClr>
            </w14:solidFill>
          </w14:textFill>
        </w:rPr>
        <w:t>项目在各储罐设置废气收集装置，呼吸阀与收集管道相连，储罐呼吸废气在风机作用下经管道输送RCO催化燃烧装置处理后，通过30m高排气筒（DA001）排放。</w:t>
      </w:r>
    </w:p>
    <w:p w14:paraId="16286351">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hint="eastAsia" w:cs="Times New Roman"/>
          <w:bCs/>
          <w:color w:val="0D0D0D" w:themeColor="text1" w:themeTint="F2"/>
          <w:szCs w:val="24"/>
          <w:u w:val="single"/>
          <w14:textFill>
            <w14:solidFill>
              <w14:schemeClr w14:val="tx1">
                <w14:lumMod w14:val="95000"/>
                <w14:lumOff w14:val="5000"/>
              </w14:schemeClr>
            </w14:solidFill>
          </w14:textFill>
        </w:rPr>
        <w:t>根据《主要污染物总量减排核算技术指南（2022年修订）》（环办综合函〔2022〕350号）表2-3，“密闭管道”废气收集方式，集气效率为95%。项目废气收集方式为密闭管道收集，废气收集效率按95%计，少量废气因未能收集而外溢。</w:t>
      </w:r>
    </w:p>
    <w:p w14:paraId="06FFB4F7">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hint="eastAsia" w:cs="Times New Roman"/>
          <w:bCs/>
          <w:color w:val="0D0D0D" w:themeColor="text1" w:themeTint="F2"/>
          <w:szCs w:val="24"/>
          <w:u w:val="single"/>
          <w14:textFill>
            <w14:solidFill>
              <w14:schemeClr w14:val="tx1">
                <w14:lumMod w14:val="95000"/>
                <w14:lumOff w14:val="5000"/>
              </w14:schemeClr>
            </w14:solidFill>
          </w14:textFill>
        </w:rPr>
        <w:t>根据《排放源统计调查产排污核算方法和系数手册》（生态环境部公告 2021年第24号）中的2541生物质液体燃料行业系数手册，直接燃烧法污染物去除效率为96%，本次评价去除率保守取值90%。</w:t>
      </w:r>
    </w:p>
    <w:p w14:paraId="1BA18EE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项目风量根据管线内径及风速进行核算，核算结果详见表3.3-5。</w:t>
      </w:r>
    </w:p>
    <w:p w14:paraId="1FF5368D">
      <w:pPr>
        <w:pStyle w:val="11"/>
      </w:pPr>
      <w:r>
        <w:rPr>
          <w:rFonts w:hint="eastAsia"/>
        </w:rPr>
        <w:t xml:space="preserve"> 风量核算表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0"/>
        <w:gridCol w:w="1153"/>
        <w:gridCol w:w="1333"/>
        <w:gridCol w:w="1153"/>
        <w:gridCol w:w="1486"/>
        <w:gridCol w:w="2047"/>
      </w:tblGrid>
      <w:tr w14:paraId="444D3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120" w:type="pct"/>
            <w:vAlign w:val="center"/>
          </w:tcPr>
          <w:p w14:paraId="67D5FD1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624" w:type="pct"/>
            <w:vAlign w:val="center"/>
          </w:tcPr>
          <w:p w14:paraId="175C038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21" w:type="pct"/>
            <w:vAlign w:val="center"/>
          </w:tcPr>
          <w:p w14:paraId="7E84620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624" w:type="pct"/>
            <w:vAlign w:val="center"/>
          </w:tcPr>
          <w:p w14:paraId="37B123F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804" w:type="pct"/>
            <w:vAlign w:val="center"/>
          </w:tcPr>
          <w:p w14:paraId="2DFA706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107" w:type="pct"/>
            <w:vAlign w:val="center"/>
          </w:tcPr>
          <w:p w14:paraId="0A10DF2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5F8FB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0" w:type="pct"/>
            <w:vAlign w:val="center"/>
          </w:tcPr>
          <w:p w14:paraId="04C7959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624" w:type="pct"/>
            <w:vAlign w:val="center"/>
          </w:tcPr>
          <w:p w14:paraId="77C1BF2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21" w:type="pct"/>
            <w:vAlign w:val="center"/>
          </w:tcPr>
          <w:p w14:paraId="5ED029F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624" w:type="pct"/>
            <w:vAlign w:val="center"/>
          </w:tcPr>
          <w:p w14:paraId="72E5E17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804" w:type="pct"/>
            <w:vAlign w:val="center"/>
          </w:tcPr>
          <w:p w14:paraId="7808313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107" w:type="pct"/>
            <w:vAlign w:val="center"/>
          </w:tcPr>
          <w:p w14:paraId="6D548C1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26160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0" w:type="pct"/>
            <w:vAlign w:val="center"/>
          </w:tcPr>
          <w:p w14:paraId="6A061D6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624" w:type="pct"/>
            <w:vAlign w:val="center"/>
          </w:tcPr>
          <w:p w14:paraId="07A2415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21" w:type="pct"/>
            <w:vAlign w:val="center"/>
          </w:tcPr>
          <w:p w14:paraId="76B1B9C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624" w:type="pct"/>
            <w:vAlign w:val="center"/>
          </w:tcPr>
          <w:p w14:paraId="1B30642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804" w:type="pct"/>
            <w:vAlign w:val="center"/>
          </w:tcPr>
          <w:p w14:paraId="2A7EFED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107" w:type="pct"/>
            <w:vAlign w:val="center"/>
          </w:tcPr>
          <w:p w14:paraId="650258D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2CAB9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0" w:type="pct"/>
            <w:vAlign w:val="center"/>
          </w:tcPr>
          <w:p w14:paraId="626240E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624" w:type="pct"/>
            <w:vAlign w:val="center"/>
          </w:tcPr>
          <w:p w14:paraId="6E60E5D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21" w:type="pct"/>
            <w:vAlign w:val="center"/>
          </w:tcPr>
          <w:p w14:paraId="165E2F9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624" w:type="pct"/>
            <w:vAlign w:val="center"/>
          </w:tcPr>
          <w:p w14:paraId="3655710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804" w:type="pct"/>
            <w:vAlign w:val="center"/>
          </w:tcPr>
          <w:p w14:paraId="06DDEEF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107" w:type="pct"/>
            <w:vAlign w:val="center"/>
          </w:tcPr>
          <w:p w14:paraId="0B252FE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630CA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0" w:type="pct"/>
            <w:vAlign w:val="center"/>
          </w:tcPr>
          <w:p w14:paraId="4EA2CCE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624" w:type="pct"/>
            <w:vAlign w:val="center"/>
          </w:tcPr>
          <w:p w14:paraId="569CD34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21" w:type="pct"/>
            <w:vAlign w:val="center"/>
          </w:tcPr>
          <w:p w14:paraId="596123B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624" w:type="pct"/>
            <w:vAlign w:val="center"/>
          </w:tcPr>
          <w:p w14:paraId="7EA387F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804" w:type="pct"/>
            <w:vAlign w:val="center"/>
          </w:tcPr>
          <w:p w14:paraId="62A48EF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107" w:type="pct"/>
            <w:vAlign w:val="center"/>
          </w:tcPr>
          <w:p w14:paraId="5E0E3B7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3348A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93" w:type="pct"/>
            <w:gridSpan w:val="5"/>
            <w:vAlign w:val="center"/>
          </w:tcPr>
          <w:p w14:paraId="467A225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107" w:type="pct"/>
            <w:vAlign w:val="center"/>
          </w:tcPr>
          <w:p w14:paraId="568479F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bl>
    <w:p w14:paraId="29BCB6D5">
      <w:pPr>
        <w:ind w:firstLine="480" w:firstLineChars="200"/>
        <w:rPr>
          <w:rFonts w:cs="Times New Roman"/>
          <w:bCs/>
          <w:color w:val="0D0D0D" w:themeColor="text1" w:themeTint="F2"/>
          <w:szCs w:val="24"/>
          <w14:textFill>
            <w14:solidFill>
              <w14:schemeClr w14:val="tx1">
                <w14:lumMod w14:val="95000"/>
                <w14:lumOff w14:val="5000"/>
              </w14:schemeClr>
            </w14:solidFill>
          </w14:textFill>
        </w:rPr>
      </w:pPr>
      <w:r>
        <w:rPr>
          <w:rFonts w:hint="eastAsia" w:cs="Times New Roman"/>
          <w:bCs/>
          <w:color w:val="0D0D0D" w:themeColor="text1" w:themeTint="F2"/>
          <w:szCs w:val="24"/>
          <w14:textFill>
            <w14:solidFill>
              <w14:schemeClr w14:val="tx1">
                <w14:lumMod w14:val="95000"/>
                <w14:lumOff w14:val="5000"/>
              </w14:schemeClr>
            </w14:solidFill>
          </w14:textFill>
        </w:rPr>
        <w:t>在通风或废气收集系统设计中，漏风系数用于修正理论计算风量，补偿管道、接头、设备等可能存在的空气泄漏。本次评价漏风系数按10%计，即所需风量为1740.93m</w:t>
      </w:r>
      <w:r>
        <w:rPr>
          <w:rFonts w:hint="eastAsia" w:cs="Times New Roman"/>
          <w:bCs/>
          <w:color w:val="0D0D0D" w:themeColor="text1" w:themeTint="F2"/>
          <w:szCs w:val="24"/>
          <w:vertAlign w:val="superscript"/>
          <w14:textFill>
            <w14:solidFill>
              <w14:schemeClr w14:val="tx1">
                <w14:lumMod w14:val="95000"/>
                <w14:lumOff w14:val="5000"/>
              </w14:schemeClr>
            </w14:solidFill>
          </w14:textFill>
        </w:rPr>
        <w:t>3</w:t>
      </w:r>
      <w:r>
        <w:rPr>
          <w:rFonts w:hint="eastAsia" w:cs="Times New Roman"/>
          <w:bCs/>
          <w:color w:val="0D0D0D" w:themeColor="text1" w:themeTint="F2"/>
          <w:szCs w:val="24"/>
          <w14:textFill>
            <w14:solidFill>
              <w14:schemeClr w14:val="tx1">
                <w14:lumMod w14:val="95000"/>
                <w14:lumOff w14:val="5000"/>
              </w14:schemeClr>
            </w14:solidFill>
          </w14:textFill>
        </w:rPr>
        <w:t>/h，取整后为2000m</w:t>
      </w:r>
      <w:r>
        <w:rPr>
          <w:rFonts w:hint="eastAsia" w:cs="Times New Roman"/>
          <w:bCs/>
          <w:color w:val="0D0D0D" w:themeColor="text1" w:themeTint="F2"/>
          <w:szCs w:val="24"/>
          <w:vertAlign w:val="superscript"/>
          <w14:textFill>
            <w14:solidFill>
              <w14:schemeClr w14:val="tx1">
                <w14:lumMod w14:val="95000"/>
                <w14:lumOff w14:val="5000"/>
              </w14:schemeClr>
            </w14:solidFill>
          </w14:textFill>
        </w:rPr>
        <w:t>3</w:t>
      </w:r>
      <w:r>
        <w:rPr>
          <w:rFonts w:hint="eastAsia" w:cs="Times New Roman"/>
          <w:bCs/>
          <w:color w:val="0D0D0D" w:themeColor="text1" w:themeTint="F2"/>
          <w:szCs w:val="24"/>
          <w14:textFill>
            <w14:solidFill>
              <w14:schemeClr w14:val="tx1">
                <w14:lumMod w14:val="95000"/>
                <w14:lumOff w14:val="5000"/>
              </w14:schemeClr>
            </w14:solidFill>
          </w14:textFill>
        </w:rPr>
        <w:t>/h。</w:t>
      </w:r>
    </w:p>
    <w:p w14:paraId="4BBCE092">
      <w:pPr>
        <w:ind w:firstLine="480" w:firstLineChars="200"/>
        <w:rPr>
          <w:rFonts w:cs="Times New Roman"/>
          <w:bCs/>
          <w:color w:val="0D0D0D" w:themeColor="text1" w:themeTint="F2"/>
          <w:szCs w:val="24"/>
          <w14:textFill>
            <w14:solidFill>
              <w14:schemeClr w14:val="tx1">
                <w14:lumMod w14:val="95000"/>
                <w14:lumOff w14:val="5000"/>
              </w14:schemeClr>
            </w14:solidFill>
          </w14:textFill>
        </w:rPr>
      </w:pPr>
      <w:r>
        <w:rPr>
          <w:rFonts w:hint="eastAsia" w:cs="Times New Roman"/>
          <w:bCs/>
          <w:color w:val="0D0D0D" w:themeColor="text1" w:themeTint="F2"/>
          <w:szCs w:val="24"/>
          <w14:textFill>
            <w14:solidFill>
              <w14:schemeClr w14:val="tx1">
                <w14:lumMod w14:val="95000"/>
                <w14:lumOff w14:val="5000"/>
              </w14:schemeClr>
            </w14:solidFill>
          </w14:textFill>
        </w:rPr>
        <w:t>储罐呼吸废气污染物产排情况详见表3.3-6。</w:t>
      </w:r>
    </w:p>
    <w:p w14:paraId="7F3BB621">
      <w:pPr>
        <w:pStyle w:val="11"/>
        <w:sectPr>
          <w:pgSz w:w="11906" w:h="16838"/>
          <w:pgMar w:top="1440" w:right="1440" w:bottom="1440" w:left="1440" w:header="851" w:footer="992" w:gutter="0"/>
          <w:cols w:space="425" w:num="1"/>
          <w:docGrid w:type="lines" w:linePitch="312" w:charSpace="0"/>
        </w:sectPr>
      </w:pPr>
    </w:p>
    <w:p w14:paraId="28001ABB">
      <w:pPr>
        <w:pStyle w:val="11"/>
      </w:pPr>
      <w:r>
        <w:rPr>
          <w:rFonts w:hint="eastAsia"/>
        </w:rPr>
        <w:t xml:space="preserve"> 储罐呼吸废气产排情况一览表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8"/>
        <w:gridCol w:w="975"/>
        <w:gridCol w:w="1457"/>
        <w:gridCol w:w="1157"/>
        <w:gridCol w:w="1216"/>
        <w:gridCol w:w="1157"/>
        <w:gridCol w:w="1162"/>
        <w:gridCol w:w="731"/>
        <w:gridCol w:w="1148"/>
        <w:gridCol w:w="1162"/>
        <w:gridCol w:w="1148"/>
        <w:gridCol w:w="1163"/>
      </w:tblGrid>
      <w:tr w14:paraId="3B31D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2" w:type="pct"/>
            <w:gridSpan w:val="2"/>
            <w:vMerge w:val="restart"/>
            <w:vAlign w:val="center"/>
          </w:tcPr>
          <w:p w14:paraId="00DCE163">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514" w:type="pct"/>
            <w:vMerge w:val="restart"/>
            <w:vAlign w:val="center"/>
          </w:tcPr>
          <w:p w14:paraId="76F77886">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8" w:type="pct"/>
            <w:vMerge w:val="restart"/>
            <w:vAlign w:val="center"/>
          </w:tcPr>
          <w:p w14:paraId="7EFCBAB7">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29" w:type="pct"/>
            <w:vMerge w:val="restart"/>
            <w:vAlign w:val="center"/>
          </w:tcPr>
          <w:p w14:paraId="4093FE02">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818" w:type="pct"/>
            <w:gridSpan w:val="2"/>
            <w:vAlign w:val="center"/>
          </w:tcPr>
          <w:p w14:paraId="08847290">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258" w:type="pct"/>
            <w:vMerge w:val="restart"/>
            <w:vAlign w:val="center"/>
          </w:tcPr>
          <w:p w14:paraId="1524EEFA">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815" w:type="pct"/>
            <w:gridSpan w:val="2"/>
            <w:vAlign w:val="center"/>
          </w:tcPr>
          <w:p w14:paraId="44F0B2A7">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815" w:type="pct"/>
            <w:gridSpan w:val="2"/>
            <w:vAlign w:val="center"/>
          </w:tcPr>
          <w:p w14:paraId="61029598">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r>
      <w:tr w14:paraId="0B7A2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942" w:type="pct"/>
            <w:gridSpan w:val="2"/>
            <w:vMerge w:val="continue"/>
            <w:vAlign w:val="center"/>
          </w:tcPr>
          <w:p w14:paraId="2A4E7F98">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514" w:type="pct"/>
            <w:vMerge w:val="continue"/>
            <w:vAlign w:val="center"/>
          </w:tcPr>
          <w:p w14:paraId="02C87EC4">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8" w:type="pct"/>
            <w:vMerge w:val="continue"/>
            <w:vAlign w:val="center"/>
          </w:tcPr>
          <w:p w14:paraId="60B3DE26">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29" w:type="pct"/>
            <w:vMerge w:val="continue"/>
            <w:vAlign w:val="center"/>
          </w:tcPr>
          <w:p w14:paraId="6F5E3371">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8" w:type="pct"/>
            <w:vAlign w:val="center"/>
          </w:tcPr>
          <w:p w14:paraId="73330266">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3942D32A">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258" w:type="pct"/>
            <w:vMerge w:val="continue"/>
            <w:vAlign w:val="center"/>
          </w:tcPr>
          <w:p w14:paraId="53ABB3A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5" w:type="pct"/>
            <w:vAlign w:val="center"/>
          </w:tcPr>
          <w:p w14:paraId="05849BB1">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392E44E5">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5" w:type="pct"/>
            <w:vAlign w:val="center"/>
          </w:tcPr>
          <w:p w14:paraId="4431320E">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7A077756">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r>
      <w:tr w14:paraId="7BCF9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9" w:type="pct"/>
            <w:vMerge w:val="restart"/>
            <w:vAlign w:val="center"/>
          </w:tcPr>
          <w:p w14:paraId="181EB32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344" w:type="pct"/>
            <w:vAlign w:val="center"/>
          </w:tcPr>
          <w:p w14:paraId="2BAEC7AE">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514" w:type="pct"/>
            <w:vAlign w:val="center"/>
          </w:tcPr>
          <w:p w14:paraId="67C38397">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8" w:type="pct"/>
            <w:vAlign w:val="center"/>
          </w:tcPr>
          <w:p w14:paraId="529C1A29">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29" w:type="pct"/>
            <w:vAlign w:val="center"/>
          </w:tcPr>
          <w:p w14:paraId="49A47CB9">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8" w:type="pct"/>
            <w:vAlign w:val="center"/>
          </w:tcPr>
          <w:p w14:paraId="43720AFD">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091C6FB8">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258" w:type="pct"/>
            <w:vMerge w:val="restart"/>
            <w:vAlign w:val="center"/>
          </w:tcPr>
          <w:p w14:paraId="22F69739">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5" w:type="pct"/>
            <w:vAlign w:val="center"/>
          </w:tcPr>
          <w:p w14:paraId="471EE351">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07038487">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5" w:type="pct"/>
            <w:vAlign w:val="center"/>
          </w:tcPr>
          <w:p w14:paraId="2CFFEA50">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70CCCC89">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r>
      <w:tr w14:paraId="6CE13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9" w:type="pct"/>
            <w:vMerge w:val="continue"/>
            <w:vAlign w:val="center"/>
          </w:tcPr>
          <w:p w14:paraId="71655A00">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344" w:type="pct"/>
            <w:vAlign w:val="center"/>
          </w:tcPr>
          <w:p w14:paraId="0CF7D2CD">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514" w:type="pct"/>
            <w:vAlign w:val="center"/>
          </w:tcPr>
          <w:p w14:paraId="66C4255C">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8" w:type="pct"/>
            <w:vAlign w:val="center"/>
          </w:tcPr>
          <w:p w14:paraId="0DDA1E9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29" w:type="pct"/>
            <w:vAlign w:val="center"/>
          </w:tcPr>
          <w:p w14:paraId="03D4CE2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8" w:type="pct"/>
            <w:vAlign w:val="center"/>
          </w:tcPr>
          <w:p w14:paraId="19A034E5">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3219E752">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258" w:type="pct"/>
            <w:vMerge w:val="continue"/>
            <w:vAlign w:val="center"/>
          </w:tcPr>
          <w:p w14:paraId="26CBFC1F">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5" w:type="pct"/>
            <w:vAlign w:val="center"/>
          </w:tcPr>
          <w:p w14:paraId="1C07BB4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6FA8EACF">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5" w:type="pct"/>
            <w:vAlign w:val="center"/>
          </w:tcPr>
          <w:p w14:paraId="3E44FABD">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77540218">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r>
      <w:tr w14:paraId="26924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599" w:type="pct"/>
            <w:vMerge w:val="continue"/>
            <w:vAlign w:val="center"/>
          </w:tcPr>
          <w:p w14:paraId="5E539BF5">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344" w:type="pct"/>
            <w:vAlign w:val="center"/>
          </w:tcPr>
          <w:p w14:paraId="4892F619">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514" w:type="pct"/>
            <w:vAlign w:val="center"/>
          </w:tcPr>
          <w:p w14:paraId="48F7ECB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8" w:type="pct"/>
            <w:vAlign w:val="center"/>
          </w:tcPr>
          <w:p w14:paraId="6A419EFE">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29" w:type="pct"/>
            <w:vAlign w:val="center"/>
          </w:tcPr>
          <w:p w14:paraId="727D670A">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8" w:type="pct"/>
            <w:vAlign w:val="center"/>
          </w:tcPr>
          <w:p w14:paraId="4FE6D2A2">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652B6F2F">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258" w:type="pct"/>
            <w:vAlign w:val="center"/>
          </w:tcPr>
          <w:p w14:paraId="4E555236">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5" w:type="pct"/>
            <w:vAlign w:val="center"/>
          </w:tcPr>
          <w:p w14:paraId="3A3FD049">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3D266539">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5" w:type="pct"/>
            <w:vAlign w:val="center"/>
          </w:tcPr>
          <w:p w14:paraId="05061A58">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562D6541">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r>
      <w:tr w14:paraId="5E063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9" w:type="pct"/>
            <w:vMerge w:val="restart"/>
            <w:vAlign w:val="center"/>
          </w:tcPr>
          <w:p w14:paraId="5CE74604">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344" w:type="pct"/>
            <w:vAlign w:val="center"/>
          </w:tcPr>
          <w:p w14:paraId="2F75E0E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514" w:type="pct"/>
            <w:vAlign w:val="center"/>
          </w:tcPr>
          <w:p w14:paraId="58426C90">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8" w:type="pct"/>
            <w:vAlign w:val="center"/>
          </w:tcPr>
          <w:p w14:paraId="074BBE50">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29" w:type="pct"/>
            <w:vAlign w:val="center"/>
          </w:tcPr>
          <w:p w14:paraId="7FD0A90C">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8" w:type="pct"/>
            <w:vAlign w:val="center"/>
          </w:tcPr>
          <w:p w14:paraId="02F23516">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20EB4D0F">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258" w:type="pct"/>
            <w:vMerge w:val="restart"/>
            <w:vAlign w:val="center"/>
          </w:tcPr>
          <w:p w14:paraId="7DF7F78A">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5" w:type="pct"/>
            <w:vAlign w:val="center"/>
          </w:tcPr>
          <w:p w14:paraId="2CE057BA">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3592584E">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5" w:type="pct"/>
            <w:vAlign w:val="center"/>
          </w:tcPr>
          <w:p w14:paraId="4A528B17">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5BAEDAA1">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r>
      <w:tr w14:paraId="47FA4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9" w:type="pct"/>
            <w:vMerge w:val="continue"/>
            <w:vAlign w:val="center"/>
          </w:tcPr>
          <w:p w14:paraId="67CE73FC">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344" w:type="pct"/>
            <w:vAlign w:val="center"/>
          </w:tcPr>
          <w:p w14:paraId="764475D7">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514" w:type="pct"/>
            <w:vAlign w:val="center"/>
          </w:tcPr>
          <w:p w14:paraId="3B69BD81">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8" w:type="pct"/>
            <w:vAlign w:val="center"/>
          </w:tcPr>
          <w:p w14:paraId="6297D634">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29" w:type="pct"/>
            <w:vAlign w:val="center"/>
          </w:tcPr>
          <w:p w14:paraId="760168A5">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8" w:type="pct"/>
            <w:vAlign w:val="center"/>
          </w:tcPr>
          <w:p w14:paraId="2F188764">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5B0ECE22">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258" w:type="pct"/>
            <w:vMerge w:val="continue"/>
            <w:vAlign w:val="center"/>
          </w:tcPr>
          <w:p w14:paraId="6206E124">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5" w:type="pct"/>
            <w:vAlign w:val="center"/>
          </w:tcPr>
          <w:p w14:paraId="3CF80668">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121AA5F1">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5" w:type="pct"/>
            <w:vAlign w:val="center"/>
          </w:tcPr>
          <w:p w14:paraId="235CC015">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38419B94">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r>
      <w:tr w14:paraId="593A5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9" w:type="pct"/>
            <w:vMerge w:val="continue"/>
            <w:vAlign w:val="center"/>
          </w:tcPr>
          <w:p w14:paraId="50C0C8FE">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344" w:type="pct"/>
            <w:vAlign w:val="center"/>
          </w:tcPr>
          <w:p w14:paraId="0EEBA05A">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514" w:type="pct"/>
            <w:vAlign w:val="center"/>
          </w:tcPr>
          <w:p w14:paraId="00735BA4">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8" w:type="pct"/>
            <w:vAlign w:val="center"/>
          </w:tcPr>
          <w:p w14:paraId="648F45DE">
            <w:pPr>
              <w:tabs>
                <w:tab w:val="left" w:pos="0"/>
                <w:tab w:val="left" w:pos="1820"/>
              </w:tabs>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429" w:type="pct"/>
            <w:vAlign w:val="center"/>
          </w:tcPr>
          <w:p w14:paraId="677844B1">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8" w:type="pct"/>
            <w:vAlign w:val="center"/>
          </w:tcPr>
          <w:p w14:paraId="0BF026F3">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1712FA4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258" w:type="pct"/>
            <w:vAlign w:val="center"/>
          </w:tcPr>
          <w:p w14:paraId="4E18C3B2">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5" w:type="pct"/>
            <w:vAlign w:val="center"/>
          </w:tcPr>
          <w:p w14:paraId="27186333">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6DA265B4">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5" w:type="pct"/>
            <w:vAlign w:val="center"/>
          </w:tcPr>
          <w:p w14:paraId="0A24A3DA">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3AAEA69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r>
      <w:tr w14:paraId="67914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9" w:type="pct"/>
            <w:vMerge w:val="restart"/>
            <w:vAlign w:val="center"/>
          </w:tcPr>
          <w:p w14:paraId="31DD648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344" w:type="pct"/>
            <w:vAlign w:val="center"/>
          </w:tcPr>
          <w:p w14:paraId="1566F899">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514" w:type="pct"/>
            <w:vAlign w:val="center"/>
          </w:tcPr>
          <w:p w14:paraId="2A5BBFBA">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8" w:type="pct"/>
            <w:vAlign w:val="center"/>
          </w:tcPr>
          <w:p w14:paraId="1CD71A9D">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29" w:type="pct"/>
            <w:vAlign w:val="center"/>
          </w:tcPr>
          <w:p w14:paraId="0324BCED">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8" w:type="pct"/>
            <w:vAlign w:val="center"/>
          </w:tcPr>
          <w:p w14:paraId="337072F1">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7BF64CC9">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258" w:type="pct"/>
            <w:vMerge w:val="restart"/>
            <w:vAlign w:val="center"/>
          </w:tcPr>
          <w:p w14:paraId="32ECA592">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5" w:type="pct"/>
            <w:vAlign w:val="center"/>
          </w:tcPr>
          <w:p w14:paraId="3B9890E8">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66FBD6F7">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5" w:type="pct"/>
            <w:vAlign w:val="center"/>
          </w:tcPr>
          <w:p w14:paraId="6672B4E5">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599295FF">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r>
      <w:tr w14:paraId="218FE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9" w:type="pct"/>
            <w:vMerge w:val="continue"/>
            <w:vAlign w:val="center"/>
          </w:tcPr>
          <w:p w14:paraId="607F0622">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344" w:type="pct"/>
            <w:vAlign w:val="center"/>
          </w:tcPr>
          <w:p w14:paraId="041B339A">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514" w:type="pct"/>
            <w:vAlign w:val="center"/>
          </w:tcPr>
          <w:p w14:paraId="229747F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8" w:type="pct"/>
            <w:vAlign w:val="center"/>
          </w:tcPr>
          <w:p w14:paraId="20B12208">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29" w:type="pct"/>
            <w:vAlign w:val="center"/>
          </w:tcPr>
          <w:p w14:paraId="46734913">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8" w:type="pct"/>
            <w:vAlign w:val="center"/>
          </w:tcPr>
          <w:p w14:paraId="4FC73245">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27E06F23">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258" w:type="pct"/>
            <w:vMerge w:val="continue"/>
            <w:vAlign w:val="center"/>
          </w:tcPr>
          <w:p w14:paraId="68146508">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5" w:type="pct"/>
            <w:vAlign w:val="center"/>
          </w:tcPr>
          <w:p w14:paraId="7174E382">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2C48D8E1">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5" w:type="pct"/>
            <w:vAlign w:val="center"/>
          </w:tcPr>
          <w:p w14:paraId="01B503E3">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1862CE45">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r>
      <w:tr w14:paraId="63DF0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9" w:type="pct"/>
            <w:vMerge w:val="continue"/>
            <w:vAlign w:val="center"/>
          </w:tcPr>
          <w:p w14:paraId="5B2C7DF6">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344" w:type="pct"/>
            <w:vAlign w:val="center"/>
          </w:tcPr>
          <w:p w14:paraId="54E93E07">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514" w:type="pct"/>
            <w:vAlign w:val="center"/>
          </w:tcPr>
          <w:p w14:paraId="12FD6F75">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8" w:type="pct"/>
            <w:vAlign w:val="center"/>
          </w:tcPr>
          <w:p w14:paraId="1FA997F9">
            <w:pPr>
              <w:tabs>
                <w:tab w:val="left" w:pos="0"/>
                <w:tab w:val="left" w:pos="1820"/>
              </w:tabs>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429" w:type="pct"/>
            <w:vAlign w:val="center"/>
          </w:tcPr>
          <w:p w14:paraId="4837F556">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8" w:type="pct"/>
            <w:vAlign w:val="center"/>
          </w:tcPr>
          <w:p w14:paraId="25CBC1D4">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14D7B6D6">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258" w:type="pct"/>
            <w:vAlign w:val="center"/>
          </w:tcPr>
          <w:p w14:paraId="328DFAE5">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5" w:type="pct"/>
            <w:vAlign w:val="center"/>
          </w:tcPr>
          <w:p w14:paraId="0BDF0427">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05AF014C">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5" w:type="pct"/>
            <w:vAlign w:val="center"/>
          </w:tcPr>
          <w:p w14:paraId="25D16BC5">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6E203004">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r>
      <w:tr w14:paraId="42F6F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9" w:type="pct"/>
            <w:vMerge w:val="restart"/>
            <w:vAlign w:val="center"/>
          </w:tcPr>
          <w:p w14:paraId="634C028D">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344" w:type="pct"/>
            <w:vAlign w:val="center"/>
          </w:tcPr>
          <w:p w14:paraId="760ACD30">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514" w:type="pct"/>
            <w:vAlign w:val="center"/>
          </w:tcPr>
          <w:p w14:paraId="176E8ED8">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8" w:type="pct"/>
            <w:vAlign w:val="center"/>
          </w:tcPr>
          <w:p w14:paraId="076AB73C">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29" w:type="pct"/>
            <w:vAlign w:val="center"/>
          </w:tcPr>
          <w:p w14:paraId="24042635">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8" w:type="pct"/>
            <w:vAlign w:val="center"/>
          </w:tcPr>
          <w:p w14:paraId="4E3A7594">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33BD7CB1">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258" w:type="pct"/>
            <w:vMerge w:val="restart"/>
            <w:vAlign w:val="center"/>
          </w:tcPr>
          <w:p w14:paraId="0765688C">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5" w:type="pct"/>
            <w:vAlign w:val="center"/>
          </w:tcPr>
          <w:p w14:paraId="586878F5">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3AF52E63">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5" w:type="pct"/>
            <w:vAlign w:val="center"/>
          </w:tcPr>
          <w:p w14:paraId="6B016E91">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30FBB261">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r>
      <w:tr w14:paraId="67F93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9" w:type="pct"/>
            <w:vMerge w:val="continue"/>
            <w:vAlign w:val="center"/>
          </w:tcPr>
          <w:p w14:paraId="720A4864">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344" w:type="pct"/>
            <w:vAlign w:val="center"/>
          </w:tcPr>
          <w:p w14:paraId="0F881F5D">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514" w:type="pct"/>
            <w:vAlign w:val="center"/>
          </w:tcPr>
          <w:p w14:paraId="7427F026">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8" w:type="pct"/>
            <w:vAlign w:val="center"/>
          </w:tcPr>
          <w:p w14:paraId="3B34D8F1">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29" w:type="pct"/>
            <w:vAlign w:val="center"/>
          </w:tcPr>
          <w:p w14:paraId="75736832">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8" w:type="pct"/>
            <w:vAlign w:val="center"/>
          </w:tcPr>
          <w:p w14:paraId="67712D6A">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7BE82108">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258" w:type="pct"/>
            <w:vMerge w:val="continue"/>
            <w:vAlign w:val="center"/>
          </w:tcPr>
          <w:p w14:paraId="134834D5">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5" w:type="pct"/>
            <w:vAlign w:val="center"/>
          </w:tcPr>
          <w:p w14:paraId="541F8BD8">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5944CDB6">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5" w:type="pct"/>
            <w:vAlign w:val="center"/>
          </w:tcPr>
          <w:p w14:paraId="3F949CB4">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434C7A36">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r>
      <w:tr w14:paraId="655A4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9" w:type="pct"/>
            <w:vMerge w:val="continue"/>
            <w:vAlign w:val="center"/>
          </w:tcPr>
          <w:p w14:paraId="2672DAF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344" w:type="pct"/>
            <w:vAlign w:val="center"/>
          </w:tcPr>
          <w:p w14:paraId="1F478E5A">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514" w:type="pct"/>
            <w:vAlign w:val="center"/>
          </w:tcPr>
          <w:p w14:paraId="172CCAE5">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8" w:type="pct"/>
            <w:vAlign w:val="center"/>
          </w:tcPr>
          <w:p w14:paraId="2C706F83">
            <w:pPr>
              <w:tabs>
                <w:tab w:val="left" w:pos="0"/>
                <w:tab w:val="left" w:pos="1820"/>
              </w:tabs>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429" w:type="pct"/>
            <w:vAlign w:val="center"/>
          </w:tcPr>
          <w:p w14:paraId="7072B088">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8" w:type="pct"/>
            <w:vAlign w:val="center"/>
          </w:tcPr>
          <w:p w14:paraId="7AEB373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2CB2CCF1">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258" w:type="pct"/>
            <w:vAlign w:val="center"/>
          </w:tcPr>
          <w:p w14:paraId="626D12CA">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5" w:type="pct"/>
            <w:vAlign w:val="center"/>
          </w:tcPr>
          <w:p w14:paraId="0D76B60A">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1E324B44">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5" w:type="pct"/>
            <w:vAlign w:val="center"/>
          </w:tcPr>
          <w:p w14:paraId="0A7E3AEF">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27A7A463">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r>
      <w:tr w14:paraId="57FD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2" w:type="pct"/>
            <w:gridSpan w:val="2"/>
            <w:vMerge w:val="restart"/>
            <w:vAlign w:val="center"/>
          </w:tcPr>
          <w:p w14:paraId="78F3258E">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514" w:type="pct"/>
            <w:vAlign w:val="center"/>
          </w:tcPr>
          <w:p w14:paraId="22F4ABE7">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8" w:type="pct"/>
            <w:vAlign w:val="center"/>
          </w:tcPr>
          <w:p w14:paraId="1F738560">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29" w:type="pct"/>
            <w:vAlign w:val="center"/>
          </w:tcPr>
          <w:p w14:paraId="2DD08027">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8" w:type="pct"/>
            <w:vAlign w:val="center"/>
          </w:tcPr>
          <w:p w14:paraId="32D12E90">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1DF40E5A">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258" w:type="pct"/>
            <w:vAlign w:val="center"/>
          </w:tcPr>
          <w:p w14:paraId="36D74379">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5" w:type="pct"/>
            <w:vAlign w:val="center"/>
          </w:tcPr>
          <w:p w14:paraId="7B445C4F">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08963D5C">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5" w:type="pct"/>
            <w:vAlign w:val="center"/>
          </w:tcPr>
          <w:p w14:paraId="06BCB33D">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1034E336">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r>
      <w:tr w14:paraId="44082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2" w:type="pct"/>
            <w:gridSpan w:val="2"/>
            <w:vMerge w:val="continue"/>
            <w:vAlign w:val="center"/>
          </w:tcPr>
          <w:p w14:paraId="41B184E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514" w:type="pct"/>
            <w:vAlign w:val="center"/>
          </w:tcPr>
          <w:p w14:paraId="5244F540">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8" w:type="pct"/>
            <w:vAlign w:val="center"/>
          </w:tcPr>
          <w:p w14:paraId="3A8175D6">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29" w:type="pct"/>
            <w:vAlign w:val="center"/>
          </w:tcPr>
          <w:p w14:paraId="13926790">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8" w:type="pct"/>
            <w:vAlign w:val="center"/>
          </w:tcPr>
          <w:p w14:paraId="729BCA76">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5DB31830">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258" w:type="pct"/>
            <w:vAlign w:val="center"/>
          </w:tcPr>
          <w:p w14:paraId="3AB3C513">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5" w:type="pct"/>
            <w:vAlign w:val="center"/>
          </w:tcPr>
          <w:p w14:paraId="1D9C495D">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0FB73800">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05" w:type="pct"/>
            <w:vAlign w:val="center"/>
          </w:tcPr>
          <w:p w14:paraId="02EC08D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10" w:type="pct"/>
            <w:vAlign w:val="center"/>
          </w:tcPr>
          <w:p w14:paraId="341C7D85">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r>
      <w:tr w14:paraId="44D88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12"/>
            <w:vAlign w:val="center"/>
          </w:tcPr>
          <w:p w14:paraId="769B74B0">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r>
    </w:tbl>
    <w:p w14:paraId="1EFFEA10">
      <w:pPr>
        <w:rPr>
          <w:color w:val="0D0D0D" w:themeColor="text1" w:themeTint="F2"/>
          <w14:textFill>
            <w14:solidFill>
              <w14:schemeClr w14:val="tx1">
                <w14:lumMod w14:val="95000"/>
                <w14:lumOff w14:val="5000"/>
              </w14:schemeClr>
            </w14:solidFill>
          </w14:textFill>
        </w:rPr>
        <w:sectPr>
          <w:pgSz w:w="16838" w:h="11906" w:orient="landscape"/>
          <w:pgMar w:top="1440" w:right="1440" w:bottom="1440" w:left="1440" w:header="851" w:footer="992" w:gutter="0"/>
          <w:cols w:space="425" w:num="1"/>
          <w:docGrid w:type="linesAndChars" w:linePitch="312" w:charSpace="0"/>
        </w:sectPr>
      </w:pPr>
    </w:p>
    <w:p w14:paraId="264FAD3F">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（4）化验室废气</w:t>
      </w:r>
    </w:p>
    <w:p w14:paraId="3732BA09">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化验室废气主要是实验过程中试剂挥发或样品油挥发的有机废气，本次评价以非甲烷总烃表征，由于项目化验室仅在原料和产品抽检时使用，年使用时间较少，污染物产生较少，且化验过程在通风橱进行，经设置负压抽风机收集后引至化验室屋顶排放，对环境影响较小，本次评价不再对该部分废气进行定量核算，仅进行定性分析。</w:t>
      </w:r>
    </w:p>
    <w:p w14:paraId="02DD5A4F">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（5）生产线工艺废气</w:t>
      </w:r>
    </w:p>
    <w:p w14:paraId="16F7A64D">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（涉密，公示本已删除）。</w:t>
      </w:r>
    </w:p>
    <w:p w14:paraId="7D01816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项目风量根据管线内径及风速进行核算，核算结果详见表3.3-7。</w:t>
      </w:r>
    </w:p>
    <w:p w14:paraId="3DCF3426">
      <w:pPr>
        <w:pStyle w:val="11"/>
      </w:pPr>
      <w:r>
        <w:rPr>
          <w:rFonts w:hint="eastAsia"/>
        </w:rPr>
        <w:t xml:space="preserve"> 风量核算表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1519"/>
        <w:gridCol w:w="1736"/>
        <w:gridCol w:w="1087"/>
        <w:gridCol w:w="824"/>
        <w:gridCol w:w="1148"/>
        <w:gridCol w:w="970"/>
        <w:gridCol w:w="1087"/>
      </w:tblGrid>
      <w:tr w14:paraId="5D97D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71" w:type="pct"/>
            <w:vAlign w:val="center"/>
          </w:tcPr>
          <w:p w14:paraId="511071E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822" w:type="pct"/>
            <w:vAlign w:val="center"/>
          </w:tcPr>
          <w:p w14:paraId="2E9C908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939" w:type="pct"/>
            <w:vAlign w:val="center"/>
          </w:tcPr>
          <w:p w14:paraId="7B473D0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vAlign w:val="center"/>
          </w:tcPr>
          <w:p w14:paraId="7EEE1AB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446" w:type="pct"/>
            <w:vAlign w:val="center"/>
          </w:tcPr>
          <w:p w14:paraId="0F846F2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621" w:type="pct"/>
            <w:vAlign w:val="center"/>
          </w:tcPr>
          <w:p w14:paraId="66A8B7FB">
            <w:pPr>
              <w:pStyle w:val="2"/>
              <w:spacing w:after="0" w:line="240" w:lineRule="auto"/>
              <w:ind w:firstLine="0" w:firstLineChars="0"/>
              <w:jc w:val="center"/>
              <w:rPr>
                <w:color w:val="0D0D0D" w:themeColor="text1" w:themeTint="F2"/>
                <w:sz w:val="21"/>
                <w:szCs w:val="21"/>
                <w14:textFill>
                  <w14:solidFill>
                    <w14:schemeClr w14:val="tx1">
                      <w14:lumMod w14:val="95000"/>
                      <w14:lumOff w14:val="5000"/>
                    </w14:schemeClr>
                  </w14:solidFill>
                </w14:textFill>
              </w:rPr>
            </w:pPr>
          </w:p>
        </w:tc>
        <w:tc>
          <w:tcPr>
            <w:tcW w:w="524" w:type="pct"/>
            <w:vAlign w:val="center"/>
          </w:tcPr>
          <w:p w14:paraId="71A6F45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vAlign w:val="center"/>
          </w:tcPr>
          <w:p w14:paraId="2CF8BDD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1E0BE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restart"/>
            <w:vAlign w:val="center"/>
          </w:tcPr>
          <w:p w14:paraId="24B73BE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822" w:type="pct"/>
            <w:vAlign w:val="center"/>
          </w:tcPr>
          <w:p w14:paraId="5FE0436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939" w:type="pct"/>
            <w:vAlign w:val="center"/>
          </w:tcPr>
          <w:p w14:paraId="7F8A45B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vAlign w:val="center"/>
          </w:tcPr>
          <w:p w14:paraId="2480CDE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446" w:type="pct"/>
            <w:vAlign w:val="center"/>
          </w:tcPr>
          <w:p w14:paraId="7C68D6D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621" w:type="pct"/>
            <w:vAlign w:val="center"/>
          </w:tcPr>
          <w:p w14:paraId="5D07A6F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4" w:type="pct"/>
            <w:vAlign w:val="center"/>
          </w:tcPr>
          <w:p w14:paraId="099E158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vAlign w:val="center"/>
          </w:tcPr>
          <w:p w14:paraId="10AB7DF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14B11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vAlign w:val="center"/>
          </w:tcPr>
          <w:p w14:paraId="4B5934E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822" w:type="pct"/>
            <w:vMerge w:val="restart"/>
            <w:vAlign w:val="center"/>
          </w:tcPr>
          <w:p w14:paraId="7617B39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939" w:type="pct"/>
            <w:vAlign w:val="center"/>
          </w:tcPr>
          <w:p w14:paraId="727D2D2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vAlign w:val="center"/>
          </w:tcPr>
          <w:p w14:paraId="384F05F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446" w:type="pct"/>
            <w:vAlign w:val="center"/>
          </w:tcPr>
          <w:p w14:paraId="4AA4A73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621" w:type="pct"/>
            <w:vAlign w:val="center"/>
          </w:tcPr>
          <w:p w14:paraId="29B0356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4" w:type="pct"/>
            <w:vAlign w:val="center"/>
          </w:tcPr>
          <w:p w14:paraId="67FCDE3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vAlign w:val="center"/>
          </w:tcPr>
          <w:p w14:paraId="6AE6009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0B827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vAlign w:val="center"/>
          </w:tcPr>
          <w:p w14:paraId="0089539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822" w:type="pct"/>
            <w:vMerge w:val="continue"/>
            <w:vAlign w:val="center"/>
          </w:tcPr>
          <w:p w14:paraId="2F57BB5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939" w:type="pct"/>
            <w:vAlign w:val="center"/>
          </w:tcPr>
          <w:p w14:paraId="53BBC8E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vAlign w:val="center"/>
          </w:tcPr>
          <w:p w14:paraId="6616733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446" w:type="pct"/>
            <w:vAlign w:val="center"/>
          </w:tcPr>
          <w:p w14:paraId="064FA0F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621" w:type="pct"/>
            <w:vAlign w:val="center"/>
          </w:tcPr>
          <w:p w14:paraId="37DEC0E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4" w:type="pct"/>
            <w:vAlign w:val="center"/>
          </w:tcPr>
          <w:p w14:paraId="779A447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tcPr>
          <w:p w14:paraId="7441631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48DB5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vAlign w:val="center"/>
          </w:tcPr>
          <w:p w14:paraId="05904B3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822" w:type="pct"/>
            <w:vMerge w:val="continue"/>
            <w:vAlign w:val="center"/>
          </w:tcPr>
          <w:p w14:paraId="0BA296A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939" w:type="pct"/>
            <w:vAlign w:val="center"/>
          </w:tcPr>
          <w:p w14:paraId="777A99C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vAlign w:val="center"/>
          </w:tcPr>
          <w:p w14:paraId="356A2C9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446" w:type="pct"/>
            <w:vAlign w:val="center"/>
          </w:tcPr>
          <w:p w14:paraId="453DEA8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621" w:type="pct"/>
            <w:vAlign w:val="center"/>
          </w:tcPr>
          <w:p w14:paraId="735B546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4" w:type="pct"/>
            <w:vAlign w:val="center"/>
          </w:tcPr>
          <w:p w14:paraId="11C1A39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vAlign w:val="center"/>
          </w:tcPr>
          <w:p w14:paraId="4CADF6A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0F99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vAlign w:val="center"/>
          </w:tcPr>
          <w:p w14:paraId="408B7A7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822" w:type="pct"/>
            <w:vMerge w:val="restart"/>
            <w:vAlign w:val="center"/>
          </w:tcPr>
          <w:p w14:paraId="41E4F95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939" w:type="pct"/>
            <w:vAlign w:val="center"/>
          </w:tcPr>
          <w:p w14:paraId="083DA87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vAlign w:val="center"/>
          </w:tcPr>
          <w:p w14:paraId="4073AED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446" w:type="pct"/>
            <w:vAlign w:val="center"/>
          </w:tcPr>
          <w:p w14:paraId="3108873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621" w:type="pct"/>
            <w:vAlign w:val="center"/>
          </w:tcPr>
          <w:p w14:paraId="2F38198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4" w:type="pct"/>
            <w:vAlign w:val="center"/>
          </w:tcPr>
          <w:p w14:paraId="1638340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vAlign w:val="center"/>
          </w:tcPr>
          <w:p w14:paraId="052FA35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27835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vAlign w:val="center"/>
          </w:tcPr>
          <w:p w14:paraId="221497B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822" w:type="pct"/>
            <w:vMerge w:val="continue"/>
            <w:vAlign w:val="center"/>
          </w:tcPr>
          <w:p w14:paraId="0B0CCAB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939" w:type="pct"/>
            <w:vAlign w:val="center"/>
          </w:tcPr>
          <w:p w14:paraId="04C92DF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vAlign w:val="center"/>
          </w:tcPr>
          <w:p w14:paraId="34F516A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446" w:type="pct"/>
            <w:vAlign w:val="center"/>
          </w:tcPr>
          <w:p w14:paraId="3972C7C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621" w:type="pct"/>
            <w:vAlign w:val="center"/>
          </w:tcPr>
          <w:p w14:paraId="0367FA1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4" w:type="pct"/>
            <w:vAlign w:val="center"/>
          </w:tcPr>
          <w:p w14:paraId="46F1E61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vAlign w:val="center"/>
          </w:tcPr>
          <w:p w14:paraId="491436B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7BF9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vAlign w:val="center"/>
          </w:tcPr>
          <w:p w14:paraId="1FED09E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822" w:type="pct"/>
            <w:vMerge w:val="restart"/>
            <w:vAlign w:val="center"/>
          </w:tcPr>
          <w:p w14:paraId="63A2109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939" w:type="pct"/>
            <w:vAlign w:val="center"/>
          </w:tcPr>
          <w:p w14:paraId="5B63BF6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vAlign w:val="center"/>
          </w:tcPr>
          <w:p w14:paraId="1CB3D6D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446" w:type="pct"/>
            <w:vAlign w:val="center"/>
          </w:tcPr>
          <w:p w14:paraId="3A460E4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621" w:type="pct"/>
            <w:vAlign w:val="center"/>
          </w:tcPr>
          <w:p w14:paraId="2C9EDCF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4" w:type="pct"/>
            <w:vAlign w:val="center"/>
          </w:tcPr>
          <w:p w14:paraId="6590A0E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vAlign w:val="center"/>
          </w:tcPr>
          <w:p w14:paraId="787A040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61FEB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vAlign w:val="center"/>
          </w:tcPr>
          <w:p w14:paraId="05F1AFC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822" w:type="pct"/>
            <w:vMerge w:val="continue"/>
            <w:vAlign w:val="center"/>
          </w:tcPr>
          <w:p w14:paraId="23F1541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939" w:type="pct"/>
            <w:vAlign w:val="center"/>
          </w:tcPr>
          <w:p w14:paraId="7C34A8C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vAlign w:val="center"/>
          </w:tcPr>
          <w:p w14:paraId="0B3D09F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446" w:type="pct"/>
            <w:vAlign w:val="center"/>
          </w:tcPr>
          <w:p w14:paraId="3FB3C01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621" w:type="pct"/>
            <w:vAlign w:val="center"/>
          </w:tcPr>
          <w:p w14:paraId="6DDDF6A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4" w:type="pct"/>
            <w:vAlign w:val="center"/>
          </w:tcPr>
          <w:p w14:paraId="774BF72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vAlign w:val="center"/>
          </w:tcPr>
          <w:p w14:paraId="38564E1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301E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vAlign w:val="center"/>
          </w:tcPr>
          <w:p w14:paraId="16C7975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822" w:type="pct"/>
            <w:vMerge w:val="continue"/>
            <w:vAlign w:val="center"/>
          </w:tcPr>
          <w:p w14:paraId="0204D60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939" w:type="pct"/>
            <w:vAlign w:val="center"/>
          </w:tcPr>
          <w:p w14:paraId="0E933E4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vAlign w:val="center"/>
          </w:tcPr>
          <w:p w14:paraId="41C8258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446" w:type="pct"/>
            <w:vAlign w:val="center"/>
          </w:tcPr>
          <w:p w14:paraId="365545D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621" w:type="pct"/>
            <w:vAlign w:val="center"/>
          </w:tcPr>
          <w:p w14:paraId="0065757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4" w:type="pct"/>
            <w:vAlign w:val="center"/>
          </w:tcPr>
          <w:p w14:paraId="4F57413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vAlign w:val="center"/>
          </w:tcPr>
          <w:p w14:paraId="616D108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58CCD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vAlign w:val="center"/>
          </w:tcPr>
          <w:p w14:paraId="5D582F2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3940" w:type="pct"/>
            <w:gridSpan w:val="6"/>
            <w:vAlign w:val="center"/>
          </w:tcPr>
          <w:p w14:paraId="24B2E6F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vAlign w:val="center"/>
          </w:tcPr>
          <w:p w14:paraId="7E5332B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4970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restart"/>
            <w:vAlign w:val="center"/>
          </w:tcPr>
          <w:p w14:paraId="4E54D08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822" w:type="pct"/>
            <w:vAlign w:val="center"/>
          </w:tcPr>
          <w:p w14:paraId="26CFB0C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939" w:type="pct"/>
            <w:vAlign w:val="center"/>
          </w:tcPr>
          <w:p w14:paraId="08BD291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vAlign w:val="center"/>
          </w:tcPr>
          <w:p w14:paraId="5BDF3C8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446" w:type="pct"/>
            <w:vAlign w:val="center"/>
          </w:tcPr>
          <w:p w14:paraId="1E224F6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621" w:type="pct"/>
            <w:vAlign w:val="center"/>
          </w:tcPr>
          <w:p w14:paraId="254CF10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4" w:type="pct"/>
            <w:vAlign w:val="center"/>
          </w:tcPr>
          <w:p w14:paraId="13C7150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vAlign w:val="center"/>
          </w:tcPr>
          <w:p w14:paraId="577F4B1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10AA5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vAlign w:val="center"/>
          </w:tcPr>
          <w:p w14:paraId="1EBD993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822" w:type="pct"/>
            <w:vAlign w:val="center"/>
          </w:tcPr>
          <w:p w14:paraId="6AACC2A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939" w:type="pct"/>
            <w:vAlign w:val="center"/>
          </w:tcPr>
          <w:p w14:paraId="00B4666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vAlign w:val="center"/>
          </w:tcPr>
          <w:p w14:paraId="23CA0A5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446" w:type="pct"/>
            <w:vAlign w:val="center"/>
          </w:tcPr>
          <w:p w14:paraId="18FB5B9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621" w:type="pct"/>
            <w:vAlign w:val="center"/>
          </w:tcPr>
          <w:p w14:paraId="7DF46BE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4" w:type="pct"/>
            <w:vAlign w:val="center"/>
          </w:tcPr>
          <w:p w14:paraId="24DB80A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vAlign w:val="center"/>
          </w:tcPr>
          <w:p w14:paraId="13E343B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1FF0E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vAlign w:val="center"/>
          </w:tcPr>
          <w:p w14:paraId="44F9764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822" w:type="pct"/>
            <w:vAlign w:val="center"/>
          </w:tcPr>
          <w:p w14:paraId="313C157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939" w:type="pct"/>
            <w:vAlign w:val="center"/>
          </w:tcPr>
          <w:p w14:paraId="690FE6C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vAlign w:val="center"/>
          </w:tcPr>
          <w:p w14:paraId="2215E9E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446" w:type="pct"/>
            <w:vAlign w:val="center"/>
          </w:tcPr>
          <w:p w14:paraId="3DBB8CA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621" w:type="pct"/>
            <w:vAlign w:val="center"/>
          </w:tcPr>
          <w:p w14:paraId="5F0EAF1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4" w:type="pct"/>
            <w:vAlign w:val="center"/>
          </w:tcPr>
          <w:p w14:paraId="515EE9F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vAlign w:val="center"/>
          </w:tcPr>
          <w:p w14:paraId="41421A1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15672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vAlign w:val="center"/>
          </w:tcPr>
          <w:p w14:paraId="4379846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822" w:type="pct"/>
            <w:vAlign w:val="center"/>
          </w:tcPr>
          <w:p w14:paraId="27D846F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939" w:type="pct"/>
            <w:vAlign w:val="center"/>
          </w:tcPr>
          <w:p w14:paraId="2F2767B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vAlign w:val="center"/>
          </w:tcPr>
          <w:p w14:paraId="15C3C11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446" w:type="pct"/>
            <w:vAlign w:val="center"/>
          </w:tcPr>
          <w:p w14:paraId="11D3336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621" w:type="pct"/>
            <w:vAlign w:val="center"/>
          </w:tcPr>
          <w:p w14:paraId="6E6791B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4" w:type="pct"/>
            <w:vAlign w:val="center"/>
          </w:tcPr>
          <w:p w14:paraId="164D11A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vAlign w:val="center"/>
          </w:tcPr>
          <w:p w14:paraId="25AA681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51E32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vAlign w:val="center"/>
          </w:tcPr>
          <w:p w14:paraId="55A8E83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822" w:type="pct"/>
            <w:vAlign w:val="center"/>
          </w:tcPr>
          <w:p w14:paraId="4BE2AB4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939" w:type="pct"/>
            <w:vAlign w:val="center"/>
          </w:tcPr>
          <w:p w14:paraId="51D290D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vAlign w:val="center"/>
          </w:tcPr>
          <w:p w14:paraId="160ABF0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446" w:type="pct"/>
            <w:vAlign w:val="center"/>
          </w:tcPr>
          <w:p w14:paraId="35502BB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621" w:type="pct"/>
            <w:vAlign w:val="center"/>
          </w:tcPr>
          <w:p w14:paraId="5FAADF9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24" w:type="pct"/>
            <w:vAlign w:val="center"/>
          </w:tcPr>
          <w:p w14:paraId="39501C8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vAlign w:val="center"/>
          </w:tcPr>
          <w:p w14:paraId="5162AF1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0A23D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vAlign w:val="center"/>
          </w:tcPr>
          <w:p w14:paraId="16570D4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3940" w:type="pct"/>
            <w:gridSpan w:val="6"/>
            <w:vAlign w:val="center"/>
          </w:tcPr>
          <w:p w14:paraId="568F001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vAlign w:val="center"/>
          </w:tcPr>
          <w:p w14:paraId="470446F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26F14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2" w:type="pct"/>
            <w:gridSpan w:val="7"/>
            <w:vAlign w:val="center"/>
          </w:tcPr>
          <w:p w14:paraId="29970CB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588" w:type="pct"/>
            <w:vAlign w:val="center"/>
          </w:tcPr>
          <w:p w14:paraId="22D02A3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bl>
    <w:p w14:paraId="55A28D78">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项目生产线工艺废气污染物产排情况详见表3.3-8。</w:t>
      </w:r>
    </w:p>
    <w:p w14:paraId="581A066A">
      <w:pPr>
        <w:pStyle w:val="11"/>
      </w:pPr>
      <w:r>
        <w:rPr>
          <w:rFonts w:hint="eastAsia"/>
        </w:rPr>
        <w:t xml:space="preserve"> 工艺废气污染物产排情况一览表</w:t>
      </w:r>
    </w:p>
    <w:p w14:paraId="4C60EB46">
      <w:pPr>
        <w:jc w:val="center"/>
        <w:rPr>
          <w:rFonts w:hint="eastAsia"/>
        </w:rPr>
      </w:pPr>
      <w:r>
        <w:rPr>
          <w:rFonts w:hint="eastAsia"/>
        </w:rPr>
        <w:t>（涉密，公示本已删除）</w:t>
      </w:r>
    </w:p>
    <w:p w14:paraId="424C2170">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（6）白土投料粉尘</w:t>
      </w:r>
    </w:p>
    <w:p w14:paraId="5BB067FC">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工业级混合油生产线白土投料过程中会产生投料粉尘，外购的白土采用吨袋包装，由吊装装置（电动葫芦等）吊至白土混合罐白土投料口上方，吨袋下边开口塞到白土混合罐投料口里，形成密闭连接，白土混合罐与真空系统连接，罐内为负压状态，拉动吨袋开口抽绳，物料在重力作用下进入给料机投料仓，经定量给料机自动加入白土混合罐。粉尘产污系数参照《逸散性工业粉尘控制技术》中石灰投料粉尘产污系数0.2kg/t-原料进行核算，白土投料量为1000t/a，则投料粉尘产生量约0.2t/a，产生速率为0.028kg/h。</w:t>
      </w:r>
    </w:p>
    <w:p w14:paraId="0EB6403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考虑到白土混合罐与真空系统连接，罐内维持负压状态，可降低粉尘逸散强度，白土投料粉尘产生量较少，受负压系统控制后扩散范围进一步缩小，可控制在投料口附近，因此，投料粉尘以无组织形式排放。</w:t>
      </w:r>
    </w:p>
    <w:p w14:paraId="62432799">
      <w:pPr>
        <w:ind w:firstLine="482" w:firstLineChars="200"/>
        <w:rPr>
          <w:rFonts w:cs="Times New Roman"/>
          <w:b/>
          <w:bCs/>
          <w:color w:val="0D0D0D" w:themeColor="text1" w:themeTint="F2"/>
          <w:szCs w:val="24"/>
          <w14:textFill>
            <w14:solidFill>
              <w14:schemeClr w14:val="tx1">
                <w14:lumMod w14:val="95000"/>
                <w14:lumOff w14:val="5000"/>
              </w14:schemeClr>
            </w14:solidFill>
          </w14:textFill>
        </w:rPr>
      </w:pPr>
      <w:r>
        <w:rPr>
          <w:rFonts w:hint="eastAsia" w:cs="Times New Roman"/>
          <w:b/>
          <w:bCs/>
          <w:color w:val="0D0D0D" w:themeColor="text1" w:themeTint="F2"/>
          <w:szCs w:val="24"/>
          <w14:textFill>
            <w14:solidFill>
              <w14:schemeClr w14:val="tx1">
                <w14:lumMod w14:val="95000"/>
                <w14:lumOff w14:val="5000"/>
              </w14:schemeClr>
            </w14:solidFill>
          </w14:textFill>
        </w:rPr>
        <w:t>（7）白土挥发废气</w:t>
      </w:r>
    </w:p>
    <w:p w14:paraId="45530321">
      <w:pPr>
        <w:ind w:firstLine="480" w:firstLineChars="200"/>
        <w:rPr>
          <w:rFonts w:cs="Times New Roman"/>
          <w:bCs/>
          <w:color w:val="0D0D0D" w:themeColor="text1" w:themeTint="F2"/>
          <w:szCs w:val="24"/>
          <w14:textFill>
            <w14:solidFill>
              <w14:schemeClr w14:val="tx1">
                <w14:lumMod w14:val="95000"/>
                <w14:lumOff w14:val="5000"/>
              </w14:schemeClr>
            </w14:solidFill>
          </w14:textFill>
        </w:rPr>
      </w:pPr>
      <w:r>
        <w:rPr>
          <w:rFonts w:hint="eastAsia" w:cs="Times New Roman"/>
          <w:bCs/>
          <w:color w:val="0D0D0D" w:themeColor="text1" w:themeTint="F2"/>
          <w:szCs w:val="24"/>
          <w14:textFill>
            <w14:solidFill>
              <w14:schemeClr w14:val="tx1">
                <w14:lumMod w14:val="95000"/>
                <w14:lumOff w14:val="5000"/>
              </w14:schemeClr>
            </w14:solidFill>
          </w14:textFill>
        </w:rPr>
        <w:t>项目废白土中含有约20%的油脂，暂存过程会散发出少量异味，本次评价要求废白土暂存区进行封闭处理，并及时清运处置，该部分废气产生量较小，对环境影响较小，</w:t>
      </w:r>
      <w:r>
        <w:rPr>
          <w:rFonts w:hint="eastAsia"/>
          <w:color w:val="0D0D0D" w:themeColor="text1" w:themeTint="F2"/>
          <w14:textFill>
            <w14:solidFill>
              <w14:schemeClr w14:val="tx1">
                <w14:lumMod w14:val="95000"/>
                <w14:lumOff w14:val="5000"/>
              </w14:schemeClr>
            </w14:solidFill>
          </w14:textFill>
        </w:rPr>
        <w:t>本次评价仅对该部分废气进行定性分析</w:t>
      </w:r>
      <w:r>
        <w:rPr>
          <w:rFonts w:hint="eastAsia" w:cs="Times New Roman"/>
          <w:bCs/>
          <w:color w:val="0D0D0D" w:themeColor="text1" w:themeTint="F2"/>
          <w:szCs w:val="24"/>
          <w14:textFill>
            <w14:solidFill>
              <w14:schemeClr w14:val="tx1">
                <w14:lumMod w14:val="95000"/>
                <w14:lumOff w14:val="5000"/>
              </w14:schemeClr>
            </w14:solidFill>
          </w14:textFill>
        </w:rPr>
        <w:t>。</w:t>
      </w:r>
    </w:p>
    <w:p w14:paraId="67BF8CCE">
      <w:pPr>
        <w:ind w:firstLine="482" w:firstLineChars="200"/>
        <w:rPr>
          <w:b/>
          <w:bCs/>
          <w:color w:val="0D0D0D" w:themeColor="text1" w:themeTint="F2"/>
          <w:u w:val="single"/>
          <w14:textFill>
            <w14:solidFill>
              <w14:schemeClr w14:val="tx1">
                <w14:lumMod w14:val="95000"/>
                <w14:lumOff w14:val="5000"/>
              </w14:schemeClr>
            </w14:solidFill>
          </w14:textFill>
        </w:rPr>
      </w:pPr>
      <w:r>
        <w:rPr>
          <w:rFonts w:hint="eastAsia"/>
          <w:b/>
          <w:bCs/>
          <w:color w:val="0D0D0D" w:themeColor="text1" w:themeTint="F2"/>
          <w:u w:val="single"/>
          <w14:textFill>
            <w14:solidFill>
              <w14:schemeClr w14:val="tx1">
                <w14:lumMod w14:val="95000"/>
                <w14:lumOff w14:val="5000"/>
              </w14:schemeClr>
            </w14:solidFill>
          </w14:textFill>
        </w:rPr>
        <w:t>（8）污水处理站废气</w:t>
      </w:r>
    </w:p>
    <w:p w14:paraId="2B2F04EC">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项目污水处理站污水处理过程中会产生恶臭污染物、挥发性有机废气（以非甲烷总烃为表征）和沼气，恶臭气体主要包括氨、三甲胺、硫化氢、甲硫醇、甲硫醚、二甲二硫、二硫化碳等。</w:t>
      </w:r>
    </w:p>
    <w:p w14:paraId="1D873609">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①恶臭污染物</w:t>
      </w:r>
    </w:p>
    <w:p w14:paraId="42B46BF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根据美国EPA对城市污水处理厂恶臭污染物产生情况的研究，每处理1g的BOD</w:t>
      </w:r>
      <w:r>
        <w:rPr>
          <w:rFonts w:hint="eastAsia"/>
          <w:color w:val="0D0D0D" w:themeColor="text1" w:themeTint="F2"/>
          <w:u w:val="single"/>
          <w:vertAlign w:val="subscript"/>
          <w14:textFill>
            <w14:solidFill>
              <w14:schemeClr w14:val="tx1">
                <w14:lumMod w14:val="95000"/>
                <w14:lumOff w14:val="5000"/>
              </w14:schemeClr>
            </w14:solidFill>
          </w14:textFill>
        </w:rPr>
        <w:t>5</w:t>
      </w:r>
      <w:r>
        <w:rPr>
          <w:rFonts w:hint="eastAsia"/>
          <w:color w:val="0D0D0D" w:themeColor="text1" w:themeTint="F2"/>
          <w:u w:val="single"/>
          <w14:textFill>
            <w14:solidFill>
              <w14:schemeClr w14:val="tx1">
                <w14:lumMod w14:val="95000"/>
                <w14:lumOff w14:val="5000"/>
              </w14:schemeClr>
            </w14:solidFill>
          </w14:textFill>
        </w:rPr>
        <w:t>，可产生0.0031g的氨和0.00012g的硫化氢。根据下文分析，项目综合废水BOD</w:t>
      </w:r>
      <w:r>
        <w:rPr>
          <w:rFonts w:hint="eastAsia"/>
          <w:color w:val="0D0D0D" w:themeColor="text1" w:themeTint="F2"/>
          <w:u w:val="single"/>
          <w:vertAlign w:val="subscript"/>
          <w14:textFill>
            <w14:solidFill>
              <w14:schemeClr w14:val="tx1">
                <w14:lumMod w14:val="95000"/>
                <w14:lumOff w14:val="5000"/>
              </w14:schemeClr>
            </w14:solidFill>
          </w14:textFill>
        </w:rPr>
        <w:t>5</w:t>
      </w:r>
      <w:r>
        <w:rPr>
          <w:rFonts w:hint="eastAsia"/>
          <w:color w:val="0D0D0D" w:themeColor="text1" w:themeTint="F2"/>
          <w:u w:val="single"/>
          <w14:textFill>
            <w14:solidFill>
              <w14:schemeClr w14:val="tx1">
                <w14:lumMod w14:val="95000"/>
                <w14:lumOff w14:val="5000"/>
              </w14:schemeClr>
            </w14:solidFill>
          </w14:textFill>
        </w:rPr>
        <w:t>削减量为205.22t/a，则</w:t>
      </w:r>
      <w:r>
        <w:rPr>
          <w:color w:val="0D0D0D" w:themeColor="text1" w:themeTint="F2"/>
          <w:u w:val="single"/>
          <w14:textFill>
            <w14:solidFill>
              <w14:schemeClr w14:val="tx1">
                <w14:lumMod w14:val="95000"/>
                <w14:lumOff w14:val="5000"/>
              </w14:schemeClr>
            </w14:solidFill>
          </w14:textFill>
        </w:rPr>
        <w:t>NH</w:t>
      </w:r>
      <w:r>
        <w:rPr>
          <w:color w:val="0D0D0D" w:themeColor="text1" w:themeTint="F2"/>
          <w:u w:val="single"/>
          <w:vertAlign w:val="sub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产生量为0.636t/a，</w:t>
      </w:r>
      <w:r>
        <w:rPr>
          <w:color w:val="0D0D0D" w:themeColor="text1" w:themeTint="F2"/>
          <w:u w:val="single"/>
          <w14:textFill>
            <w14:solidFill>
              <w14:schemeClr w14:val="tx1">
                <w14:lumMod w14:val="95000"/>
                <w14:lumOff w14:val="5000"/>
              </w14:schemeClr>
            </w14:solidFill>
          </w14:textFill>
        </w:rPr>
        <w:t>H</w:t>
      </w:r>
      <w:r>
        <w:rPr>
          <w:color w:val="0D0D0D" w:themeColor="text1" w:themeTint="F2"/>
          <w:u w:val="single"/>
          <w:vertAlign w:val="subscript"/>
          <w14:textFill>
            <w14:solidFill>
              <w14:schemeClr w14:val="tx1">
                <w14:lumMod w14:val="95000"/>
                <w14:lumOff w14:val="5000"/>
              </w14:schemeClr>
            </w14:solidFill>
          </w14:textFill>
        </w:rPr>
        <w:t>2</w:t>
      </w:r>
      <w:r>
        <w:rPr>
          <w:color w:val="0D0D0D" w:themeColor="text1" w:themeTint="F2"/>
          <w:u w:val="single"/>
          <w14:textFill>
            <w14:solidFill>
              <w14:schemeClr w14:val="tx1">
                <w14:lumMod w14:val="95000"/>
                <w14:lumOff w14:val="5000"/>
              </w14:schemeClr>
            </w14:solidFill>
          </w14:textFill>
        </w:rPr>
        <w:t>S</w:t>
      </w:r>
      <w:r>
        <w:rPr>
          <w:rFonts w:hint="eastAsia"/>
          <w:color w:val="0D0D0D" w:themeColor="text1" w:themeTint="F2"/>
          <w:u w:val="single"/>
          <w14:textFill>
            <w14:solidFill>
              <w14:schemeClr w14:val="tx1">
                <w14:lumMod w14:val="95000"/>
                <w14:lumOff w14:val="5000"/>
              </w14:schemeClr>
            </w14:solidFill>
          </w14:textFill>
        </w:rPr>
        <w:t>产生量为0.025t/a。</w:t>
      </w:r>
    </w:p>
    <w:p w14:paraId="5526FC08">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拟对污水处理站各处理单元采取加盖等密闭处理，并在各处理工序设置废气收集装置，恶臭气体通过管道收集至“二级碱液喷淋+除雾器”预处理后，排入RCO催化燃烧装置处理，最后通过30m高排气筒（DA001）排放，设计风量为5000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h。废气收集系统包括废气收集管道、风阀、管道附件（包括风口、管道支吊架、柔性短管、三通、变径、法兰及连接件等）等。废气采用引风机输送，引风机、输送管道应耐腐蚀、防静电，风机与管道系统连接，设置风机及除臭装置，用于在管道内产生微负压。</w:t>
      </w:r>
    </w:p>
    <w:p w14:paraId="1A4213A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根据《主要污染物总量减排核算技术指南（2022年修订）》（环办综合函〔2022〕350号）表2-3，“密闭管道”废气收集方式，集气效率为95%。</w:t>
      </w:r>
      <w:r>
        <w:rPr>
          <w:rFonts w:hint="eastAsia" w:cs="Times New Roman"/>
          <w:bCs/>
          <w:color w:val="0D0D0D" w:themeColor="text1" w:themeTint="F2"/>
          <w:szCs w:val="24"/>
          <w:u w:val="single"/>
          <w14:textFill>
            <w14:solidFill>
              <w14:schemeClr w14:val="tx1">
                <w14:lumMod w14:val="95000"/>
                <w14:lumOff w14:val="5000"/>
              </w14:schemeClr>
            </w14:solidFill>
          </w14:textFill>
        </w:rPr>
        <w:t>项目废气收集方式为密闭管道收集，废气收集效率按95%计，少量废气因未能收集而外溢</w:t>
      </w:r>
      <w:r>
        <w:rPr>
          <w:rFonts w:hint="eastAsia"/>
          <w:color w:val="0D0D0D" w:themeColor="text1" w:themeTint="F2"/>
          <w:u w:val="single"/>
          <w14:textFill>
            <w14:solidFill>
              <w14:schemeClr w14:val="tx1">
                <w14:lumMod w14:val="95000"/>
                <w14:lumOff w14:val="5000"/>
              </w14:schemeClr>
            </w14:solidFill>
          </w14:textFill>
        </w:rPr>
        <w:t>。</w:t>
      </w:r>
    </w:p>
    <w:p w14:paraId="50B15437">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碱液喷淋在污水处理废气治理中的应用与影响》（张国臣等，2018，环境保护科学）的资料，随着喷淋液pH值的升高，预处理过程对硫化氢的去除率逐渐升高，至pH9.5时，去除率达到66%，RCO催化燃烧装置对恶臭污染物去除率较低，本次评价二级碱液喷淋+除雾器+RCO催化燃烧装置对恶臭污染物H</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S的去除率保守取60%，对NH</w:t>
      </w:r>
      <w:r>
        <w:rPr>
          <w:rFonts w:hint="eastAsia"/>
          <w:color w:val="0D0D0D" w:themeColor="text1" w:themeTint="F2"/>
          <w:u w:val="single"/>
          <w:vertAlign w:val="sub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的去除率保守取0。</w:t>
      </w:r>
    </w:p>
    <w:p w14:paraId="30F77098">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污水处理站恶臭污染物产排情况详见表3.3-9。</w:t>
      </w:r>
    </w:p>
    <w:p w14:paraId="1FA7569B">
      <w:pPr>
        <w:pStyle w:val="11"/>
      </w:pPr>
      <w:r>
        <w:rPr>
          <w:rFonts w:hint="eastAsia"/>
        </w:rPr>
        <w:t xml:space="preserve"> 污水处理站恶臭污染物产排情况</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948"/>
        <w:gridCol w:w="1185"/>
        <w:gridCol w:w="948"/>
        <w:gridCol w:w="819"/>
        <w:gridCol w:w="714"/>
        <w:gridCol w:w="948"/>
        <w:gridCol w:w="891"/>
        <w:gridCol w:w="949"/>
        <w:gridCol w:w="892"/>
      </w:tblGrid>
      <w:tr w14:paraId="2404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3" w:type="pct"/>
            <w:vMerge w:val="restart"/>
            <w:vAlign w:val="center"/>
          </w:tcPr>
          <w:p w14:paraId="71B2348C">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污染物</w:t>
            </w:r>
          </w:p>
        </w:tc>
        <w:tc>
          <w:tcPr>
            <w:tcW w:w="513" w:type="pct"/>
            <w:vMerge w:val="restart"/>
            <w:vAlign w:val="center"/>
          </w:tcPr>
          <w:p w14:paraId="5C96E08F">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产生量</w:t>
            </w:r>
          </w:p>
          <w:p w14:paraId="2331B7FA">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(t/a)</w:t>
            </w:r>
          </w:p>
        </w:tc>
        <w:tc>
          <w:tcPr>
            <w:tcW w:w="641" w:type="pct"/>
            <w:vMerge w:val="restart"/>
            <w:vAlign w:val="center"/>
          </w:tcPr>
          <w:p w14:paraId="456BA61F">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收集效率</w:t>
            </w:r>
          </w:p>
        </w:tc>
        <w:tc>
          <w:tcPr>
            <w:tcW w:w="956" w:type="pct"/>
            <w:gridSpan w:val="2"/>
            <w:vAlign w:val="center"/>
          </w:tcPr>
          <w:p w14:paraId="4DD0C4DC">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有组织产生</w:t>
            </w:r>
          </w:p>
        </w:tc>
        <w:tc>
          <w:tcPr>
            <w:tcW w:w="386" w:type="pct"/>
            <w:vMerge w:val="restart"/>
            <w:vAlign w:val="center"/>
          </w:tcPr>
          <w:p w14:paraId="5D1CFE57">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处理</w:t>
            </w:r>
          </w:p>
          <w:p w14:paraId="3C564851">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效率</w:t>
            </w:r>
          </w:p>
        </w:tc>
        <w:tc>
          <w:tcPr>
            <w:tcW w:w="995" w:type="pct"/>
            <w:gridSpan w:val="2"/>
            <w:vAlign w:val="center"/>
          </w:tcPr>
          <w:p w14:paraId="552116CD">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有组织排放</w:t>
            </w:r>
          </w:p>
        </w:tc>
        <w:tc>
          <w:tcPr>
            <w:tcW w:w="995" w:type="pct"/>
            <w:gridSpan w:val="2"/>
            <w:vAlign w:val="center"/>
          </w:tcPr>
          <w:p w14:paraId="7174AC55">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无组织排放</w:t>
            </w:r>
          </w:p>
        </w:tc>
      </w:tr>
      <w:tr w14:paraId="430E3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3" w:type="pct"/>
            <w:vMerge w:val="continue"/>
            <w:vAlign w:val="center"/>
          </w:tcPr>
          <w:p w14:paraId="4F739EC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513" w:type="pct"/>
            <w:vMerge w:val="continue"/>
            <w:vAlign w:val="center"/>
          </w:tcPr>
          <w:p w14:paraId="219FB900">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641" w:type="pct"/>
            <w:vMerge w:val="continue"/>
            <w:vAlign w:val="center"/>
          </w:tcPr>
          <w:p w14:paraId="0788F405">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513" w:type="pct"/>
            <w:vAlign w:val="center"/>
          </w:tcPr>
          <w:p w14:paraId="39155EF8">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产生量</w:t>
            </w:r>
          </w:p>
          <w:p w14:paraId="680D0E10">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(t/a)</w:t>
            </w:r>
          </w:p>
        </w:tc>
        <w:tc>
          <w:tcPr>
            <w:tcW w:w="443" w:type="pct"/>
            <w:vAlign w:val="center"/>
          </w:tcPr>
          <w:p w14:paraId="41EF5536">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产生</w:t>
            </w:r>
          </w:p>
          <w:p w14:paraId="15A4BF47">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速率</w:t>
            </w:r>
          </w:p>
          <w:p w14:paraId="6C4AC548">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kg/h</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p>
        </w:tc>
        <w:tc>
          <w:tcPr>
            <w:tcW w:w="386" w:type="pct"/>
            <w:vMerge w:val="continue"/>
            <w:vAlign w:val="center"/>
          </w:tcPr>
          <w:p w14:paraId="0B7F47B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513" w:type="pct"/>
            <w:vAlign w:val="center"/>
          </w:tcPr>
          <w:p w14:paraId="6EF6D6CE">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排放量</w:t>
            </w:r>
          </w:p>
          <w:p w14:paraId="37DC746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(t/a)</w:t>
            </w:r>
          </w:p>
        </w:tc>
        <w:tc>
          <w:tcPr>
            <w:tcW w:w="482" w:type="pct"/>
            <w:vAlign w:val="center"/>
          </w:tcPr>
          <w:p w14:paraId="3A0A392A">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排放</w:t>
            </w:r>
          </w:p>
          <w:p w14:paraId="353FCE69">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速率</w:t>
            </w:r>
          </w:p>
          <w:p w14:paraId="6BDE56ED">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kg/h</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p>
        </w:tc>
        <w:tc>
          <w:tcPr>
            <w:tcW w:w="513" w:type="pct"/>
            <w:vAlign w:val="center"/>
          </w:tcPr>
          <w:p w14:paraId="4BB9B88F">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排放量</w:t>
            </w:r>
          </w:p>
          <w:p w14:paraId="2EEA2688">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(t/a)</w:t>
            </w:r>
          </w:p>
        </w:tc>
        <w:tc>
          <w:tcPr>
            <w:tcW w:w="482" w:type="pct"/>
            <w:vAlign w:val="center"/>
          </w:tcPr>
          <w:p w14:paraId="67D50E6A">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排放</w:t>
            </w:r>
          </w:p>
          <w:p w14:paraId="7396DEA2">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速率</w:t>
            </w:r>
          </w:p>
          <w:p w14:paraId="7DE7DCCA">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kg/h</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p>
        </w:tc>
      </w:tr>
      <w:tr w14:paraId="740AC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3" w:type="pct"/>
            <w:vAlign w:val="center"/>
          </w:tcPr>
          <w:p w14:paraId="14B90069">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N</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H</w:t>
            </w:r>
            <w:r>
              <w:rPr>
                <w:rFonts w:cs="Times New Roman"/>
                <w:bCs/>
                <w:color w:val="0D0D0D" w:themeColor="text1" w:themeTint="F2"/>
                <w:kern w:val="0"/>
                <w:sz w:val="21"/>
                <w:szCs w:val="21"/>
                <w:u w:val="single"/>
                <w:vertAlign w:val="subscript"/>
                <w14:textFill>
                  <w14:solidFill>
                    <w14:schemeClr w14:val="tx1">
                      <w14:lumMod w14:val="95000"/>
                      <w14:lumOff w14:val="5000"/>
                    </w14:schemeClr>
                  </w14:solidFill>
                </w14:textFill>
              </w:rPr>
              <w:t>3</w:t>
            </w:r>
          </w:p>
        </w:tc>
        <w:tc>
          <w:tcPr>
            <w:tcW w:w="513" w:type="pct"/>
            <w:vAlign w:val="center"/>
          </w:tcPr>
          <w:p w14:paraId="18518487">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0.636</w:t>
            </w:r>
          </w:p>
        </w:tc>
        <w:tc>
          <w:tcPr>
            <w:tcW w:w="641" w:type="pct"/>
            <w:vAlign w:val="center"/>
          </w:tcPr>
          <w:p w14:paraId="0A55F45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95%</w:t>
            </w:r>
          </w:p>
        </w:tc>
        <w:tc>
          <w:tcPr>
            <w:tcW w:w="513" w:type="pct"/>
            <w:vAlign w:val="center"/>
          </w:tcPr>
          <w:p w14:paraId="7F348492">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0.604</w:t>
            </w:r>
          </w:p>
        </w:tc>
        <w:tc>
          <w:tcPr>
            <w:tcW w:w="443" w:type="pct"/>
            <w:vAlign w:val="center"/>
          </w:tcPr>
          <w:p w14:paraId="7B310A46">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0.0839</w:t>
            </w:r>
          </w:p>
        </w:tc>
        <w:tc>
          <w:tcPr>
            <w:tcW w:w="386" w:type="pct"/>
            <w:vAlign w:val="center"/>
          </w:tcPr>
          <w:p w14:paraId="23642075">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w:t>
            </w:r>
          </w:p>
        </w:tc>
        <w:tc>
          <w:tcPr>
            <w:tcW w:w="513" w:type="pct"/>
            <w:vAlign w:val="center"/>
          </w:tcPr>
          <w:p w14:paraId="6951B5C0">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0.604</w:t>
            </w:r>
          </w:p>
        </w:tc>
        <w:tc>
          <w:tcPr>
            <w:tcW w:w="482" w:type="pct"/>
            <w:vAlign w:val="center"/>
          </w:tcPr>
          <w:p w14:paraId="0BB6499C">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0.0839</w:t>
            </w:r>
          </w:p>
        </w:tc>
        <w:tc>
          <w:tcPr>
            <w:tcW w:w="513" w:type="pct"/>
            <w:vAlign w:val="center"/>
          </w:tcPr>
          <w:p w14:paraId="6B32AFC6">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0.032</w:t>
            </w:r>
          </w:p>
        </w:tc>
        <w:tc>
          <w:tcPr>
            <w:tcW w:w="482" w:type="pct"/>
            <w:vAlign w:val="center"/>
          </w:tcPr>
          <w:p w14:paraId="128E316C">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0.0044</w:t>
            </w:r>
          </w:p>
        </w:tc>
      </w:tr>
      <w:tr w14:paraId="7650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3" w:type="pct"/>
            <w:vAlign w:val="center"/>
          </w:tcPr>
          <w:p w14:paraId="5C288694">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H</w:t>
            </w:r>
            <w:r>
              <w:rPr>
                <w:rFonts w:cs="Times New Roman"/>
                <w:bCs/>
                <w:color w:val="0D0D0D" w:themeColor="text1" w:themeTint="F2"/>
                <w:kern w:val="0"/>
                <w:sz w:val="21"/>
                <w:szCs w:val="21"/>
                <w:u w:val="single"/>
                <w:vertAlign w:val="subscript"/>
                <w14:textFill>
                  <w14:solidFill>
                    <w14:schemeClr w14:val="tx1">
                      <w14:lumMod w14:val="95000"/>
                      <w14:lumOff w14:val="5000"/>
                    </w14:schemeClr>
                  </w14:solidFill>
                </w14:textFill>
              </w:rPr>
              <w:t>2</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S</w:t>
            </w:r>
          </w:p>
        </w:tc>
        <w:tc>
          <w:tcPr>
            <w:tcW w:w="513" w:type="pct"/>
            <w:vAlign w:val="center"/>
          </w:tcPr>
          <w:p w14:paraId="19BFB24F">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0.025</w:t>
            </w:r>
          </w:p>
        </w:tc>
        <w:tc>
          <w:tcPr>
            <w:tcW w:w="641" w:type="pct"/>
            <w:vAlign w:val="center"/>
          </w:tcPr>
          <w:p w14:paraId="6A2852A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95%</w:t>
            </w:r>
          </w:p>
        </w:tc>
        <w:tc>
          <w:tcPr>
            <w:tcW w:w="513" w:type="pct"/>
            <w:vAlign w:val="center"/>
          </w:tcPr>
          <w:p w14:paraId="46C332AA">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0.024</w:t>
            </w:r>
          </w:p>
        </w:tc>
        <w:tc>
          <w:tcPr>
            <w:tcW w:w="443" w:type="pct"/>
            <w:vAlign w:val="center"/>
          </w:tcPr>
          <w:p w14:paraId="7E7016B4">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0.0033</w:t>
            </w:r>
          </w:p>
        </w:tc>
        <w:tc>
          <w:tcPr>
            <w:tcW w:w="386" w:type="pct"/>
            <w:vAlign w:val="center"/>
          </w:tcPr>
          <w:p w14:paraId="2D23EB02">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60%</w:t>
            </w:r>
          </w:p>
        </w:tc>
        <w:tc>
          <w:tcPr>
            <w:tcW w:w="513" w:type="pct"/>
            <w:vAlign w:val="center"/>
          </w:tcPr>
          <w:p w14:paraId="397B664C">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0.010</w:t>
            </w:r>
          </w:p>
        </w:tc>
        <w:tc>
          <w:tcPr>
            <w:tcW w:w="482" w:type="pct"/>
            <w:vAlign w:val="center"/>
          </w:tcPr>
          <w:p w14:paraId="29128D75">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0.0014</w:t>
            </w:r>
          </w:p>
        </w:tc>
        <w:tc>
          <w:tcPr>
            <w:tcW w:w="513" w:type="pct"/>
            <w:vAlign w:val="center"/>
          </w:tcPr>
          <w:p w14:paraId="47C99965">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0.001</w:t>
            </w:r>
          </w:p>
        </w:tc>
        <w:tc>
          <w:tcPr>
            <w:tcW w:w="482" w:type="pct"/>
            <w:vAlign w:val="center"/>
          </w:tcPr>
          <w:p w14:paraId="1C0E9401">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0.0001</w:t>
            </w:r>
          </w:p>
        </w:tc>
      </w:tr>
    </w:tbl>
    <w:p w14:paraId="21DCBFB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②沼气</w:t>
      </w:r>
    </w:p>
    <w:p w14:paraId="3A845C8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根据《升流式厌氧污泥床反应器污水处理工程技术规范》（HJ2013-2012），沼气产生量可按下列公式计算：</w:t>
      </w:r>
    </w:p>
    <w:p w14:paraId="3B542461">
      <w:pPr>
        <w:ind w:firstLine="480" w:firstLineChars="200"/>
        <w:rPr>
          <w:color w:val="0D0D0D" w:themeColor="text1" w:themeTint="F2"/>
          <w14:textFill>
            <w14:solidFill>
              <w14:schemeClr w14:val="tx1">
                <w14:lumMod w14:val="95000"/>
                <w14:lumOff w14:val="5000"/>
              </w14:schemeClr>
            </w14:solidFill>
          </w14:textFill>
        </w:rPr>
      </w:pPr>
      <m:oMathPara>
        <m:oMath>
          <m:sSub>
            <m:sSubPr>
              <m:ctrlPr>
                <w:rPr>
                  <w:rFonts w:ascii="Cambria Math" w:hAnsi="Cambria Math"/>
                  <w:i/>
                  <w:color w:val="0D0D0D" w:themeColor="text1" w:themeTint="F2"/>
                  <w14:textFill>
                    <w14:solidFill>
                      <w14:schemeClr w14:val="tx1">
                        <w14:lumMod w14:val="95000"/>
                        <w14:lumOff w14:val="5000"/>
                      </w14:schemeClr>
                    </w14:solidFill>
                  </w14:textFill>
                </w:rPr>
              </m:ctrlPr>
            </m:sSubPr>
            <m:e>
              <m:r>
                <m:rPr/>
                <w:rPr>
                  <w:rFonts w:ascii="Cambria Math" w:hAnsi="Cambria Math"/>
                  <w:color w:val="0D0D0D" w:themeColor="text1" w:themeTint="F2"/>
                  <w14:textFill>
                    <w14:solidFill>
                      <w14:schemeClr w14:val="tx1">
                        <w14:lumMod w14:val="95000"/>
                        <w14:lumOff w14:val="5000"/>
                      </w14:schemeClr>
                    </w14:solidFill>
                  </w14:textFill>
                </w:rPr>
                <m:t>Q</m:t>
              </m:r>
              <m:ctrlPr>
                <w:rPr>
                  <w:rFonts w:ascii="Cambria Math" w:hAnsi="Cambria Math"/>
                  <w:i/>
                  <w:color w:val="0D0D0D" w:themeColor="text1" w:themeTint="F2"/>
                  <w14:textFill>
                    <w14:solidFill>
                      <w14:schemeClr w14:val="tx1">
                        <w14:lumMod w14:val="95000"/>
                        <w14:lumOff w14:val="5000"/>
                      </w14:schemeClr>
                    </w14:solidFill>
                  </w14:textFill>
                </w:rPr>
              </m:ctrlPr>
            </m:e>
            <m:sub>
              <m:r>
                <m:rPr/>
                <w:rPr>
                  <w:rFonts w:ascii="Cambria Math" w:hAnsi="Cambria Math"/>
                  <w:color w:val="0D0D0D" w:themeColor="text1" w:themeTint="F2"/>
                  <w14:textFill>
                    <w14:solidFill>
                      <w14:schemeClr w14:val="tx1">
                        <w14:lumMod w14:val="95000"/>
                        <w14:lumOff w14:val="5000"/>
                      </w14:schemeClr>
                    </w14:solidFill>
                  </w14:textFill>
                </w:rPr>
                <m:t>a</m:t>
              </m:r>
              <m:ctrlPr>
                <w:rPr>
                  <w:rFonts w:ascii="Cambria Math" w:hAnsi="Cambria Math"/>
                  <w:i/>
                  <w:color w:val="0D0D0D" w:themeColor="text1" w:themeTint="F2"/>
                  <w14:textFill>
                    <w14:solidFill>
                      <w14:schemeClr w14:val="tx1">
                        <w14:lumMod w14:val="95000"/>
                        <w14:lumOff w14:val="5000"/>
                      </w14:schemeClr>
                    </w14:solidFill>
                  </w14:textFill>
                </w:rPr>
              </m:ctrlPr>
            </m:sub>
          </m:sSub>
          <m:r>
            <m:rPr/>
            <w:rPr>
              <w:rFonts w:ascii="Cambria Math" w:hAnsi="Cambria Math"/>
              <w:color w:val="0D0D0D" w:themeColor="text1" w:themeTint="F2"/>
              <w14:textFill>
                <w14:solidFill>
                  <w14:schemeClr w14:val="tx1">
                    <w14:lumMod w14:val="95000"/>
                    <w14:lumOff w14:val="5000"/>
                  </w14:schemeClr>
                </w14:solidFill>
              </w14:textFill>
            </w:rPr>
            <m:t>=</m:t>
          </m:r>
          <m:f>
            <m:fPr>
              <m:ctrlPr>
                <w:rPr>
                  <w:rFonts w:ascii="Cambria Math" w:hAnsi="Cambria Math"/>
                  <w:i/>
                  <w:color w:val="0D0D0D" w:themeColor="text1" w:themeTint="F2"/>
                  <w14:textFill>
                    <w14:solidFill>
                      <w14:schemeClr w14:val="tx1">
                        <w14:lumMod w14:val="95000"/>
                        <w14:lumOff w14:val="5000"/>
                      </w14:schemeClr>
                    </w14:solidFill>
                  </w14:textFill>
                </w:rPr>
              </m:ctrlPr>
            </m:fPr>
            <m:num>
              <m:r>
                <m:rPr/>
                <w:rPr>
                  <w:rFonts w:ascii="Cambria Math" w:hAnsi="Cambria Math"/>
                  <w:color w:val="0D0D0D" w:themeColor="text1" w:themeTint="F2"/>
                  <w14:textFill>
                    <w14:solidFill>
                      <w14:schemeClr w14:val="tx1">
                        <w14:lumMod w14:val="95000"/>
                        <w14:lumOff w14:val="5000"/>
                      </w14:schemeClr>
                    </w14:solidFill>
                  </w14:textFill>
                </w:rPr>
                <m:t>Q×(</m:t>
              </m:r>
              <m:sSub>
                <m:sSubPr>
                  <m:ctrlPr>
                    <w:rPr>
                      <w:rFonts w:ascii="Cambria Math" w:hAnsi="Cambria Math"/>
                      <w:i/>
                      <w:color w:val="0D0D0D" w:themeColor="text1" w:themeTint="F2"/>
                      <w14:textFill>
                        <w14:solidFill>
                          <w14:schemeClr w14:val="tx1">
                            <w14:lumMod w14:val="95000"/>
                            <w14:lumOff w14:val="5000"/>
                          </w14:schemeClr>
                        </w14:solidFill>
                      </w14:textFill>
                    </w:rPr>
                  </m:ctrlPr>
                </m:sSubPr>
                <m:e>
                  <m:r>
                    <m:rPr/>
                    <w:rPr>
                      <w:rFonts w:ascii="Cambria Math" w:hAnsi="Cambria Math"/>
                      <w:color w:val="0D0D0D" w:themeColor="text1" w:themeTint="F2"/>
                      <w14:textFill>
                        <w14:solidFill>
                          <w14:schemeClr w14:val="tx1">
                            <w14:lumMod w14:val="95000"/>
                            <w14:lumOff w14:val="5000"/>
                          </w14:schemeClr>
                        </w14:solidFill>
                      </w14:textFill>
                    </w:rPr>
                    <m:t>S</m:t>
                  </m:r>
                  <m:ctrlPr>
                    <w:rPr>
                      <w:rFonts w:ascii="Cambria Math" w:hAnsi="Cambria Math"/>
                      <w:i/>
                      <w:color w:val="0D0D0D" w:themeColor="text1" w:themeTint="F2"/>
                      <w14:textFill>
                        <w14:solidFill>
                          <w14:schemeClr w14:val="tx1">
                            <w14:lumMod w14:val="95000"/>
                            <w14:lumOff w14:val="5000"/>
                          </w14:schemeClr>
                        </w14:solidFill>
                      </w14:textFill>
                    </w:rPr>
                  </m:ctrlPr>
                </m:e>
                <m:sub>
                  <m:r>
                    <m:rPr/>
                    <w:rPr>
                      <w:rFonts w:ascii="Cambria Math" w:hAnsi="Cambria Math"/>
                      <w:color w:val="0D0D0D" w:themeColor="text1" w:themeTint="F2"/>
                      <w14:textFill>
                        <w14:solidFill>
                          <w14:schemeClr w14:val="tx1">
                            <w14:lumMod w14:val="95000"/>
                            <w14:lumOff w14:val="5000"/>
                          </w14:schemeClr>
                        </w14:solidFill>
                      </w14:textFill>
                    </w:rPr>
                    <m:t>0</m:t>
                  </m:r>
                  <m:ctrlPr>
                    <w:rPr>
                      <w:rFonts w:ascii="Cambria Math" w:hAnsi="Cambria Math"/>
                      <w:i/>
                      <w:color w:val="0D0D0D" w:themeColor="text1" w:themeTint="F2"/>
                      <w14:textFill>
                        <w14:solidFill>
                          <w14:schemeClr w14:val="tx1">
                            <w14:lumMod w14:val="95000"/>
                            <w14:lumOff w14:val="5000"/>
                          </w14:schemeClr>
                        </w14:solidFill>
                      </w14:textFill>
                    </w:rPr>
                  </m:ctrlPr>
                </m:sub>
              </m:sSub>
              <m:r>
                <m:rPr/>
                <w:rPr>
                  <w:rFonts w:ascii="Cambria Math" w:hAnsi="Cambria Math"/>
                  <w:color w:val="0D0D0D" w:themeColor="text1" w:themeTint="F2"/>
                  <w14:textFill>
                    <w14:solidFill>
                      <w14:schemeClr w14:val="tx1">
                        <w14:lumMod w14:val="95000"/>
                        <w14:lumOff w14:val="5000"/>
                      </w14:schemeClr>
                    </w14:solidFill>
                  </w14:textFill>
                </w:rPr>
                <m:t>−</m:t>
              </m:r>
              <m:sSub>
                <m:sSubPr>
                  <m:ctrlPr>
                    <w:rPr>
                      <w:rFonts w:ascii="Cambria Math" w:hAnsi="Cambria Math"/>
                      <w:i/>
                      <w:color w:val="0D0D0D" w:themeColor="text1" w:themeTint="F2"/>
                      <w14:textFill>
                        <w14:solidFill>
                          <w14:schemeClr w14:val="tx1">
                            <w14:lumMod w14:val="95000"/>
                            <w14:lumOff w14:val="5000"/>
                          </w14:schemeClr>
                        </w14:solidFill>
                      </w14:textFill>
                    </w:rPr>
                  </m:ctrlPr>
                </m:sSubPr>
                <m:e>
                  <m:r>
                    <m:rPr/>
                    <w:rPr>
                      <w:rFonts w:ascii="Cambria Math" w:hAnsi="Cambria Math"/>
                      <w:color w:val="0D0D0D" w:themeColor="text1" w:themeTint="F2"/>
                      <w14:textFill>
                        <w14:solidFill>
                          <w14:schemeClr w14:val="tx1">
                            <w14:lumMod w14:val="95000"/>
                            <w14:lumOff w14:val="5000"/>
                          </w14:schemeClr>
                        </w14:solidFill>
                      </w14:textFill>
                    </w:rPr>
                    <m:t>S</m:t>
                  </m:r>
                  <m:ctrlPr>
                    <w:rPr>
                      <w:rFonts w:ascii="Cambria Math" w:hAnsi="Cambria Math"/>
                      <w:i/>
                      <w:color w:val="0D0D0D" w:themeColor="text1" w:themeTint="F2"/>
                      <w14:textFill>
                        <w14:solidFill>
                          <w14:schemeClr w14:val="tx1">
                            <w14:lumMod w14:val="95000"/>
                            <w14:lumOff w14:val="5000"/>
                          </w14:schemeClr>
                        </w14:solidFill>
                      </w14:textFill>
                    </w:rPr>
                  </m:ctrlPr>
                </m:e>
                <m:sub>
                  <m:r>
                    <m:rPr/>
                    <w:rPr>
                      <w:rFonts w:ascii="Cambria Math" w:hAnsi="Cambria Math"/>
                      <w:color w:val="0D0D0D" w:themeColor="text1" w:themeTint="F2"/>
                      <w14:textFill>
                        <w14:solidFill>
                          <w14:schemeClr w14:val="tx1">
                            <w14:lumMod w14:val="95000"/>
                            <w14:lumOff w14:val="5000"/>
                          </w14:schemeClr>
                        </w14:solidFill>
                      </w14:textFill>
                    </w:rPr>
                    <m:t>e</m:t>
                  </m:r>
                  <m:ctrlPr>
                    <w:rPr>
                      <w:rFonts w:ascii="Cambria Math" w:hAnsi="Cambria Math"/>
                      <w:i/>
                      <w:color w:val="0D0D0D" w:themeColor="text1" w:themeTint="F2"/>
                      <w14:textFill>
                        <w14:solidFill>
                          <w14:schemeClr w14:val="tx1">
                            <w14:lumMod w14:val="95000"/>
                            <w14:lumOff w14:val="5000"/>
                          </w14:schemeClr>
                        </w14:solidFill>
                      </w14:textFill>
                    </w:rPr>
                  </m:ctrlPr>
                </m:sub>
              </m:sSub>
              <m:r>
                <m:rPr/>
                <w:rPr>
                  <w:rFonts w:ascii="Cambria Math" w:hAnsi="Cambria Math"/>
                  <w:color w:val="0D0D0D" w:themeColor="text1" w:themeTint="F2"/>
                  <w14:textFill>
                    <w14:solidFill>
                      <w14:schemeClr w14:val="tx1">
                        <w14:lumMod w14:val="95000"/>
                        <w14:lumOff w14:val="5000"/>
                      </w14:schemeClr>
                    </w14:solidFill>
                  </w14:textFill>
                </w:rPr>
                <m:t>)×</m:t>
              </m:r>
              <m:r>
                <m:rPr>
                  <m:sty m:val="p"/>
                </m:rPr>
                <w:rPr>
                  <w:rFonts w:hint="eastAsia" w:ascii="Cambria Math" w:hAnsi="Cambria Math"/>
                  <w:color w:val="0D0D0D" w:themeColor="text1" w:themeTint="F2"/>
                  <w14:textFill>
                    <w14:solidFill>
                      <w14:schemeClr w14:val="tx1">
                        <w14:lumMod w14:val="95000"/>
                        <w14:lumOff w14:val="5000"/>
                      </w14:schemeClr>
                    </w14:solidFill>
                  </w14:textFill>
                </w:rPr>
                <m:t>η</m:t>
              </m:r>
              <m:ctrlPr>
                <w:rPr>
                  <w:rFonts w:ascii="Cambria Math" w:hAnsi="Cambria Math"/>
                  <w:i/>
                  <w:color w:val="0D0D0D" w:themeColor="text1" w:themeTint="F2"/>
                  <w14:textFill>
                    <w14:solidFill>
                      <w14:schemeClr w14:val="tx1">
                        <w14:lumMod w14:val="95000"/>
                        <w14:lumOff w14:val="5000"/>
                      </w14:schemeClr>
                    </w14:solidFill>
                  </w14:textFill>
                </w:rPr>
              </m:ctrlPr>
            </m:num>
            <m:den>
              <m:r>
                <m:rPr/>
                <w:rPr>
                  <w:rFonts w:ascii="Cambria Math" w:hAnsi="Cambria Math"/>
                  <w:color w:val="0D0D0D" w:themeColor="text1" w:themeTint="F2"/>
                  <w14:textFill>
                    <w14:solidFill>
                      <w14:schemeClr w14:val="tx1">
                        <w14:lumMod w14:val="95000"/>
                        <w14:lumOff w14:val="5000"/>
                      </w14:schemeClr>
                    </w14:solidFill>
                  </w14:textFill>
                </w:rPr>
                <m:t>1000</m:t>
              </m:r>
              <m:ctrlPr>
                <w:rPr>
                  <w:rFonts w:ascii="Cambria Math" w:hAnsi="Cambria Math"/>
                  <w:i/>
                  <w:color w:val="0D0D0D" w:themeColor="text1" w:themeTint="F2"/>
                  <w14:textFill>
                    <w14:solidFill>
                      <w14:schemeClr w14:val="tx1">
                        <w14:lumMod w14:val="95000"/>
                        <w14:lumOff w14:val="5000"/>
                      </w14:schemeClr>
                    </w14:solidFill>
                  </w14:textFill>
                </w:rPr>
              </m:ctrlPr>
            </m:den>
          </m:f>
        </m:oMath>
      </m:oMathPara>
    </w:p>
    <w:p w14:paraId="23A74CA9">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式中：</w:t>
      </w:r>
    </w:p>
    <w:p w14:paraId="6434BA5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Qa——沼气产量，Nm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/d；</w:t>
      </w:r>
    </w:p>
    <w:p w14:paraId="55DCCE34">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Q——设计流量，m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/d，127.19；</w:t>
      </w:r>
    </w:p>
    <w:p w14:paraId="12DF88BF">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η——沼气产率，m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/kgCOD，0.45；</w:t>
      </w:r>
    </w:p>
    <w:p w14:paraId="248DB16C">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S</w:t>
      </w:r>
      <w:r>
        <w:rPr>
          <w:rFonts w:hint="eastAsia"/>
          <w:color w:val="0D0D0D" w:themeColor="text1" w:themeTint="F2"/>
          <w:u w:val="single"/>
          <w:vertAlign w:val="subscript"/>
          <w14:textFill>
            <w14:solidFill>
              <w14:schemeClr w14:val="tx1">
                <w14:lumMod w14:val="95000"/>
                <w14:lumOff w14:val="5000"/>
              </w14:schemeClr>
            </w14:solidFill>
          </w14:textFill>
        </w:rPr>
        <w:t>0</w:t>
      </w:r>
      <w:r>
        <w:rPr>
          <w:rFonts w:hint="eastAsia"/>
          <w:color w:val="0D0D0D" w:themeColor="text1" w:themeTint="F2"/>
          <w:u w:val="single"/>
          <w14:textFill>
            <w14:solidFill>
              <w14:schemeClr w14:val="tx1">
                <w14:lumMod w14:val="95000"/>
                <w14:lumOff w14:val="5000"/>
              </w14:schemeClr>
            </w14:solidFill>
          </w14:textFill>
        </w:rPr>
        <w:t>——进水有机物浓度，mgCOD/L，15200；</w:t>
      </w:r>
    </w:p>
    <w:p w14:paraId="734CAD8F">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Se——出水有机物浓度，mgCOD/L，173.28。</w:t>
      </w:r>
    </w:p>
    <w:p w14:paraId="652DC865">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根据上式计算，污水处理站沼气产生量为258014.76m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/a。</w:t>
      </w:r>
    </w:p>
    <w:p w14:paraId="6E2038D8">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参照《大中型沼气工程技术》（化学工业出版社，作者：赵立欣、董保成、田宜水等），沼气成分详见表3.3-10。</w:t>
      </w:r>
    </w:p>
    <w:p w14:paraId="44B4E084">
      <w:pPr>
        <w:pStyle w:val="11"/>
      </w:pPr>
      <w:r>
        <w:rPr>
          <w:rFonts w:hint="eastAsia"/>
        </w:rPr>
        <w:t xml:space="preserve"> 沼气成分一览表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1325"/>
        <w:gridCol w:w="1323"/>
        <w:gridCol w:w="850"/>
        <w:gridCol w:w="850"/>
        <w:gridCol w:w="1039"/>
        <w:gridCol w:w="1574"/>
      </w:tblGrid>
      <w:tr w14:paraId="370DF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4" w:type="pct"/>
            <w:vAlign w:val="center"/>
          </w:tcPr>
          <w:p w14:paraId="58581B54">
            <w:pPr>
              <w:pStyle w:val="4"/>
              <w:spacing w:after="0" w:line="240" w:lineRule="auto"/>
              <w:ind w:left="0" w:leftChars="0" w:firstLine="0" w:firstLineChars="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成分</w:t>
            </w:r>
          </w:p>
        </w:tc>
        <w:tc>
          <w:tcPr>
            <w:tcW w:w="717" w:type="pct"/>
            <w:vAlign w:val="center"/>
          </w:tcPr>
          <w:p w14:paraId="471D43A0">
            <w:pPr>
              <w:pStyle w:val="4"/>
              <w:spacing w:after="0" w:line="240" w:lineRule="auto"/>
              <w:ind w:left="0" w:leftChars="0" w:firstLine="0" w:firstLineChars="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CH</w:t>
            </w:r>
            <w:r>
              <w:rPr>
                <w:rFonts w:hint="eastAsia"/>
                <w:color w:val="0D0D0D" w:themeColor="text1" w:themeTint="F2"/>
                <w:sz w:val="21"/>
                <w:szCs w:val="21"/>
                <w:vertAlign w:val="subscript"/>
                <w14:textFill>
                  <w14:solidFill>
                    <w14:schemeClr w14:val="tx1">
                      <w14:lumMod w14:val="95000"/>
                      <w14:lumOff w14:val="5000"/>
                    </w14:schemeClr>
                  </w14:solidFill>
                </w14:textFill>
              </w:rPr>
              <w:t>4</w:t>
            </w:r>
          </w:p>
        </w:tc>
        <w:tc>
          <w:tcPr>
            <w:tcW w:w="716" w:type="pct"/>
            <w:vAlign w:val="center"/>
          </w:tcPr>
          <w:p w14:paraId="48B8305C">
            <w:pPr>
              <w:pStyle w:val="4"/>
              <w:spacing w:after="0" w:line="240" w:lineRule="auto"/>
              <w:ind w:left="0" w:leftChars="0" w:firstLine="0" w:firstLineChars="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CO</w:t>
            </w:r>
            <w:r>
              <w:rPr>
                <w:rFonts w:hint="eastAsia"/>
                <w:color w:val="0D0D0D" w:themeColor="text1" w:themeTint="F2"/>
                <w:sz w:val="21"/>
                <w:szCs w:val="21"/>
                <w:vertAlign w:val="subscript"/>
                <w14:textFill>
                  <w14:solidFill>
                    <w14:schemeClr w14:val="tx1">
                      <w14:lumMod w14:val="95000"/>
                      <w14:lumOff w14:val="5000"/>
                    </w14:schemeClr>
                  </w14:solidFill>
                </w14:textFill>
              </w:rPr>
              <w:t>2</w:t>
            </w:r>
          </w:p>
        </w:tc>
        <w:tc>
          <w:tcPr>
            <w:tcW w:w="460" w:type="pct"/>
            <w:vAlign w:val="center"/>
          </w:tcPr>
          <w:p w14:paraId="5D240E17">
            <w:pPr>
              <w:pStyle w:val="4"/>
              <w:spacing w:after="0" w:line="240" w:lineRule="auto"/>
              <w:ind w:left="0" w:leftChars="0" w:firstLine="0" w:firstLineChars="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N</w:t>
            </w:r>
            <w:r>
              <w:rPr>
                <w:rFonts w:hint="eastAsia"/>
                <w:color w:val="0D0D0D" w:themeColor="text1" w:themeTint="F2"/>
                <w:sz w:val="21"/>
                <w:szCs w:val="21"/>
                <w:vertAlign w:val="subscript"/>
                <w14:textFill>
                  <w14:solidFill>
                    <w14:schemeClr w14:val="tx1">
                      <w14:lumMod w14:val="95000"/>
                      <w14:lumOff w14:val="5000"/>
                    </w14:schemeClr>
                  </w14:solidFill>
                </w14:textFill>
              </w:rPr>
              <w:t>2</w:t>
            </w:r>
          </w:p>
        </w:tc>
        <w:tc>
          <w:tcPr>
            <w:tcW w:w="460" w:type="pct"/>
            <w:vAlign w:val="center"/>
          </w:tcPr>
          <w:p w14:paraId="4B3D6BEF">
            <w:pPr>
              <w:pStyle w:val="4"/>
              <w:spacing w:after="0" w:line="240" w:lineRule="auto"/>
              <w:ind w:left="0" w:leftChars="0" w:firstLine="0" w:firstLineChars="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H</w:t>
            </w:r>
            <w:r>
              <w:rPr>
                <w:rFonts w:hint="eastAsia"/>
                <w:color w:val="0D0D0D" w:themeColor="text1" w:themeTint="F2"/>
                <w:sz w:val="21"/>
                <w:szCs w:val="21"/>
                <w:vertAlign w:val="subscript"/>
                <w14:textFill>
                  <w14:solidFill>
                    <w14:schemeClr w14:val="tx1">
                      <w14:lumMod w14:val="95000"/>
                      <w14:lumOff w14:val="5000"/>
                    </w14:schemeClr>
                  </w14:solidFill>
                </w14:textFill>
              </w:rPr>
              <w:t>2</w:t>
            </w:r>
          </w:p>
        </w:tc>
        <w:tc>
          <w:tcPr>
            <w:tcW w:w="562" w:type="pct"/>
            <w:vAlign w:val="center"/>
          </w:tcPr>
          <w:p w14:paraId="0E629907">
            <w:pPr>
              <w:pStyle w:val="4"/>
              <w:spacing w:after="0" w:line="240" w:lineRule="auto"/>
              <w:ind w:left="0" w:leftChars="0" w:firstLine="0" w:firstLineChars="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O</w:t>
            </w:r>
            <w:r>
              <w:rPr>
                <w:rFonts w:hint="eastAsia"/>
                <w:color w:val="0D0D0D" w:themeColor="text1" w:themeTint="F2"/>
                <w:sz w:val="21"/>
                <w:szCs w:val="21"/>
                <w:vertAlign w:val="subscript"/>
                <w14:textFill>
                  <w14:solidFill>
                    <w14:schemeClr w14:val="tx1">
                      <w14:lumMod w14:val="95000"/>
                      <w14:lumOff w14:val="5000"/>
                    </w14:schemeClr>
                  </w14:solidFill>
                </w14:textFill>
              </w:rPr>
              <w:t>2</w:t>
            </w:r>
          </w:p>
        </w:tc>
        <w:tc>
          <w:tcPr>
            <w:tcW w:w="852" w:type="pct"/>
            <w:vAlign w:val="center"/>
          </w:tcPr>
          <w:p w14:paraId="779555EA">
            <w:pPr>
              <w:pStyle w:val="4"/>
              <w:spacing w:after="0" w:line="240" w:lineRule="auto"/>
              <w:ind w:left="0" w:leftChars="0" w:firstLine="0" w:firstLineChars="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H</w:t>
            </w:r>
            <w:r>
              <w:rPr>
                <w:rFonts w:hint="eastAsia"/>
                <w:color w:val="0D0D0D" w:themeColor="text1" w:themeTint="F2"/>
                <w:sz w:val="21"/>
                <w:szCs w:val="21"/>
                <w:vertAlign w:val="subscript"/>
                <w14:textFill>
                  <w14:solidFill>
                    <w14:schemeClr w14:val="tx1">
                      <w14:lumMod w14:val="95000"/>
                      <w14:lumOff w14:val="5000"/>
                    </w14:schemeClr>
                  </w14:solidFill>
                </w14:textFill>
              </w:rPr>
              <w:t>2</w:t>
            </w:r>
            <w:r>
              <w:rPr>
                <w:rFonts w:hint="eastAsia"/>
                <w:color w:val="0D0D0D" w:themeColor="text1" w:themeTint="F2"/>
                <w:sz w:val="21"/>
                <w:szCs w:val="21"/>
                <w14:textFill>
                  <w14:solidFill>
                    <w14:schemeClr w14:val="tx1">
                      <w14:lumMod w14:val="95000"/>
                      <w14:lumOff w14:val="5000"/>
                    </w14:schemeClr>
                  </w14:solidFill>
                </w14:textFill>
              </w:rPr>
              <w:t>S</w:t>
            </w:r>
          </w:p>
        </w:tc>
      </w:tr>
      <w:tr w14:paraId="08E7B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4" w:type="pct"/>
            <w:vAlign w:val="center"/>
          </w:tcPr>
          <w:p w14:paraId="2CE0F5A4">
            <w:pPr>
              <w:pStyle w:val="4"/>
              <w:spacing w:after="0" w:line="240" w:lineRule="auto"/>
              <w:ind w:left="0" w:leftChars="0" w:firstLine="0" w:firstLineChars="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含量（体积分数）</w:t>
            </w:r>
          </w:p>
        </w:tc>
        <w:tc>
          <w:tcPr>
            <w:tcW w:w="717" w:type="pct"/>
            <w:vAlign w:val="center"/>
          </w:tcPr>
          <w:p w14:paraId="4D3C4EDF">
            <w:pPr>
              <w:pStyle w:val="4"/>
              <w:spacing w:after="0" w:line="240" w:lineRule="auto"/>
              <w:ind w:left="0" w:leftChars="0" w:firstLine="0" w:firstLineChars="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50%~80%</w:t>
            </w:r>
          </w:p>
        </w:tc>
        <w:tc>
          <w:tcPr>
            <w:tcW w:w="716" w:type="pct"/>
            <w:vAlign w:val="center"/>
          </w:tcPr>
          <w:p w14:paraId="1DAAA6FE">
            <w:pPr>
              <w:pStyle w:val="4"/>
              <w:spacing w:after="0" w:line="240" w:lineRule="auto"/>
              <w:ind w:left="0" w:leftChars="0" w:firstLine="0" w:firstLineChars="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20%~40%</w:t>
            </w:r>
          </w:p>
        </w:tc>
        <w:tc>
          <w:tcPr>
            <w:tcW w:w="460" w:type="pct"/>
            <w:vAlign w:val="center"/>
          </w:tcPr>
          <w:p w14:paraId="36D519EB">
            <w:pPr>
              <w:pStyle w:val="4"/>
              <w:spacing w:after="0" w:line="240" w:lineRule="auto"/>
              <w:ind w:left="0" w:leftChars="0" w:firstLine="0" w:firstLineChars="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w:t>
            </w:r>
          </w:p>
        </w:tc>
        <w:tc>
          <w:tcPr>
            <w:tcW w:w="460" w:type="pct"/>
            <w:vAlign w:val="center"/>
          </w:tcPr>
          <w:p w14:paraId="28501654">
            <w:pPr>
              <w:pStyle w:val="4"/>
              <w:spacing w:after="0" w:line="240" w:lineRule="auto"/>
              <w:ind w:left="0" w:leftChars="0" w:firstLine="0" w:firstLineChars="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w:t>
            </w:r>
          </w:p>
        </w:tc>
        <w:tc>
          <w:tcPr>
            <w:tcW w:w="562" w:type="pct"/>
            <w:vAlign w:val="center"/>
          </w:tcPr>
          <w:p w14:paraId="237552B5">
            <w:pPr>
              <w:pStyle w:val="4"/>
              <w:spacing w:after="0" w:line="240" w:lineRule="auto"/>
              <w:ind w:left="0" w:leftChars="0" w:firstLine="0" w:firstLineChars="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＜0.4%</w:t>
            </w:r>
          </w:p>
        </w:tc>
        <w:tc>
          <w:tcPr>
            <w:tcW w:w="852" w:type="pct"/>
            <w:vAlign w:val="center"/>
          </w:tcPr>
          <w:p w14:paraId="66F2BA73">
            <w:pPr>
              <w:pStyle w:val="4"/>
              <w:spacing w:after="0" w:line="240" w:lineRule="auto"/>
              <w:ind w:left="0" w:leftChars="0" w:firstLine="0" w:firstLineChars="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0.05%~0.1%</w:t>
            </w:r>
          </w:p>
        </w:tc>
      </w:tr>
    </w:tbl>
    <w:p w14:paraId="61D6E55A">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项目沼气硫化氢含量按体积含量的最大值0.1%进行核算，则硫化氢产生量为258.01m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/a，气体密度为1.363kg/m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则产生量为351.67kg/a。沼气脱硫净化后引至1＃导热油炉燃烧处理，项目采用干法脱硫，脱硫剂使用氧化铁，根据《常温氧化铁脱硫剂在沼气脱硫中的应用》（霍保根，田凤军，中国沼气，2006）对常温氧化铁脱硫效果的调查，“氧化铁脱硫剂为条状多孔结构固体，对硫化氢能进行快速的不可逆化学吸附，数秒内可将硫化氢脱除到1ppm以下，该过程氧化铁转化为硫化铁。常温氧化铁脱硫剂硫容可达30%～40%以上，脱硫效率均在99%以上”，本次评价脱硫效率按99%计，则硫化氢的排放量为3.52kg/a。</w:t>
      </w:r>
    </w:p>
    <w:p w14:paraId="7EF24E1C">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沼气的主要成分为甲烷，故沼气燃烧污染物排放情况按甲烷燃烧情况分析，甲烷燃烧产生的污染物可类比天然气（主要成分为甲烷）燃烧情形。参照《排污许可证申请与核发技术规范  锅炉》（HJ953-2018）表F3中的燃气工业锅炉的废气产排污系数，二氧化硫产污系数为0.02Skg/万m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-燃料，颗粒物产污系数为2.86kg/万m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-燃料，氮氧化物产污系数为18.71kg/万m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-燃料。参照《天然气》（GB17820-2018），本次评价沼气硫含量按100</w:t>
      </w:r>
      <w:r>
        <w:rPr>
          <w:color w:val="0D0D0D" w:themeColor="text1" w:themeTint="F2"/>
          <w:u w:val="single"/>
          <w14:textFill>
            <w14:solidFill>
              <w14:schemeClr w14:val="tx1">
                <w14:lumMod w14:val="95000"/>
                <w14:lumOff w14:val="5000"/>
              </w14:schemeClr>
            </w14:solidFill>
          </w14:textFill>
        </w:rPr>
        <w:t>mg/m</w:t>
      </w:r>
      <w:r>
        <w:rPr>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计，项目沼气燃烧量约为25.80万m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/a，则颗粒物产生量为73.79kg/a，二氧化硫产生量为51.6kg/a，氮氧化物产生量为482.72kg/a。</w:t>
      </w:r>
    </w:p>
    <w:p w14:paraId="233F0AB9">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③非甲烷总烃</w:t>
      </w:r>
    </w:p>
    <w:p w14:paraId="09FB9E05">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参照《污染源源强核算技术指南  石油炼制工业》（HJ982-2018），废水中的非甲烷总烃在废水收集、储存中从水中挥发出来，生物处理设施非甲烷总烃产污系数为0.005kg/m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/水。项目污水处理站废水处理量为</w:t>
      </w:r>
      <w:r>
        <w:rPr>
          <w:color w:val="0D0D0D" w:themeColor="text1" w:themeTint="F2"/>
          <w:u w:val="single"/>
          <w14:textFill>
            <w14:solidFill>
              <w14:schemeClr w14:val="tx1">
                <w14:lumMod w14:val="95000"/>
                <w14:lumOff w14:val="5000"/>
              </w14:schemeClr>
            </w14:solidFill>
          </w14:textFill>
        </w:rPr>
        <w:t>38156.44m</w:t>
      </w:r>
      <w:r>
        <w:rPr>
          <w:color w:val="0D0D0D" w:themeColor="text1" w:themeTint="F2"/>
          <w:u w:val="single"/>
          <w:vertAlign w:val="superscript"/>
          <w14:textFill>
            <w14:solidFill>
              <w14:schemeClr w14:val="tx1">
                <w14:lumMod w14:val="95000"/>
                <w14:lumOff w14:val="5000"/>
              </w14:schemeClr>
            </w14:solidFill>
          </w14:textFill>
        </w:rPr>
        <w:t>3</w:t>
      </w:r>
      <w:r>
        <w:rPr>
          <w:color w:val="0D0D0D" w:themeColor="text1" w:themeTint="F2"/>
          <w:u w:val="single"/>
          <w14:textFill>
            <w14:solidFill>
              <w14:schemeClr w14:val="tx1">
                <w14:lumMod w14:val="95000"/>
                <w14:lumOff w14:val="5000"/>
              </w14:schemeClr>
            </w14:solidFill>
          </w14:textFill>
        </w:rPr>
        <w:t>/a</w:t>
      </w:r>
      <w:r>
        <w:rPr>
          <w:rFonts w:hint="eastAsia"/>
          <w:color w:val="0D0D0D" w:themeColor="text1" w:themeTint="F2"/>
          <w:u w:val="single"/>
          <w14:textFill>
            <w14:solidFill>
              <w14:schemeClr w14:val="tx1">
                <w14:lumMod w14:val="95000"/>
                <w14:lumOff w14:val="5000"/>
              </w14:schemeClr>
            </w14:solidFill>
          </w14:textFill>
        </w:rPr>
        <w:t>，则非甲烷总烃产生量为190.78kg/a。</w:t>
      </w:r>
    </w:p>
    <w:p w14:paraId="02B6D7DC">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废气通过管道收集至“二级碱液喷淋+除雾器”预处理后，排入RCO催化燃烧装置处理，最后通过30m高排气筒（DA001）排放。</w:t>
      </w:r>
    </w:p>
    <w:p w14:paraId="69C6497A">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根据《主要污染物总量减排核算技术指南（2022年修订）》（环办综合函〔2022〕350号）表2-3，“密闭管道”废气收集方式，集气效率为95%。</w:t>
      </w:r>
      <w:r>
        <w:rPr>
          <w:rFonts w:hint="eastAsia" w:cs="Times New Roman"/>
          <w:bCs/>
          <w:color w:val="0D0D0D" w:themeColor="text1" w:themeTint="F2"/>
          <w:szCs w:val="24"/>
          <w:u w:val="single"/>
          <w14:textFill>
            <w14:solidFill>
              <w14:schemeClr w14:val="tx1">
                <w14:lumMod w14:val="95000"/>
                <w14:lumOff w14:val="5000"/>
              </w14:schemeClr>
            </w14:solidFill>
          </w14:textFill>
        </w:rPr>
        <w:t>项目废气收集方式为密闭管道收集，废气收集效率按95%计，少量废气因未能收集而外溢</w:t>
      </w:r>
      <w:r>
        <w:rPr>
          <w:rFonts w:hint="eastAsia"/>
          <w:color w:val="0D0D0D" w:themeColor="text1" w:themeTint="F2"/>
          <w:u w:val="single"/>
          <w14:textFill>
            <w14:solidFill>
              <w14:schemeClr w14:val="tx1">
                <w14:lumMod w14:val="95000"/>
                <w14:lumOff w14:val="5000"/>
              </w14:schemeClr>
            </w14:solidFill>
          </w14:textFill>
        </w:rPr>
        <w:t>。</w:t>
      </w:r>
    </w:p>
    <w:p w14:paraId="7F809958">
      <w:pPr>
        <w:ind w:firstLine="480" w:firstLineChars="200"/>
        <w:rPr>
          <w:rFonts w:cs="Times New Roman"/>
          <w:bCs/>
          <w:color w:val="0D0D0D" w:themeColor="text1" w:themeTint="F2"/>
          <w:szCs w:val="24"/>
          <w:u w:val="single"/>
          <w14:textFill>
            <w14:solidFill>
              <w14:schemeClr w14:val="tx1">
                <w14:lumMod w14:val="95000"/>
                <w14:lumOff w14:val="5000"/>
              </w14:schemeClr>
            </w14:solidFill>
          </w14:textFill>
        </w:rPr>
      </w:pPr>
      <w:r>
        <w:rPr>
          <w:rFonts w:hint="eastAsia" w:cs="Times New Roman"/>
          <w:bCs/>
          <w:color w:val="0D0D0D" w:themeColor="text1" w:themeTint="F2"/>
          <w:szCs w:val="24"/>
          <w:u w:val="single"/>
          <w14:textFill>
            <w14:solidFill>
              <w14:schemeClr w14:val="tx1">
                <w14:lumMod w14:val="95000"/>
                <w14:lumOff w14:val="5000"/>
              </w14:schemeClr>
            </w14:solidFill>
          </w14:textFill>
        </w:rPr>
        <w:t>根据《排放源统计调查产排污核算方法和系数手册》（生态环境部公告 2021年第24号）中的2541生物质液体燃料行业系数手册，直接燃烧法污染物去除效率为96%，本次评价去除率保守取值90%。</w:t>
      </w:r>
    </w:p>
    <w:p w14:paraId="5BB855EA">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污水处理站非甲烷总烃产排情况详见表3.3-11。</w:t>
      </w:r>
    </w:p>
    <w:p w14:paraId="49C4E6F8">
      <w:pPr>
        <w:pStyle w:val="11"/>
      </w:pPr>
      <w:r>
        <w:rPr>
          <w:rFonts w:hint="eastAsia"/>
        </w:rPr>
        <w:t xml:space="preserve"> 污水处理站非甲烷总烃产排情况</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2"/>
        <w:gridCol w:w="896"/>
        <w:gridCol w:w="1118"/>
        <w:gridCol w:w="896"/>
        <w:gridCol w:w="841"/>
        <w:gridCol w:w="675"/>
        <w:gridCol w:w="896"/>
        <w:gridCol w:w="841"/>
        <w:gridCol w:w="897"/>
        <w:gridCol w:w="840"/>
      </w:tblGrid>
      <w:tr w14:paraId="02509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6" w:type="pct"/>
            <w:vMerge w:val="restart"/>
            <w:vAlign w:val="center"/>
          </w:tcPr>
          <w:p w14:paraId="21DDA6B1">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污染物</w:t>
            </w:r>
          </w:p>
        </w:tc>
        <w:tc>
          <w:tcPr>
            <w:tcW w:w="485" w:type="pct"/>
            <w:vMerge w:val="restart"/>
            <w:vAlign w:val="center"/>
          </w:tcPr>
          <w:p w14:paraId="4F508BAC">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产生量</w:t>
            </w:r>
          </w:p>
          <w:p w14:paraId="600B283D">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(t/a)</w:t>
            </w:r>
          </w:p>
        </w:tc>
        <w:tc>
          <w:tcPr>
            <w:tcW w:w="605" w:type="pct"/>
            <w:vMerge w:val="restart"/>
            <w:vAlign w:val="center"/>
          </w:tcPr>
          <w:p w14:paraId="27139570">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收集效率</w:t>
            </w:r>
          </w:p>
        </w:tc>
        <w:tc>
          <w:tcPr>
            <w:tcW w:w="940" w:type="pct"/>
            <w:gridSpan w:val="2"/>
            <w:vAlign w:val="center"/>
          </w:tcPr>
          <w:p w14:paraId="3558A508">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有组织产生</w:t>
            </w:r>
          </w:p>
        </w:tc>
        <w:tc>
          <w:tcPr>
            <w:tcW w:w="365" w:type="pct"/>
            <w:vMerge w:val="restart"/>
            <w:vAlign w:val="center"/>
          </w:tcPr>
          <w:p w14:paraId="24BFF85A">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处理</w:t>
            </w:r>
          </w:p>
          <w:p w14:paraId="73A7635E">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效率</w:t>
            </w:r>
          </w:p>
        </w:tc>
        <w:tc>
          <w:tcPr>
            <w:tcW w:w="940" w:type="pct"/>
            <w:gridSpan w:val="2"/>
            <w:vAlign w:val="center"/>
          </w:tcPr>
          <w:p w14:paraId="779C02B5">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有组织排放</w:t>
            </w:r>
          </w:p>
        </w:tc>
        <w:tc>
          <w:tcPr>
            <w:tcW w:w="940" w:type="pct"/>
            <w:gridSpan w:val="2"/>
            <w:vAlign w:val="center"/>
          </w:tcPr>
          <w:p w14:paraId="3720D9CF">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无组织排放</w:t>
            </w:r>
          </w:p>
        </w:tc>
      </w:tr>
      <w:tr w14:paraId="613F0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6" w:type="pct"/>
            <w:vMerge w:val="continue"/>
            <w:vAlign w:val="center"/>
          </w:tcPr>
          <w:p w14:paraId="69CA9B53">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85" w:type="pct"/>
            <w:vMerge w:val="continue"/>
            <w:vAlign w:val="center"/>
          </w:tcPr>
          <w:p w14:paraId="1CB5AEE0">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605" w:type="pct"/>
            <w:vMerge w:val="continue"/>
            <w:vAlign w:val="center"/>
          </w:tcPr>
          <w:p w14:paraId="01028B30">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85" w:type="pct"/>
            <w:vAlign w:val="center"/>
          </w:tcPr>
          <w:p w14:paraId="59A272AC">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产生量</w:t>
            </w:r>
          </w:p>
          <w:p w14:paraId="48162034">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(t/a)</w:t>
            </w:r>
          </w:p>
        </w:tc>
        <w:tc>
          <w:tcPr>
            <w:tcW w:w="455" w:type="pct"/>
            <w:vAlign w:val="center"/>
          </w:tcPr>
          <w:p w14:paraId="13DE4987">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产生</w:t>
            </w:r>
          </w:p>
          <w:p w14:paraId="51B78354">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速率</w:t>
            </w:r>
          </w:p>
          <w:p w14:paraId="08360BB4">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kg/h</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p>
        </w:tc>
        <w:tc>
          <w:tcPr>
            <w:tcW w:w="365" w:type="pct"/>
            <w:vMerge w:val="continue"/>
            <w:vAlign w:val="center"/>
          </w:tcPr>
          <w:p w14:paraId="1C6BB83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85" w:type="pct"/>
            <w:vAlign w:val="center"/>
          </w:tcPr>
          <w:p w14:paraId="6B877FF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排放量</w:t>
            </w:r>
          </w:p>
          <w:p w14:paraId="4845A423">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(t/a)</w:t>
            </w:r>
          </w:p>
        </w:tc>
        <w:tc>
          <w:tcPr>
            <w:tcW w:w="455" w:type="pct"/>
            <w:vAlign w:val="center"/>
          </w:tcPr>
          <w:p w14:paraId="32B6B88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排放</w:t>
            </w:r>
          </w:p>
          <w:p w14:paraId="26D28091">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速率</w:t>
            </w:r>
          </w:p>
          <w:p w14:paraId="749B0CDF">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kg/h</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p>
        </w:tc>
        <w:tc>
          <w:tcPr>
            <w:tcW w:w="485" w:type="pct"/>
            <w:vAlign w:val="center"/>
          </w:tcPr>
          <w:p w14:paraId="7B49AAD0">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排放量</w:t>
            </w:r>
          </w:p>
          <w:p w14:paraId="542AEBAA">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(t/a)</w:t>
            </w:r>
          </w:p>
        </w:tc>
        <w:tc>
          <w:tcPr>
            <w:tcW w:w="455" w:type="pct"/>
            <w:vAlign w:val="center"/>
          </w:tcPr>
          <w:p w14:paraId="0D9FCD93">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排放</w:t>
            </w:r>
          </w:p>
          <w:p w14:paraId="469E3AB2">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速率</w:t>
            </w:r>
          </w:p>
          <w:p w14:paraId="3F3EA4A4">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kg/h</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p>
        </w:tc>
      </w:tr>
      <w:tr w14:paraId="7357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6" w:type="pct"/>
            <w:vAlign w:val="center"/>
          </w:tcPr>
          <w:p w14:paraId="4A5F8972">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非甲烷总烃</w:t>
            </w:r>
          </w:p>
        </w:tc>
        <w:tc>
          <w:tcPr>
            <w:tcW w:w="485" w:type="pct"/>
            <w:vAlign w:val="center"/>
          </w:tcPr>
          <w:p w14:paraId="4E28BEF8">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0.191</w:t>
            </w:r>
          </w:p>
        </w:tc>
        <w:tc>
          <w:tcPr>
            <w:tcW w:w="605" w:type="pct"/>
            <w:vAlign w:val="center"/>
          </w:tcPr>
          <w:p w14:paraId="0C3300CC">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95%</w:t>
            </w:r>
          </w:p>
        </w:tc>
        <w:tc>
          <w:tcPr>
            <w:tcW w:w="485" w:type="pct"/>
            <w:vAlign w:val="center"/>
          </w:tcPr>
          <w:p w14:paraId="1BB23747">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0.181</w:t>
            </w:r>
          </w:p>
        </w:tc>
        <w:tc>
          <w:tcPr>
            <w:tcW w:w="455" w:type="pct"/>
            <w:vAlign w:val="center"/>
          </w:tcPr>
          <w:p w14:paraId="1EFF55DE">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0.0251</w:t>
            </w:r>
          </w:p>
        </w:tc>
        <w:tc>
          <w:tcPr>
            <w:tcW w:w="365" w:type="pct"/>
            <w:vAlign w:val="center"/>
          </w:tcPr>
          <w:p w14:paraId="448DEC88">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90</w:t>
            </w:r>
          </w:p>
        </w:tc>
        <w:tc>
          <w:tcPr>
            <w:tcW w:w="485" w:type="pct"/>
            <w:vAlign w:val="center"/>
          </w:tcPr>
          <w:p w14:paraId="13B7F0CE">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0.02</w:t>
            </w:r>
          </w:p>
        </w:tc>
        <w:tc>
          <w:tcPr>
            <w:tcW w:w="455" w:type="pct"/>
            <w:vAlign w:val="center"/>
          </w:tcPr>
          <w:p w14:paraId="129DC8AF">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0.0028</w:t>
            </w:r>
          </w:p>
        </w:tc>
        <w:tc>
          <w:tcPr>
            <w:tcW w:w="485" w:type="pct"/>
            <w:vAlign w:val="center"/>
          </w:tcPr>
          <w:p w14:paraId="4A289DBE">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0.01</w:t>
            </w:r>
          </w:p>
        </w:tc>
        <w:tc>
          <w:tcPr>
            <w:tcW w:w="455" w:type="pct"/>
            <w:vAlign w:val="center"/>
          </w:tcPr>
          <w:p w14:paraId="13385665">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0.0014</w:t>
            </w:r>
          </w:p>
        </w:tc>
      </w:tr>
    </w:tbl>
    <w:p w14:paraId="2637C192">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（9）导热油炉废气</w:t>
      </w:r>
    </w:p>
    <w:p w14:paraId="5700C788">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w:t>
      </w:r>
      <w:bookmarkStart w:id="107" w:name="_Hlk192426566"/>
      <w:r>
        <w:rPr>
          <w:rFonts w:hint="eastAsia"/>
          <w:color w:val="0D0D0D" w:themeColor="text1" w:themeTint="F2"/>
          <w:u w:val="single"/>
          <w14:textFill>
            <w14:solidFill>
              <w14:schemeClr w14:val="tx1">
                <w14:lumMod w14:val="95000"/>
                <w14:lumOff w14:val="5000"/>
              </w14:schemeClr>
            </w14:solidFill>
          </w14:textFill>
        </w:rPr>
        <w:t>设有2台导热油炉</w:t>
      </w:r>
      <w:bookmarkEnd w:id="107"/>
      <w:r>
        <w:rPr>
          <w:rFonts w:hint="eastAsia"/>
          <w:color w:val="0D0D0D" w:themeColor="text1" w:themeTint="F2"/>
          <w:u w:val="single"/>
          <w14:textFill>
            <w14:solidFill>
              <w14:schemeClr w14:val="tx1">
                <w14:lumMod w14:val="95000"/>
                <w14:lumOff w14:val="5000"/>
              </w14:schemeClr>
            </w14:solidFill>
          </w14:textFill>
        </w:rPr>
        <w:t>，年运行300d，每天24h，采用生物质成型燃料，其中1＃导热油炉以生物产油生产线产生的轻组分作为辅助燃料，运行过程会产生燃料燃烧废气，主要污染物为颗粒物、二氧化硫和氮氧化物，经各自配套的“旋风除尘+布袋除尘”处理后，通过同一根40m排气筒（DA002）排放。余热蒸汽锅炉利用导热油炉废气热量回收产生蒸汽，该部分废气已纳入导热油炉废气中，本次评价不再对其进行重复分析。</w:t>
      </w:r>
    </w:p>
    <w:p w14:paraId="188D6B15">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根据《污染源源强核算技术指南  锅炉》（HJ991-2018），正常工况时，优先采用物料衡算法进行核算，因此，本次评价采用物料衡算法进行源强核算。</w:t>
      </w:r>
    </w:p>
    <w:p w14:paraId="5CC556FA">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①燃料用量核算</w:t>
      </w:r>
    </w:p>
    <w:p w14:paraId="39B6FC00">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1＃导热油炉热负荷为7.0MW（折合10t/h），2＃导热油炉热负荷为4.2MW（折合6t/h），炉型均为链条炉，采用生物质成型燃料，其中1＃导热油炉以生物产油生产线产生的轻组分作为辅助燃料，链条炉属于层燃炉的一种，根据导热油炉生产商家提供的资料，导热油炉热效率为85%。</w:t>
      </w:r>
    </w:p>
    <w:p w14:paraId="0B26E2DC">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生物质成型颗粒的低位发热量通常与其原料种类、水分含量和加工工艺密切相关，项目所用生物质成型颗粒原料主要为木质颗粒，低位发热量一般在3800~4500kcal/kg之间，本次评价生物质成型颗粒热值按平均值4150kcal/kg计。</w:t>
      </w:r>
    </w:p>
    <w:p w14:paraId="583157CF">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根据建设单位提供的惠州丰之力油脂有限公司轻组分热值检测报告（附件15），轻组分热值为9132.1kcal/kg。项目轻组分产生量为1500t/a，单位热值为38.24MJ/kg，则年总热值供给为5.74×10</w:t>
      </w:r>
      <w:r>
        <w:rPr>
          <w:rFonts w:hint="eastAsia"/>
          <w:color w:val="0D0D0D" w:themeColor="text1" w:themeTint="F2"/>
          <w:u w:val="single"/>
          <w:vertAlign w:val="superscript"/>
          <w14:textFill>
            <w14:solidFill>
              <w14:schemeClr w14:val="tx1">
                <w14:lumMod w14:val="95000"/>
                <w14:lumOff w14:val="5000"/>
              </w14:schemeClr>
            </w14:solidFill>
          </w14:textFill>
        </w:rPr>
        <w:t>7</w:t>
      </w:r>
      <w:r>
        <w:rPr>
          <w:rFonts w:hint="eastAsia"/>
          <w:color w:val="0D0D0D" w:themeColor="text1" w:themeTint="F2"/>
          <w:u w:val="single"/>
          <w14:textFill>
            <w14:solidFill>
              <w14:schemeClr w14:val="tx1">
                <w14:lumMod w14:val="95000"/>
                <w14:lumOff w14:val="5000"/>
              </w14:schemeClr>
            </w14:solidFill>
          </w14:textFill>
        </w:rPr>
        <w:t>MJ/a。1＃导热油炉年总热值需求量为1.8144×10</w:t>
      </w:r>
      <w:r>
        <w:rPr>
          <w:rFonts w:hint="eastAsia"/>
          <w:color w:val="0D0D0D" w:themeColor="text1" w:themeTint="F2"/>
          <w:u w:val="single"/>
          <w:vertAlign w:val="superscript"/>
          <w14:textFill>
            <w14:solidFill>
              <w14:schemeClr w14:val="tx1">
                <w14:lumMod w14:val="95000"/>
                <w14:lumOff w14:val="5000"/>
              </w14:schemeClr>
            </w14:solidFill>
          </w14:textFill>
        </w:rPr>
        <w:t>8</w:t>
      </w:r>
      <w:r>
        <w:rPr>
          <w:rFonts w:hint="eastAsia"/>
          <w:color w:val="0D0D0D" w:themeColor="text1" w:themeTint="F2"/>
          <w:u w:val="single"/>
          <w14:textFill>
            <w14:solidFill>
              <w14:schemeClr w14:val="tx1">
                <w14:lumMod w14:val="95000"/>
                <w14:lumOff w14:val="5000"/>
              </w14:schemeClr>
            </w14:solidFill>
          </w14:textFill>
        </w:rPr>
        <w:t>MJ/a，总燃料输入热为1.8144×10</w:t>
      </w:r>
      <w:r>
        <w:rPr>
          <w:rFonts w:hint="eastAsia"/>
          <w:color w:val="0D0D0D" w:themeColor="text1" w:themeTint="F2"/>
          <w:u w:val="single"/>
          <w:vertAlign w:val="superscript"/>
          <w14:textFill>
            <w14:solidFill>
              <w14:schemeClr w14:val="tx1">
                <w14:lumMod w14:val="95000"/>
                <w14:lumOff w14:val="5000"/>
              </w14:schemeClr>
            </w14:solidFill>
          </w14:textFill>
        </w:rPr>
        <w:t>8</w:t>
      </w:r>
      <w:r>
        <w:rPr>
          <w:rFonts w:hint="eastAsia"/>
          <w:color w:val="0D0D0D" w:themeColor="text1" w:themeTint="F2"/>
          <w:u w:val="single"/>
          <w14:textFill>
            <w14:solidFill>
              <w14:schemeClr w14:val="tx1">
                <w14:lumMod w14:val="95000"/>
                <w14:lumOff w14:val="5000"/>
              </w14:schemeClr>
            </w14:solidFill>
          </w14:textFill>
        </w:rPr>
        <w:t>MJ/a/0.85=</w:t>
      </w:r>
      <w:r>
        <w:rPr>
          <w:color w:val="0D0D0D" w:themeColor="text1" w:themeTint="F2"/>
          <w:u w:val="single"/>
          <w14:textFill>
            <w14:solidFill>
              <w14:schemeClr w14:val="tx1">
                <w14:lumMod w14:val="95000"/>
                <w14:lumOff w14:val="5000"/>
              </w14:schemeClr>
            </w14:solidFill>
          </w14:textFill>
        </w:rPr>
        <w:t>213529411.76</w:t>
      </w:r>
      <w:r>
        <w:rPr>
          <w:rFonts w:hint="eastAsia"/>
          <w:color w:val="0D0D0D" w:themeColor="text1" w:themeTint="F2"/>
          <w:u w:val="single"/>
          <w14:textFill>
            <w14:solidFill>
              <w14:schemeClr w14:val="tx1">
                <w14:lumMod w14:val="95000"/>
                <w14:lumOff w14:val="5000"/>
              </w14:schemeClr>
            </w14:solidFill>
          </w14:textFill>
        </w:rPr>
        <w:t>MJ/a，轻组分贡献热值为5.74×10</w:t>
      </w:r>
      <w:r>
        <w:rPr>
          <w:rFonts w:hint="eastAsia"/>
          <w:color w:val="0D0D0D" w:themeColor="text1" w:themeTint="F2"/>
          <w:u w:val="single"/>
          <w:vertAlign w:val="superscript"/>
          <w14:textFill>
            <w14:solidFill>
              <w14:schemeClr w14:val="tx1">
                <w14:lumMod w14:val="95000"/>
                <w14:lumOff w14:val="5000"/>
              </w14:schemeClr>
            </w14:solidFill>
          </w14:textFill>
        </w:rPr>
        <w:t>7</w:t>
      </w:r>
      <w:r>
        <w:rPr>
          <w:rFonts w:hint="eastAsia"/>
          <w:color w:val="0D0D0D" w:themeColor="text1" w:themeTint="F2"/>
          <w:u w:val="single"/>
          <w14:textFill>
            <w14:solidFill>
              <w14:schemeClr w14:val="tx1">
                <w14:lumMod w14:val="95000"/>
                <w14:lumOff w14:val="5000"/>
              </w14:schemeClr>
            </w14:solidFill>
          </w14:textFill>
        </w:rPr>
        <w:t>MJ/a，扣除轻组分热贡献后，生物质燃料热值供给量为</w:t>
      </w:r>
      <w:r>
        <w:rPr>
          <w:color w:val="0D0D0D" w:themeColor="text1" w:themeTint="F2"/>
          <w:u w:val="single"/>
          <w14:textFill>
            <w14:solidFill>
              <w14:schemeClr w14:val="tx1">
                <w14:lumMod w14:val="95000"/>
                <w14:lumOff w14:val="5000"/>
              </w14:schemeClr>
            </w14:solidFill>
          </w14:textFill>
        </w:rPr>
        <w:t>156129411.76</w:t>
      </w:r>
      <w:r>
        <w:rPr>
          <w:rFonts w:hint="eastAsia"/>
          <w:color w:val="0D0D0D" w:themeColor="text1" w:themeTint="F2"/>
          <w:u w:val="single"/>
          <w14:textFill>
            <w14:solidFill>
              <w14:schemeClr w14:val="tx1">
                <w14:lumMod w14:val="95000"/>
                <w14:lumOff w14:val="5000"/>
              </w14:schemeClr>
            </w14:solidFill>
          </w14:textFill>
        </w:rPr>
        <w:t>MJ/a。</w:t>
      </w:r>
    </w:p>
    <w:p w14:paraId="19A6981A">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综上，1＃导热油炉生物质燃料消耗量为1248kg/h，8986t/a，2＃导热油炉生物质燃料消耗量为1024kg/h，7373t/a，全厂生物质燃料消耗量为2272kg/h，16359t/a。</w:t>
      </w:r>
    </w:p>
    <w:p w14:paraId="2725EAC6">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②烟气量</w:t>
      </w:r>
    </w:p>
    <w:p w14:paraId="46CF4726">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生物柴油生产线中脱轻工序产生的轻组分主要成分为C12~C14短链甲酯，产生量为1500t/a，作为1＃导热油炉的辅助燃料。C12~C14短链甲酯属于生物柴油的范畴，而生物柴油通常作为柴油的替代燃料。因此，本次评价轻组分燃烧废气根据《排放源统计调查产排污核算方法和系数手册》（生态环境部公告 2021年第24号）中的4430工业锅炉（热力供应）行业系数手册，燃油锅炉以柴油为燃料时的产污系数进行核算，核算结果详见表3.3-12。</w:t>
      </w:r>
    </w:p>
    <w:p w14:paraId="4BD8BC2A">
      <w:pPr>
        <w:pStyle w:val="11"/>
      </w:pPr>
      <w:r>
        <w:rPr>
          <w:rFonts w:hint="eastAsia"/>
        </w:rPr>
        <w:t xml:space="preserve"> 产污系数一览表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9"/>
        <w:gridCol w:w="879"/>
        <w:gridCol w:w="1332"/>
        <w:gridCol w:w="1922"/>
        <w:gridCol w:w="1332"/>
        <w:gridCol w:w="1288"/>
      </w:tblGrid>
      <w:tr w14:paraId="73998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pct"/>
            <w:vAlign w:val="center"/>
          </w:tcPr>
          <w:p w14:paraId="24E33B9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原料</w:t>
            </w:r>
          </w:p>
        </w:tc>
        <w:tc>
          <w:tcPr>
            <w:tcW w:w="492" w:type="pct"/>
            <w:vAlign w:val="center"/>
          </w:tcPr>
          <w:p w14:paraId="255C5AB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使用量</w:t>
            </w:r>
          </w:p>
        </w:tc>
        <w:tc>
          <w:tcPr>
            <w:tcW w:w="737" w:type="pct"/>
            <w:vAlign w:val="center"/>
          </w:tcPr>
          <w:p w14:paraId="3C71E5E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污染物</w:t>
            </w:r>
          </w:p>
        </w:tc>
        <w:tc>
          <w:tcPr>
            <w:tcW w:w="1056" w:type="pct"/>
            <w:vAlign w:val="center"/>
          </w:tcPr>
          <w:p w14:paraId="788C89E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单位</w:t>
            </w:r>
          </w:p>
        </w:tc>
        <w:tc>
          <w:tcPr>
            <w:tcW w:w="737" w:type="pct"/>
            <w:vAlign w:val="center"/>
          </w:tcPr>
          <w:p w14:paraId="42945B3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产排污系数</w:t>
            </w:r>
          </w:p>
        </w:tc>
        <w:tc>
          <w:tcPr>
            <w:tcW w:w="615" w:type="pct"/>
            <w:vAlign w:val="center"/>
          </w:tcPr>
          <w:p w14:paraId="507BE1E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产生情况</w:t>
            </w:r>
          </w:p>
        </w:tc>
      </w:tr>
      <w:tr w14:paraId="5E692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pct"/>
            <w:vMerge w:val="restart"/>
            <w:vAlign w:val="center"/>
          </w:tcPr>
          <w:p w14:paraId="52A90BA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轻组分</w:t>
            </w:r>
          </w:p>
          <w:p w14:paraId="63C3D32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（C12~C14短链甲酯）</w:t>
            </w:r>
          </w:p>
        </w:tc>
        <w:tc>
          <w:tcPr>
            <w:tcW w:w="492" w:type="pct"/>
            <w:vMerge w:val="restart"/>
            <w:vAlign w:val="center"/>
          </w:tcPr>
          <w:p w14:paraId="015732E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1500t/a</w:t>
            </w:r>
          </w:p>
        </w:tc>
        <w:tc>
          <w:tcPr>
            <w:tcW w:w="737" w:type="pct"/>
            <w:vAlign w:val="center"/>
          </w:tcPr>
          <w:p w14:paraId="6A8882A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工业废气量</w:t>
            </w:r>
          </w:p>
        </w:tc>
        <w:tc>
          <w:tcPr>
            <w:tcW w:w="1056" w:type="pct"/>
            <w:vAlign w:val="center"/>
          </w:tcPr>
          <w:p w14:paraId="1209AB7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标立方米/吨-原料</w:t>
            </w:r>
          </w:p>
        </w:tc>
        <w:tc>
          <w:tcPr>
            <w:tcW w:w="737" w:type="pct"/>
            <w:vAlign w:val="center"/>
          </w:tcPr>
          <w:p w14:paraId="1804E4A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17804m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3</w:t>
            </w:r>
          </w:p>
        </w:tc>
        <w:tc>
          <w:tcPr>
            <w:tcW w:w="615" w:type="pct"/>
            <w:vAlign w:val="center"/>
          </w:tcPr>
          <w:p w14:paraId="0EC4B96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26706000m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3</w:t>
            </w:r>
          </w:p>
        </w:tc>
      </w:tr>
      <w:tr w14:paraId="11200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pct"/>
            <w:vMerge w:val="continue"/>
            <w:vAlign w:val="center"/>
          </w:tcPr>
          <w:p w14:paraId="0290AF5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492" w:type="pct"/>
            <w:vMerge w:val="continue"/>
            <w:vAlign w:val="center"/>
          </w:tcPr>
          <w:p w14:paraId="38CA505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37" w:type="pct"/>
            <w:vAlign w:val="center"/>
          </w:tcPr>
          <w:p w14:paraId="03A2A9D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颗粒物</w:t>
            </w:r>
          </w:p>
        </w:tc>
        <w:tc>
          <w:tcPr>
            <w:tcW w:w="1056" w:type="pct"/>
            <w:vAlign w:val="center"/>
          </w:tcPr>
          <w:p w14:paraId="1259864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千克/吨-原料</w:t>
            </w:r>
          </w:p>
        </w:tc>
        <w:tc>
          <w:tcPr>
            <w:tcW w:w="737" w:type="pct"/>
            <w:vAlign w:val="center"/>
          </w:tcPr>
          <w:p w14:paraId="0F8129F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0.26</w:t>
            </w:r>
          </w:p>
        </w:tc>
        <w:tc>
          <w:tcPr>
            <w:tcW w:w="615" w:type="pct"/>
            <w:vAlign w:val="center"/>
          </w:tcPr>
          <w:p w14:paraId="69341E6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0.39t/a</w:t>
            </w:r>
          </w:p>
        </w:tc>
      </w:tr>
      <w:tr w14:paraId="16DC8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pct"/>
            <w:vMerge w:val="continue"/>
            <w:vAlign w:val="center"/>
          </w:tcPr>
          <w:p w14:paraId="1458990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492" w:type="pct"/>
            <w:vMerge w:val="continue"/>
            <w:vAlign w:val="center"/>
          </w:tcPr>
          <w:p w14:paraId="1B39C23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37" w:type="pct"/>
            <w:vAlign w:val="center"/>
          </w:tcPr>
          <w:p w14:paraId="25F2AFA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二氧化硫</w:t>
            </w:r>
          </w:p>
        </w:tc>
        <w:tc>
          <w:tcPr>
            <w:tcW w:w="1056" w:type="pct"/>
            <w:vAlign w:val="center"/>
          </w:tcPr>
          <w:p w14:paraId="6A496FE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千克/吨-原料</w:t>
            </w:r>
          </w:p>
        </w:tc>
        <w:tc>
          <w:tcPr>
            <w:tcW w:w="737" w:type="pct"/>
            <w:vAlign w:val="center"/>
          </w:tcPr>
          <w:p w14:paraId="1E571A1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19S</w:t>
            </w:r>
          </w:p>
        </w:tc>
        <w:tc>
          <w:tcPr>
            <w:tcW w:w="615" w:type="pct"/>
            <w:vAlign w:val="center"/>
          </w:tcPr>
          <w:p w14:paraId="0E915D3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0.03t/a</w:t>
            </w:r>
          </w:p>
        </w:tc>
      </w:tr>
      <w:tr w14:paraId="66608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pct"/>
            <w:vMerge w:val="continue"/>
            <w:vAlign w:val="center"/>
          </w:tcPr>
          <w:p w14:paraId="255ED0E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492" w:type="pct"/>
            <w:vMerge w:val="continue"/>
            <w:vAlign w:val="center"/>
          </w:tcPr>
          <w:p w14:paraId="3A1CB62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37" w:type="pct"/>
            <w:vAlign w:val="center"/>
          </w:tcPr>
          <w:p w14:paraId="4181C86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氮氧化物</w:t>
            </w:r>
          </w:p>
        </w:tc>
        <w:tc>
          <w:tcPr>
            <w:tcW w:w="1056" w:type="pct"/>
            <w:vAlign w:val="center"/>
          </w:tcPr>
          <w:p w14:paraId="2AF1C2A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千克/吨-原料</w:t>
            </w:r>
          </w:p>
        </w:tc>
        <w:tc>
          <w:tcPr>
            <w:tcW w:w="737" w:type="pct"/>
            <w:vAlign w:val="center"/>
          </w:tcPr>
          <w:p w14:paraId="17C5531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3.03</w:t>
            </w:r>
          </w:p>
        </w:tc>
        <w:tc>
          <w:tcPr>
            <w:tcW w:w="615" w:type="pct"/>
            <w:vAlign w:val="center"/>
          </w:tcPr>
          <w:p w14:paraId="08116BB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4.55t/a</w:t>
            </w:r>
          </w:p>
        </w:tc>
      </w:tr>
      <w:tr w14:paraId="1D5CA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14:paraId="63D5D516">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注：参照《柴油机氮氧化物排放的测量与计算方法研究》及《普通柴油》（GB252-2015），2018年1月1日起柴油含硫率应不大于0.001%，本次评价轻组分中硫的百分含量按0.001计。</w:t>
            </w:r>
          </w:p>
        </w:tc>
      </w:tr>
    </w:tbl>
    <w:p w14:paraId="16BC8674">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根据《污染源源强核算技术指南  锅炉》（HJ991-2018），锅炉排污单位应优先采用理论公式（以燃料元素分析数据或组分分析数据为依）计算基准烟气量，其次采用经验公式（以燃料低位发热数据为依据）估算基准烟气量；若国家或地方锅炉大污染物排放标中有基准烟气量的，从其规定。项目没有燃料元素分析数据及气体组成成分数据，根据《污染源源强核算技术指南  锅炉》（HJ991-2018）附录C：没有元素分析时，干烟气排放量的经验公式参照HJ953。</w:t>
      </w:r>
    </w:p>
    <w:p w14:paraId="597EC650">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根据《排污许可证申请与核发技术规范  锅炉》（HJ953-2018）表5基准烟气量取值表，项目生物质燃料收到基低位发热量为17.5MJ/kg＞12.54MJ/kg，燃料干燥无灰基挥发分Vdaf（%）&gt;15，则基准烟气量计算采用的公式如下：</w:t>
      </w:r>
    </w:p>
    <w:p w14:paraId="6F8AD169">
      <w:pPr>
        <w:ind w:firstLine="480" w:firstLineChars="200"/>
        <w:rPr>
          <w:rFonts w:cs="Times New Roman"/>
          <w:color w:val="0D0D0D" w:themeColor="text1" w:themeTint="F2"/>
          <w14:textFill>
            <w14:solidFill>
              <w14:schemeClr w14:val="tx1">
                <w14:lumMod w14:val="95000"/>
                <w14:lumOff w14:val="5000"/>
              </w14:schemeClr>
            </w14:solidFill>
          </w14:textFill>
        </w:rPr>
      </w:pPr>
      <m:oMathPara>
        <m:oMath>
          <m:sSub>
            <m:sSubPr>
              <m:ctrlPr>
                <w:rPr>
                  <w:rFonts w:ascii="Cambria Math" w:hAnsi="Cambria Math" w:cs="Times New Roman"/>
                  <w:i/>
                  <w:color w:val="0D0D0D" w:themeColor="text1" w:themeTint="F2"/>
                  <w14:textFill>
                    <w14:solidFill>
                      <w14:schemeClr w14:val="tx1">
                        <w14:lumMod w14:val="95000"/>
                        <w14:lumOff w14:val="5000"/>
                      </w14:schemeClr>
                    </w14:solidFill>
                  </w14:textFill>
                </w:rPr>
              </m:ctrlPr>
            </m:sSubPr>
            <m:e>
              <m:r>
                <m:rPr>
                  <m:nor/>
                  <m:sty m:val="p"/>
                </m:rPr>
                <w:rPr>
                  <w:rFonts w:cs="Times New Roman"/>
                  <w:b w:val="0"/>
                  <w:i w:val="0"/>
                  <w:color w:val="0D0D0D" w:themeColor="text1" w:themeTint="F2"/>
                  <w14:textFill>
                    <w14:solidFill>
                      <w14:schemeClr w14:val="tx1">
                        <w14:lumMod w14:val="95000"/>
                        <w14:lumOff w14:val="5000"/>
                      </w14:schemeClr>
                    </w14:solidFill>
                  </w14:textFill>
                </w:rPr>
                <m:t>V</m:t>
              </m:r>
              <m:ctrlPr>
                <w:rPr>
                  <w:rFonts w:ascii="Cambria Math" w:hAnsi="Cambria Math" w:cs="Times New Roman"/>
                  <w:i/>
                  <w:color w:val="0D0D0D" w:themeColor="text1" w:themeTint="F2"/>
                  <w14:textFill>
                    <w14:solidFill>
                      <w14:schemeClr w14:val="tx1">
                        <w14:lumMod w14:val="95000"/>
                        <w14:lumOff w14:val="5000"/>
                      </w14:schemeClr>
                    </w14:solidFill>
                  </w14:textFill>
                </w:rPr>
              </m:ctrlPr>
            </m:e>
            <m:sub>
              <m:r>
                <m:rPr>
                  <m:nor/>
                  <m:sty m:val="p"/>
                </m:rPr>
                <w:rPr>
                  <w:rFonts w:cs="Times New Roman"/>
                  <w:b w:val="0"/>
                  <w:i w:val="0"/>
                  <w:color w:val="0D0D0D" w:themeColor="text1" w:themeTint="F2"/>
                  <w14:textFill>
                    <w14:solidFill>
                      <w14:schemeClr w14:val="tx1">
                        <w14:lumMod w14:val="95000"/>
                        <w14:lumOff w14:val="5000"/>
                      </w14:schemeClr>
                    </w14:solidFill>
                  </w14:textFill>
                </w:rPr>
                <m:t>gy</m:t>
              </m:r>
              <m:ctrlPr>
                <w:rPr>
                  <w:rFonts w:ascii="Cambria Math" w:hAnsi="Cambria Math" w:cs="Times New Roman"/>
                  <w:i/>
                  <w:color w:val="0D0D0D" w:themeColor="text1" w:themeTint="F2"/>
                  <w14:textFill>
                    <w14:solidFill>
                      <w14:schemeClr w14:val="tx1">
                        <w14:lumMod w14:val="95000"/>
                        <w14:lumOff w14:val="5000"/>
                      </w14:schemeClr>
                    </w14:solidFill>
                  </w14:textFill>
                </w:rPr>
              </m:ctrlPr>
            </m:sub>
          </m:sSub>
          <m:r>
            <m:rPr>
              <m:nor/>
              <m:sty m:val="p"/>
            </m:rPr>
            <w:rPr>
              <w:rFonts w:cs="Times New Roman"/>
              <w:b w:val="0"/>
              <w:i w:val="0"/>
              <w:color w:val="0D0D0D" w:themeColor="text1" w:themeTint="F2"/>
              <w14:textFill>
                <w14:solidFill>
                  <w14:schemeClr w14:val="tx1">
                    <w14:lumMod w14:val="95000"/>
                    <w14:lumOff w14:val="5000"/>
                  </w14:schemeClr>
                </w14:solidFill>
              </w14:textFill>
            </w:rPr>
            <m:t>=0.393</m:t>
          </m:r>
          <m:sSub>
            <m:sSubPr>
              <m:ctrlPr>
                <w:rPr>
                  <w:rFonts w:ascii="Cambria Math" w:hAnsi="Cambria Math" w:cs="Times New Roman"/>
                  <w:i/>
                  <w:color w:val="0D0D0D" w:themeColor="text1" w:themeTint="F2"/>
                  <w14:textFill>
                    <w14:solidFill>
                      <w14:schemeClr w14:val="tx1">
                        <w14:lumMod w14:val="95000"/>
                        <w14:lumOff w14:val="5000"/>
                      </w14:schemeClr>
                    </w14:solidFill>
                  </w14:textFill>
                </w:rPr>
              </m:ctrlPr>
            </m:sSubPr>
            <m:e>
              <m:r>
                <m:rPr>
                  <m:nor/>
                  <m:sty m:val="p"/>
                </m:rPr>
                <w:rPr>
                  <w:rFonts w:cs="Times New Roman"/>
                  <w:b w:val="0"/>
                  <w:i w:val="0"/>
                  <w:color w:val="0D0D0D" w:themeColor="text1" w:themeTint="F2"/>
                  <w14:textFill>
                    <w14:solidFill>
                      <w14:schemeClr w14:val="tx1">
                        <w14:lumMod w14:val="95000"/>
                        <w14:lumOff w14:val="5000"/>
                      </w14:schemeClr>
                    </w14:solidFill>
                  </w14:textFill>
                </w:rPr>
                <m:t>Q</m:t>
              </m:r>
              <m:ctrlPr>
                <w:rPr>
                  <w:rFonts w:ascii="Cambria Math" w:hAnsi="Cambria Math" w:cs="Times New Roman"/>
                  <w:i/>
                  <w:color w:val="0D0D0D" w:themeColor="text1" w:themeTint="F2"/>
                  <w14:textFill>
                    <w14:solidFill>
                      <w14:schemeClr w14:val="tx1">
                        <w14:lumMod w14:val="95000"/>
                        <w14:lumOff w14:val="5000"/>
                      </w14:schemeClr>
                    </w14:solidFill>
                  </w14:textFill>
                </w:rPr>
              </m:ctrlPr>
            </m:e>
            <m:sub>
              <m:r>
                <m:rPr>
                  <m:nor/>
                  <m:sty m:val="p"/>
                </m:rPr>
                <w:rPr>
                  <w:rFonts w:cs="Times New Roman"/>
                  <w:b w:val="0"/>
                  <w:i w:val="0"/>
                  <w:color w:val="0D0D0D" w:themeColor="text1" w:themeTint="F2"/>
                  <w14:textFill>
                    <w14:solidFill>
                      <w14:schemeClr w14:val="tx1">
                        <w14:lumMod w14:val="95000"/>
                        <w14:lumOff w14:val="5000"/>
                      </w14:schemeClr>
                    </w14:solidFill>
                  </w14:textFill>
                </w:rPr>
                <m:t>net,ar</m:t>
              </m:r>
              <m:ctrlPr>
                <w:rPr>
                  <w:rFonts w:ascii="Cambria Math" w:hAnsi="Cambria Math" w:cs="Times New Roman"/>
                  <w:i/>
                  <w:color w:val="0D0D0D" w:themeColor="text1" w:themeTint="F2"/>
                  <w14:textFill>
                    <w14:solidFill>
                      <w14:schemeClr w14:val="tx1">
                        <w14:lumMod w14:val="95000"/>
                        <w14:lumOff w14:val="5000"/>
                      </w14:schemeClr>
                    </w14:solidFill>
                  </w14:textFill>
                </w:rPr>
              </m:ctrlPr>
            </m:sub>
          </m:sSub>
          <m:r>
            <m:rPr>
              <m:nor/>
              <m:sty m:val="p"/>
            </m:rPr>
            <w:rPr>
              <w:rFonts w:cs="Times New Roman"/>
              <w:b w:val="0"/>
              <w:i w:val="0"/>
              <w:color w:val="0D0D0D" w:themeColor="text1" w:themeTint="F2"/>
              <w14:textFill>
                <w14:solidFill>
                  <w14:schemeClr w14:val="tx1">
                    <w14:lumMod w14:val="95000"/>
                    <w14:lumOff w14:val="5000"/>
                  </w14:schemeClr>
                </w14:solidFill>
              </w14:textFill>
            </w:rPr>
            <m:t>+0.876</m:t>
          </m:r>
        </m:oMath>
      </m:oMathPara>
    </w:p>
    <w:p w14:paraId="3B90ADFE">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式中：</w:t>
      </w:r>
    </w:p>
    <w:p w14:paraId="386FC510">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Vgy——基准烟气量，Nm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/kg；</w:t>
      </w:r>
    </w:p>
    <w:p w14:paraId="32E7BDD8">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Qnet,ar——固体/液体燃料收到基低位发热量，MJ/kg。</w:t>
      </w:r>
    </w:p>
    <w:p w14:paraId="7F6AE8CC">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经计算，基准烟气量为7.753Nm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/kg。1＃导热油炉基准烟气量为6969.6万Nm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/a，9680Nm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/h；轻组分燃烧新增烟气量为2670.6万Nm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/a，3709.17</w:t>
      </w:r>
      <w:r>
        <w:rPr>
          <w:color w:val="0D0D0D" w:themeColor="text1" w:themeTint="F2"/>
          <w:u w:val="single"/>
          <w14:textFill>
            <w14:solidFill>
              <w14:schemeClr w14:val="tx1">
                <w14:lumMod w14:val="95000"/>
                <w14:lumOff w14:val="5000"/>
              </w14:schemeClr>
            </w14:solidFill>
          </w14:textFill>
        </w:rPr>
        <w:t>Nm</w:t>
      </w:r>
      <w:r>
        <w:rPr>
          <w:color w:val="0D0D0D" w:themeColor="text1" w:themeTint="F2"/>
          <w:u w:val="single"/>
          <w:vertAlign w:val="superscript"/>
          <w14:textFill>
            <w14:solidFill>
              <w14:schemeClr w14:val="tx1">
                <w14:lumMod w14:val="95000"/>
                <w14:lumOff w14:val="5000"/>
              </w14:schemeClr>
            </w14:solidFill>
          </w14:textFill>
        </w:rPr>
        <w:t>3</w:t>
      </w:r>
      <w:r>
        <w:rPr>
          <w:color w:val="0D0D0D" w:themeColor="text1" w:themeTint="F2"/>
          <w:u w:val="single"/>
          <w14:textFill>
            <w14:solidFill>
              <w14:schemeClr w14:val="tx1">
                <w14:lumMod w14:val="95000"/>
                <w14:lumOff w14:val="5000"/>
              </w14:schemeClr>
            </w14:solidFill>
          </w14:textFill>
        </w:rPr>
        <w:t>/h</w:t>
      </w:r>
      <w:r>
        <w:rPr>
          <w:rFonts w:hint="eastAsia"/>
          <w:color w:val="0D0D0D" w:themeColor="text1" w:themeTint="F2"/>
          <w:u w:val="single"/>
          <w14:textFill>
            <w14:solidFill>
              <w14:schemeClr w14:val="tx1">
                <w14:lumMod w14:val="95000"/>
                <w14:lumOff w14:val="5000"/>
              </w14:schemeClr>
            </w14:solidFill>
          </w14:textFill>
        </w:rPr>
        <w:t>，总烟气量为9640.2万Nm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/a，13389.17Nm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/h。2＃导热油炉基准烟气量为5716.8万Nm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/a，7940Nm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/h；全厂导热油炉基准烟气量为15357万Nm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/a，21329.17Nm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/h。根据导热油炉设计资料，1＃导热油炉设计风量为15000m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/h，2＃导热油炉设计风量为10000m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/h，总设计风量为25000m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/h，本次评价按设计风量进行核算。</w:t>
      </w:r>
    </w:p>
    <w:p w14:paraId="4371D870">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③颗粒物</w:t>
      </w:r>
    </w:p>
    <w:p w14:paraId="053B6E2A">
      <w:pPr>
        <w:ind w:firstLine="480" w:firstLineChars="200"/>
        <w:rPr>
          <w:rFonts w:cs="Times New Roman"/>
          <w:iCs/>
          <w:color w:val="0D0D0D" w:themeColor="text1" w:themeTint="F2"/>
          <w14:textFill>
            <w14:solidFill>
              <w14:schemeClr w14:val="tx1">
                <w14:lumMod w14:val="95000"/>
                <w14:lumOff w14:val="5000"/>
              </w14:schemeClr>
            </w14:solidFill>
          </w14:textFill>
        </w:rPr>
      </w:pPr>
      <m:oMathPara>
        <m:oMath>
          <m:sSub>
            <m:sSubPr>
              <m:ctrlPr>
                <w:rPr>
                  <w:rFonts w:ascii="Cambria Math" w:hAnsi="Cambria Math" w:cs="Times New Roman"/>
                  <w:iCs/>
                  <w:color w:val="0D0D0D" w:themeColor="text1" w:themeTint="F2"/>
                  <w14:textFill>
                    <w14:solidFill>
                      <w14:schemeClr w14:val="tx1">
                        <w14:lumMod w14:val="95000"/>
                        <w14:lumOff w14:val="5000"/>
                      </w14:schemeClr>
                    </w14:solidFill>
                  </w14:textFill>
                </w:rPr>
              </m:ctrlPr>
            </m:sSubPr>
            <m:e>
              <m:r>
                <m:rPr>
                  <m:nor/>
                  <m:sty m:val="p"/>
                </m:rPr>
                <w:rPr>
                  <w:rFonts w:cs="Times New Roman"/>
                  <w:b w:val="0"/>
                  <w:i w:val="0"/>
                  <w:iCs/>
                  <w:color w:val="0D0D0D" w:themeColor="text1" w:themeTint="F2"/>
                  <w14:textFill>
                    <w14:solidFill>
                      <w14:schemeClr w14:val="tx1">
                        <w14:lumMod w14:val="95000"/>
                        <w14:lumOff w14:val="5000"/>
                      </w14:schemeClr>
                    </w14:solidFill>
                  </w14:textFill>
                </w:rPr>
                <m:t>E</m:t>
              </m:r>
              <m:ctrlPr>
                <w:rPr>
                  <w:rFonts w:ascii="Cambria Math" w:hAnsi="Cambria Math" w:cs="Times New Roman"/>
                  <w:iCs/>
                  <w:color w:val="0D0D0D" w:themeColor="text1" w:themeTint="F2"/>
                  <w14:textFill>
                    <w14:solidFill>
                      <w14:schemeClr w14:val="tx1">
                        <w14:lumMod w14:val="95000"/>
                        <w14:lumOff w14:val="5000"/>
                      </w14:schemeClr>
                    </w14:solidFill>
                  </w14:textFill>
                </w:rPr>
              </m:ctrlPr>
            </m:e>
            <m:sub>
              <m:r>
                <m:rPr>
                  <m:nor/>
                  <m:sty m:val="p"/>
                </m:rPr>
                <w:rPr>
                  <w:rFonts w:cs="Times New Roman"/>
                  <w:b w:val="0"/>
                  <w:i w:val="0"/>
                  <w:iCs/>
                  <w:color w:val="0D0D0D" w:themeColor="text1" w:themeTint="F2"/>
                  <w14:textFill>
                    <w14:solidFill>
                      <w14:schemeClr w14:val="tx1">
                        <w14:lumMod w14:val="95000"/>
                        <w14:lumOff w14:val="5000"/>
                      </w14:schemeClr>
                    </w14:solidFill>
                  </w14:textFill>
                </w:rPr>
                <m:t>A</m:t>
              </m:r>
              <m:ctrlPr>
                <w:rPr>
                  <w:rFonts w:ascii="Cambria Math" w:hAnsi="Cambria Math" w:cs="Times New Roman"/>
                  <w:iCs/>
                  <w:color w:val="0D0D0D" w:themeColor="text1" w:themeTint="F2"/>
                  <w14:textFill>
                    <w14:solidFill>
                      <w14:schemeClr w14:val="tx1">
                        <w14:lumMod w14:val="95000"/>
                        <w14:lumOff w14:val="5000"/>
                      </w14:schemeClr>
                    </w14:solidFill>
                  </w14:textFill>
                </w:rPr>
              </m:ctrlPr>
            </m:sub>
          </m:sSub>
          <m:r>
            <m:rPr>
              <m:nor/>
              <m:sty m:val="p"/>
            </m:rPr>
            <w:rPr>
              <w:rFonts w:cs="Times New Roman"/>
              <w:b w:val="0"/>
              <w:i w:val="0"/>
              <w:iCs/>
              <w:color w:val="0D0D0D" w:themeColor="text1" w:themeTint="F2"/>
              <w14:textFill>
                <w14:solidFill>
                  <w14:schemeClr w14:val="tx1">
                    <w14:lumMod w14:val="95000"/>
                    <w14:lumOff w14:val="5000"/>
                  </w14:schemeClr>
                </w14:solidFill>
              </w14:textFill>
            </w:rPr>
            <m:t>=</m:t>
          </m:r>
          <m:f>
            <m:fPr>
              <m:ctrlPr>
                <w:rPr>
                  <w:rFonts w:ascii="Cambria Math" w:hAnsi="Cambria Math" w:cs="Times New Roman"/>
                  <w:iCs/>
                  <w:color w:val="0D0D0D" w:themeColor="text1" w:themeTint="F2"/>
                  <w14:textFill>
                    <w14:solidFill>
                      <w14:schemeClr w14:val="tx1">
                        <w14:lumMod w14:val="95000"/>
                        <w14:lumOff w14:val="5000"/>
                      </w14:schemeClr>
                    </w14:solidFill>
                  </w14:textFill>
                </w:rPr>
              </m:ctrlPr>
            </m:fPr>
            <m:num>
              <m:r>
                <m:rPr>
                  <m:nor/>
                  <m:sty m:val="p"/>
                </m:rPr>
                <w:rPr>
                  <w:rFonts w:cs="Times New Roman"/>
                  <w:b w:val="0"/>
                  <w:i w:val="0"/>
                  <w:iCs/>
                  <w:color w:val="0D0D0D" w:themeColor="text1" w:themeTint="F2"/>
                  <w14:textFill>
                    <w14:solidFill>
                      <w14:schemeClr w14:val="tx1">
                        <w14:lumMod w14:val="95000"/>
                        <w14:lumOff w14:val="5000"/>
                      </w14:schemeClr>
                    </w14:solidFill>
                  </w14:textFill>
                </w:rPr>
                <m:t>R×</m:t>
              </m:r>
              <m:f>
                <m:fPr>
                  <m:ctrlPr>
                    <w:rPr>
                      <w:rFonts w:ascii="Cambria Math" w:hAnsi="Cambria Math" w:cs="Times New Roman"/>
                      <w:iCs/>
                      <w:color w:val="0D0D0D" w:themeColor="text1" w:themeTint="F2"/>
                      <w14:textFill>
                        <w14:solidFill>
                          <w14:schemeClr w14:val="tx1">
                            <w14:lumMod w14:val="95000"/>
                            <w14:lumOff w14:val="5000"/>
                          </w14:schemeClr>
                        </w14:solidFill>
                      </w14:textFill>
                    </w:rPr>
                  </m:ctrlPr>
                </m:fPr>
                <m:num>
                  <m:sSub>
                    <m:sSubPr>
                      <m:ctrlPr>
                        <w:rPr>
                          <w:rFonts w:ascii="Cambria Math" w:hAnsi="Cambria Math" w:cs="Times New Roman"/>
                          <w:iCs/>
                          <w:color w:val="0D0D0D" w:themeColor="text1" w:themeTint="F2"/>
                          <w14:textFill>
                            <w14:solidFill>
                              <w14:schemeClr w14:val="tx1">
                                <w14:lumMod w14:val="95000"/>
                                <w14:lumOff w14:val="5000"/>
                              </w14:schemeClr>
                            </w14:solidFill>
                          </w14:textFill>
                        </w:rPr>
                      </m:ctrlPr>
                    </m:sSubPr>
                    <m:e>
                      <m:r>
                        <m:rPr>
                          <m:nor/>
                          <m:sty m:val="p"/>
                        </m:rPr>
                        <w:rPr>
                          <w:rFonts w:cs="Times New Roman"/>
                          <w:b w:val="0"/>
                          <w:i w:val="0"/>
                          <w:iCs/>
                          <w:color w:val="0D0D0D" w:themeColor="text1" w:themeTint="F2"/>
                          <w14:textFill>
                            <w14:solidFill>
                              <w14:schemeClr w14:val="tx1">
                                <w14:lumMod w14:val="95000"/>
                                <w14:lumOff w14:val="5000"/>
                              </w14:schemeClr>
                            </w14:solidFill>
                          </w14:textFill>
                        </w:rPr>
                        <m:t>A</m:t>
                      </m:r>
                      <m:ctrlPr>
                        <w:rPr>
                          <w:rFonts w:ascii="Cambria Math" w:hAnsi="Cambria Math" w:cs="Times New Roman"/>
                          <w:iCs/>
                          <w:color w:val="0D0D0D" w:themeColor="text1" w:themeTint="F2"/>
                          <w14:textFill>
                            <w14:solidFill>
                              <w14:schemeClr w14:val="tx1">
                                <w14:lumMod w14:val="95000"/>
                                <w14:lumOff w14:val="5000"/>
                              </w14:schemeClr>
                            </w14:solidFill>
                          </w14:textFill>
                        </w:rPr>
                      </m:ctrlPr>
                    </m:e>
                    <m:sub>
                      <m:r>
                        <m:rPr>
                          <m:nor/>
                          <m:sty m:val="p"/>
                        </m:rPr>
                        <w:rPr>
                          <w:rFonts w:cs="Times New Roman"/>
                          <w:b w:val="0"/>
                          <w:i w:val="0"/>
                          <w:iCs/>
                          <w:color w:val="0D0D0D" w:themeColor="text1" w:themeTint="F2"/>
                          <w14:textFill>
                            <w14:solidFill>
                              <w14:schemeClr w14:val="tx1">
                                <w14:lumMod w14:val="95000"/>
                                <w14:lumOff w14:val="5000"/>
                              </w14:schemeClr>
                            </w14:solidFill>
                          </w14:textFill>
                        </w:rPr>
                        <m:t>ar</m:t>
                      </m:r>
                      <m:ctrlPr>
                        <w:rPr>
                          <w:rFonts w:ascii="Cambria Math" w:hAnsi="Cambria Math" w:cs="Times New Roman"/>
                          <w:iCs/>
                          <w:color w:val="0D0D0D" w:themeColor="text1" w:themeTint="F2"/>
                          <w14:textFill>
                            <w14:solidFill>
                              <w14:schemeClr w14:val="tx1">
                                <w14:lumMod w14:val="95000"/>
                                <w14:lumOff w14:val="5000"/>
                              </w14:schemeClr>
                            </w14:solidFill>
                          </w14:textFill>
                        </w:rPr>
                      </m:ctrlPr>
                    </m:sub>
                  </m:sSub>
                  <m:ctrlPr>
                    <w:rPr>
                      <w:rFonts w:ascii="Cambria Math" w:hAnsi="Cambria Math" w:cs="Times New Roman"/>
                      <w:iCs/>
                      <w:color w:val="0D0D0D" w:themeColor="text1" w:themeTint="F2"/>
                      <w14:textFill>
                        <w14:solidFill>
                          <w14:schemeClr w14:val="tx1">
                            <w14:lumMod w14:val="95000"/>
                            <w14:lumOff w14:val="5000"/>
                          </w14:schemeClr>
                        </w14:solidFill>
                      </w14:textFill>
                    </w:rPr>
                  </m:ctrlPr>
                </m:num>
                <m:den>
                  <m:r>
                    <m:rPr>
                      <m:nor/>
                      <m:sty m:val="p"/>
                    </m:rPr>
                    <w:rPr>
                      <w:rFonts w:cs="Times New Roman"/>
                      <w:b w:val="0"/>
                      <w:i w:val="0"/>
                      <w:iCs/>
                      <w:color w:val="0D0D0D" w:themeColor="text1" w:themeTint="F2"/>
                      <w14:textFill>
                        <w14:solidFill>
                          <w14:schemeClr w14:val="tx1">
                            <w14:lumMod w14:val="95000"/>
                            <w14:lumOff w14:val="5000"/>
                          </w14:schemeClr>
                        </w14:solidFill>
                      </w14:textFill>
                    </w:rPr>
                    <m:t>100</m:t>
                  </m:r>
                  <m:ctrlPr>
                    <w:rPr>
                      <w:rFonts w:ascii="Cambria Math" w:hAnsi="Cambria Math" w:cs="Times New Roman"/>
                      <w:iCs/>
                      <w:color w:val="0D0D0D" w:themeColor="text1" w:themeTint="F2"/>
                      <w14:textFill>
                        <w14:solidFill>
                          <w14:schemeClr w14:val="tx1">
                            <w14:lumMod w14:val="95000"/>
                            <w14:lumOff w14:val="5000"/>
                          </w14:schemeClr>
                        </w14:solidFill>
                      </w14:textFill>
                    </w:rPr>
                  </m:ctrlPr>
                </m:den>
              </m:f>
              <m:r>
                <m:rPr>
                  <m:nor/>
                  <m:sty m:val="p"/>
                </m:rPr>
                <w:rPr>
                  <w:rFonts w:cs="Times New Roman"/>
                  <w:b w:val="0"/>
                  <w:i w:val="0"/>
                  <w:iCs/>
                  <w:color w:val="0D0D0D" w:themeColor="text1" w:themeTint="F2"/>
                  <w14:textFill>
                    <w14:solidFill>
                      <w14:schemeClr w14:val="tx1">
                        <w14:lumMod w14:val="95000"/>
                        <w14:lumOff w14:val="5000"/>
                      </w14:schemeClr>
                    </w14:solidFill>
                  </w14:textFill>
                </w:rPr>
                <m:t>×</m:t>
              </m:r>
              <m:f>
                <m:fPr>
                  <m:ctrlPr>
                    <w:rPr>
                      <w:rFonts w:ascii="Cambria Math" w:hAnsi="Cambria Math" w:cs="Times New Roman"/>
                      <w:iCs/>
                      <w:color w:val="0D0D0D" w:themeColor="text1" w:themeTint="F2"/>
                      <w14:textFill>
                        <w14:solidFill>
                          <w14:schemeClr w14:val="tx1">
                            <w14:lumMod w14:val="95000"/>
                            <w14:lumOff w14:val="5000"/>
                          </w14:schemeClr>
                        </w14:solidFill>
                      </w14:textFill>
                    </w:rPr>
                  </m:ctrlPr>
                </m:fPr>
                <m:num>
                  <m:sSub>
                    <m:sSubPr>
                      <m:ctrlPr>
                        <w:rPr>
                          <w:rFonts w:ascii="Cambria Math" w:hAnsi="Cambria Math" w:cs="Times New Roman"/>
                          <w:iCs/>
                          <w:color w:val="0D0D0D" w:themeColor="text1" w:themeTint="F2"/>
                          <w14:textFill>
                            <w14:solidFill>
                              <w14:schemeClr w14:val="tx1">
                                <w14:lumMod w14:val="95000"/>
                                <w14:lumOff w14:val="5000"/>
                              </w14:schemeClr>
                            </w14:solidFill>
                          </w14:textFill>
                        </w:rPr>
                      </m:ctrlPr>
                    </m:sSubPr>
                    <m:e>
                      <m:r>
                        <m:rPr>
                          <m:nor/>
                          <m:sty m:val="p"/>
                        </m:rPr>
                        <w:rPr>
                          <w:rFonts w:cs="Times New Roman"/>
                          <w:b w:val="0"/>
                          <w:i w:val="0"/>
                          <w:iCs/>
                          <w:color w:val="0D0D0D" w:themeColor="text1" w:themeTint="F2"/>
                          <w14:textFill>
                            <w14:solidFill>
                              <w14:schemeClr w14:val="tx1">
                                <w14:lumMod w14:val="95000"/>
                                <w14:lumOff w14:val="5000"/>
                              </w14:schemeClr>
                            </w14:solidFill>
                          </w14:textFill>
                        </w:rPr>
                        <m:t>d</m:t>
                      </m:r>
                      <m:ctrlPr>
                        <w:rPr>
                          <w:rFonts w:ascii="Cambria Math" w:hAnsi="Cambria Math" w:cs="Times New Roman"/>
                          <w:iCs/>
                          <w:color w:val="0D0D0D" w:themeColor="text1" w:themeTint="F2"/>
                          <w14:textFill>
                            <w14:solidFill>
                              <w14:schemeClr w14:val="tx1">
                                <w14:lumMod w14:val="95000"/>
                                <w14:lumOff w14:val="5000"/>
                              </w14:schemeClr>
                            </w14:solidFill>
                          </w14:textFill>
                        </w:rPr>
                      </m:ctrlPr>
                    </m:e>
                    <m:sub>
                      <m:r>
                        <m:rPr>
                          <m:nor/>
                          <m:sty m:val="p"/>
                        </m:rPr>
                        <w:rPr>
                          <w:rFonts w:cs="Times New Roman"/>
                          <w:b w:val="0"/>
                          <w:i w:val="0"/>
                          <w:iCs/>
                          <w:color w:val="0D0D0D" w:themeColor="text1" w:themeTint="F2"/>
                          <w14:textFill>
                            <w14:solidFill>
                              <w14:schemeClr w14:val="tx1">
                                <w14:lumMod w14:val="95000"/>
                                <w14:lumOff w14:val="5000"/>
                              </w14:schemeClr>
                            </w14:solidFill>
                          </w14:textFill>
                        </w:rPr>
                        <m:t>fh</m:t>
                      </m:r>
                      <m:ctrlPr>
                        <w:rPr>
                          <w:rFonts w:ascii="Cambria Math" w:hAnsi="Cambria Math" w:cs="Times New Roman"/>
                          <w:iCs/>
                          <w:color w:val="0D0D0D" w:themeColor="text1" w:themeTint="F2"/>
                          <w14:textFill>
                            <w14:solidFill>
                              <w14:schemeClr w14:val="tx1">
                                <w14:lumMod w14:val="95000"/>
                                <w14:lumOff w14:val="5000"/>
                              </w14:schemeClr>
                            </w14:solidFill>
                          </w14:textFill>
                        </w:rPr>
                      </m:ctrlPr>
                    </m:sub>
                  </m:sSub>
                  <m:ctrlPr>
                    <w:rPr>
                      <w:rFonts w:ascii="Cambria Math" w:hAnsi="Cambria Math" w:cs="Times New Roman"/>
                      <w:iCs/>
                      <w:color w:val="0D0D0D" w:themeColor="text1" w:themeTint="F2"/>
                      <w14:textFill>
                        <w14:solidFill>
                          <w14:schemeClr w14:val="tx1">
                            <w14:lumMod w14:val="95000"/>
                            <w14:lumOff w14:val="5000"/>
                          </w14:schemeClr>
                        </w14:solidFill>
                      </w14:textFill>
                    </w:rPr>
                  </m:ctrlPr>
                </m:num>
                <m:den>
                  <m:r>
                    <m:rPr>
                      <m:nor/>
                      <m:sty m:val="p"/>
                    </m:rPr>
                    <w:rPr>
                      <w:rFonts w:cs="Times New Roman"/>
                      <w:b w:val="0"/>
                      <w:i w:val="0"/>
                      <w:iCs/>
                      <w:color w:val="0D0D0D" w:themeColor="text1" w:themeTint="F2"/>
                      <w14:textFill>
                        <w14:solidFill>
                          <w14:schemeClr w14:val="tx1">
                            <w14:lumMod w14:val="95000"/>
                            <w14:lumOff w14:val="5000"/>
                          </w14:schemeClr>
                        </w14:solidFill>
                      </w14:textFill>
                    </w:rPr>
                    <m:t>100</m:t>
                  </m:r>
                  <m:ctrlPr>
                    <w:rPr>
                      <w:rFonts w:ascii="Cambria Math" w:hAnsi="Cambria Math" w:cs="Times New Roman"/>
                      <w:iCs/>
                      <w:color w:val="0D0D0D" w:themeColor="text1" w:themeTint="F2"/>
                      <w14:textFill>
                        <w14:solidFill>
                          <w14:schemeClr w14:val="tx1">
                            <w14:lumMod w14:val="95000"/>
                            <w14:lumOff w14:val="5000"/>
                          </w14:schemeClr>
                        </w14:solidFill>
                      </w14:textFill>
                    </w:rPr>
                  </m:ctrlPr>
                </m:den>
              </m:f>
              <m:r>
                <m:rPr>
                  <m:nor/>
                  <m:sty m:val="p"/>
                </m:rPr>
                <w:rPr>
                  <w:rFonts w:cs="Times New Roman"/>
                  <w:b w:val="0"/>
                  <w:i w:val="0"/>
                  <w:iCs/>
                  <w:color w:val="0D0D0D" w:themeColor="text1" w:themeTint="F2"/>
                  <w14:textFill>
                    <w14:solidFill>
                      <w14:schemeClr w14:val="tx1">
                        <w14:lumMod w14:val="95000"/>
                        <w14:lumOff w14:val="5000"/>
                      </w14:schemeClr>
                    </w14:solidFill>
                  </w14:textFill>
                </w:rPr>
                <m:t>×（1-</m:t>
              </m:r>
              <m:f>
                <m:fPr>
                  <m:ctrlPr>
                    <w:rPr>
                      <w:rFonts w:ascii="Cambria Math" w:hAnsi="Cambria Math" w:cs="Times New Roman"/>
                      <w:iCs/>
                      <w:color w:val="0D0D0D" w:themeColor="text1" w:themeTint="F2"/>
                      <w14:textFill>
                        <w14:solidFill>
                          <w14:schemeClr w14:val="tx1">
                            <w14:lumMod w14:val="95000"/>
                            <w14:lumOff w14:val="5000"/>
                          </w14:schemeClr>
                        </w14:solidFill>
                      </w14:textFill>
                    </w:rPr>
                  </m:ctrlPr>
                </m:fPr>
                <m:num>
                  <m:sSub>
                    <m:sSubPr>
                      <m:ctrlPr>
                        <w:rPr>
                          <w:rFonts w:ascii="Cambria Math" w:hAnsi="Cambria Math" w:cs="Times New Roman"/>
                          <w:iCs/>
                          <w:color w:val="0D0D0D" w:themeColor="text1" w:themeTint="F2"/>
                          <w14:textFill>
                            <w14:solidFill>
                              <w14:schemeClr w14:val="tx1">
                                <w14:lumMod w14:val="95000"/>
                                <w14:lumOff w14:val="5000"/>
                              </w14:schemeClr>
                            </w14:solidFill>
                          </w14:textFill>
                        </w:rPr>
                      </m:ctrlPr>
                    </m:sSubPr>
                    <m:e>
                      <m:r>
                        <m:rPr>
                          <m:nor/>
                          <m:sty m:val="p"/>
                        </m:rPr>
                        <w:rPr>
                          <w:rFonts w:cs="Times New Roman"/>
                          <w:b w:val="0"/>
                          <w:i w:val="0"/>
                          <w:iCs/>
                          <w:color w:val="0D0D0D" w:themeColor="text1" w:themeTint="F2"/>
                          <w14:textFill>
                            <w14:solidFill>
                              <w14:schemeClr w14:val="tx1">
                                <w14:lumMod w14:val="95000"/>
                                <w14:lumOff w14:val="5000"/>
                              </w14:schemeClr>
                            </w14:solidFill>
                          </w14:textFill>
                        </w:rPr>
                        <m:t>η</m:t>
                      </m:r>
                      <m:ctrlPr>
                        <w:rPr>
                          <w:rFonts w:ascii="Cambria Math" w:hAnsi="Cambria Math" w:cs="Times New Roman"/>
                          <w:iCs/>
                          <w:color w:val="0D0D0D" w:themeColor="text1" w:themeTint="F2"/>
                          <w14:textFill>
                            <w14:solidFill>
                              <w14:schemeClr w14:val="tx1">
                                <w14:lumMod w14:val="95000"/>
                                <w14:lumOff w14:val="5000"/>
                              </w14:schemeClr>
                            </w14:solidFill>
                          </w14:textFill>
                        </w:rPr>
                      </m:ctrlPr>
                    </m:e>
                    <m:sub>
                      <m:r>
                        <m:rPr>
                          <m:nor/>
                          <m:sty m:val="p"/>
                        </m:rPr>
                        <w:rPr>
                          <w:rFonts w:cs="Times New Roman"/>
                          <w:b w:val="0"/>
                          <w:i w:val="0"/>
                          <w:iCs/>
                          <w:color w:val="0D0D0D" w:themeColor="text1" w:themeTint="F2"/>
                          <w14:textFill>
                            <w14:solidFill>
                              <w14:schemeClr w14:val="tx1">
                                <w14:lumMod w14:val="95000"/>
                                <w14:lumOff w14:val="5000"/>
                              </w14:schemeClr>
                            </w14:solidFill>
                          </w14:textFill>
                        </w:rPr>
                        <m:t>c</m:t>
                      </m:r>
                      <m:ctrlPr>
                        <w:rPr>
                          <w:rFonts w:ascii="Cambria Math" w:hAnsi="Cambria Math" w:cs="Times New Roman"/>
                          <w:iCs/>
                          <w:color w:val="0D0D0D" w:themeColor="text1" w:themeTint="F2"/>
                          <w14:textFill>
                            <w14:solidFill>
                              <w14:schemeClr w14:val="tx1">
                                <w14:lumMod w14:val="95000"/>
                                <w14:lumOff w14:val="5000"/>
                              </w14:schemeClr>
                            </w14:solidFill>
                          </w14:textFill>
                        </w:rPr>
                      </m:ctrlPr>
                    </m:sub>
                  </m:sSub>
                  <m:ctrlPr>
                    <w:rPr>
                      <w:rFonts w:ascii="Cambria Math" w:hAnsi="Cambria Math" w:cs="Times New Roman"/>
                      <w:iCs/>
                      <w:color w:val="0D0D0D" w:themeColor="text1" w:themeTint="F2"/>
                      <w14:textFill>
                        <w14:solidFill>
                          <w14:schemeClr w14:val="tx1">
                            <w14:lumMod w14:val="95000"/>
                            <w14:lumOff w14:val="5000"/>
                          </w14:schemeClr>
                        </w14:solidFill>
                      </w14:textFill>
                    </w:rPr>
                  </m:ctrlPr>
                </m:num>
                <m:den>
                  <m:r>
                    <m:rPr>
                      <m:nor/>
                      <m:sty m:val="p"/>
                    </m:rPr>
                    <w:rPr>
                      <w:rFonts w:cs="Times New Roman"/>
                      <w:b w:val="0"/>
                      <w:i w:val="0"/>
                      <w:iCs/>
                      <w:color w:val="0D0D0D" w:themeColor="text1" w:themeTint="F2"/>
                      <w14:textFill>
                        <w14:solidFill>
                          <w14:schemeClr w14:val="tx1">
                            <w14:lumMod w14:val="95000"/>
                            <w14:lumOff w14:val="5000"/>
                          </w14:schemeClr>
                        </w14:solidFill>
                      </w14:textFill>
                    </w:rPr>
                    <m:t>100</m:t>
                  </m:r>
                  <m:ctrlPr>
                    <w:rPr>
                      <w:rFonts w:ascii="Cambria Math" w:hAnsi="Cambria Math" w:cs="Times New Roman"/>
                      <w:iCs/>
                      <w:color w:val="0D0D0D" w:themeColor="text1" w:themeTint="F2"/>
                      <w14:textFill>
                        <w14:solidFill>
                          <w14:schemeClr w14:val="tx1">
                            <w14:lumMod w14:val="95000"/>
                            <w14:lumOff w14:val="5000"/>
                          </w14:schemeClr>
                        </w14:solidFill>
                      </w14:textFill>
                    </w:rPr>
                  </m:ctrlPr>
                </m:den>
              </m:f>
              <m:r>
                <m:rPr>
                  <m:nor/>
                  <m:sty m:val="p"/>
                </m:rPr>
                <w:rPr>
                  <w:rFonts w:cs="Times New Roman"/>
                  <w:b w:val="0"/>
                  <w:i w:val="0"/>
                  <w:iCs/>
                  <w:color w:val="0D0D0D" w:themeColor="text1" w:themeTint="F2"/>
                  <w14:textFill>
                    <w14:solidFill>
                      <w14:schemeClr w14:val="tx1">
                        <w14:lumMod w14:val="95000"/>
                        <w14:lumOff w14:val="5000"/>
                      </w14:schemeClr>
                    </w14:solidFill>
                  </w14:textFill>
                </w:rPr>
                <m:t>）</m:t>
              </m:r>
              <m:ctrlPr>
                <w:rPr>
                  <w:rFonts w:ascii="Cambria Math" w:hAnsi="Cambria Math" w:cs="Times New Roman"/>
                  <w:iCs/>
                  <w:color w:val="0D0D0D" w:themeColor="text1" w:themeTint="F2"/>
                  <w14:textFill>
                    <w14:solidFill>
                      <w14:schemeClr w14:val="tx1">
                        <w14:lumMod w14:val="95000"/>
                        <w14:lumOff w14:val="5000"/>
                      </w14:schemeClr>
                    </w14:solidFill>
                  </w14:textFill>
                </w:rPr>
              </m:ctrlPr>
            </m:num>
            <m:den>
              <m:r>
                <m:rPr>
                  <m:nor/>
                  <m:sty m:val="p"/>
                </m:rPr>
                <w:rPr>
                  <w:rFonts w:cs="Times New Roman"/>
                  <w:b w:val="0"/>
                  <w:i w:val="0"/>
                  <w:iCs/>
                  <w:color w:val="0D0D0D" w:themeColor="text1" w:themeTint="F2"/>
                  <w14:textFill>
                    <w14:solidFill>
                      <w14:schemeClr w14:val="tx1">
                        <w14:lumMod w14:val="95000"/>
                        <w14:lumOff w14:val="5000"/>
                      </w14:schemeClr>
                    </w14:solidFill>
                  </w14:textFill>
                </w:rPr>
                <m:t>1-</m:t>
              </m:r>
              <m:f>
                <m:fPr>
                  <m:ctrlPr>
                    <w:rPr>
                      <w:rFonts w:ascii="Cambria Math" w:hAnsi="Cambria Math" w:cs="Times New Roman"/>
                      <w:iCs/>
                      <w:color w:val="0D0D0D" w:themeColor="text1" w:themeTint="F2"/>
                      <w14:textFill>
                        <w14:solidFill>
                          <w14:schemeClr w14:val="tx1">
                            <w14:lumMod w14:val="95000"/>
                            <w14:lumOff w14:val="5000"/>
                          </w14:schemeClr>
                        </w14:solidFill>
                      </w14:textFill>
                    </w:rPr>
                  </m:ctrlPr>
                </m:fPr>
                <m:num>
                  <m:sSub>
                    <m:sSubPr>
                      <m:ctrlPr>
                        <w:rPr>
                          <w:rFonts w:ascii="Cambria Math" w:hAnsi="Cambria Math" w:cs="Times New Roman"/>
                          <w:iCs/>
                          <w:color w:val="0D0D0D" w:themeColor="text1" w:themeTint="F2"/>
                          <w14:textFill>
                            <w14:solidFill>
                              <w14:schemeClr w14:val="tx1">
                                <w14:lumMod w14:val="95000"/>
                                <w14:lumOff w14:val="5000"/>
                              </w14:schemeClr>
                            </w14:solidFill>
                          </w14:textFill>
                        </w:rPr>
                      </m:ctrlPr>
                    </m:sSubPr>
                    <m:e>
                      <m:r>
                        <m:rPr>
                          <m:nor/>
                          <m:sty m:val="p"/>
                        </m:rPr>
                        <w:rPr>
                          <w:rFonts w:cs="Times New Roman"/>
                          <w:b w:val="0"/>
                          <w:i w:val="0"/>
                          <w:iCs/>
                          <w:color w:val="0D0D0D" w:themeColor="text1" w:themeTint="F2"/>
                          <w14:textFill>
                            <w14:solidFill>
                              <w14:schemeClr w14:val="tx1">
                                <w14:lumMod w14:val="95000"/>
                                <w14:lumOff w14:val="5000"/>
                              </w14:schemeClr>
                            </w14:solidFill>
                          </w14:textFill>
                        </w:rPr>
                        <m:t>C</m:t>
                      </m:r>
                      <m:ctrlPr>
                        <w:rPr>
                          <w:rFonts w:ascii="Cambria Math" w:hAnsi="Cambria Math" w:cs="Times New Roman"/>
                          <w:iCs/>
                          <w:color w:val="0D0D0D" w:themeColor="text1" w:themeTint="F2"/>
                          <w14:textFill>
                            <w14:solidFill>
                              <w14:schemeClr w14:val="tx1">
                                <w14:lumMod w14:val="95000"/>
                                <w14:lumOff w14:val="5000"/>
                              </w14:schemeClr>
                            </w14:solidFill>
                          </w14:textFill>
                        </w:rPr>
                      </m:ctrlPr>
                    </m:e>
                    <m:sub>
                      <m:r>
                        <m:rPr>
                          <m:nor/>
                          <m:sty m:val="p"/>
                        </m:rPr>
                        <w:rPr>
                          <w:rFonts w:cs="Times New Roman"/>
                          <w:b w:val="0"/>
                          <w:i w:val="0"/>
                          <w:iCs/>
                          <w:color w:val="0D0D0D" w:themeColor="text1" w:themeTint="F2"/>
                          <w14:textFill>
                            <w14:solidFill>
                              <w14:schemeClr w14:val="tx1">
                                <w14:lumMod w14:val="95000"/>
                                <w14:lumOff w14:val="5000"/>
                              </w14:schemeClr>
                            </w14:solidFill>
                          </w14:textFill>
                        </w:rPr>
                        <m:t>fh</m:t>
                      </m:r>
                      <m:ctrlPr>
                        <w:rPr>
                          <w:rFonts w:ascii="Cambria Math" w:hAnsi="Cambria Math" w:cs="Times New Roman"/>
                          <w:iCs/>
                          <w:color w:val="0D0D0D" w:themeColor="text1" w:themeTint="F2"/>
                          <w14:textFill>
                            <w14:solidFill>
                              <w14:schemeClr w14:val="tx1">
                                <w14:lumMod w14:val="95000"/>
                                <w14:lumOff w14:val="5000"/>
                              </w14:schemeClr>
                            </w14:solidFill>
                          </w14:textFill>
                        </w:rPr>
                      </m:ctrlPr>
                    </m:sub>
                  </m:sSub>
                  <m:ctrlPr>
                    <w:rPr>
                      <w:rFonts w:ascii="Cambria Math" w:hAnsi="Cambria Math" w:cs="Times New Roman"/>
                      <w:iCs/>
                      <w:color w:val="0D0D0D" w:themeColor="text1" w:themeTint="F2"/>
                      <w14:textFill>
                        <w14:solidFill>
                          <w14:schemeClr w14:val="tx1">
                            <w14:lumMod w14:val="95000"/>
                            <w14:lumOff w14:val="5000"/>
                          </w14:schemeClr>
                        </w14:solidFill>
                      </w14:textFill>
                    </w:rPr>
                  </m:ctrlPr>
                </m:num>
                <m:den>
                  <m:r>
                    <m:rPr>
                      <m:nor/>
                      <m:sty m:val="p"/>
                    </m:rPr>
                    <w:rPr>
                      <w:rFonts w:cs="Times New Roman"/>
                      <w:b w:val="0"/>
                      <w:i w:val="0"/>
                      <w:iCs/>
                      <w:color w:val="0D0D0D" w:themeColor="text1" w:themeTint="F2"/>
                      <w14:textFill>
                        <w14:solidFill>
                          <w14:schemeClr w14:val="tx1">
                            <w14:lumMod w14:val="95000"/>
                            <w14:lumOff w14:val="5000"/>
                          </w14:schemeClr>
                        </w14:solidFill>
                      </w14:textFill>
                    </w:rPr>
                    <m:t>100</m:t>
                  </m:r>
                  <m:ctrlPr>
                    <w:rPr>
                      <w:rFonts w:ascii="Cambria Math" w:hAnsi="Cambria Math" w:cs="Times New Roman"/>
                      <w:iCs/>
                      <w:color w:val="0D0D0D" w:themeColor="text1" w:themeTint="F2"/>
                      <w14:textFill>
                        <w14:solidFill>
                          <w14:schemeClr w14:val="tx1">
                            <w14:lumMod w14:val="95000"/>
                            <w14:lumOff w14:val="5000"/>
                          </w14:schemeClr>
                        </w14:solidFill>
                      </w14:textFill>
                    </w:rPr>
                  </m:ctrlPr>
                </m:den>
              </m:f>
              <m:ctrlPr>
                <w:rPr>
                  <w:rFonts w:ascii="Cambria Math" w:hAnsi="Cambria Math" w:cs="Times New Roman"/>
                  <w:iCs/>
                  <w:color w:val="0D0D0D" w:themeColor="text1" w:themeTint="F2"/>
                  <w14:textFill>
                    <w14:solidFill>
                      <w14:schemeClr w14:val="tx1">
                        <w14:lumMod w14:val="95000"/>
                        <w14:lumOff w14:val="5000"/>
                      </w14:schemeClr>
                    </w14:solidFill>
                  </w14:textFill>
                </w:rPr>
              </m:ctrlPr>
            </m:den>
          </m:f>
        </m:oMath>
      </m:oMathPara>
    </w:p>
    <w:p w14:paraId="53FDFDE0">
      <w:pPr>
        <w:ind w:firstLine="480" w:firstLineChars="200"/>
        <w:rPr>
          <w:color w:val="0D0D0D" w:themeColor="text1" w:themeTint="F2"/>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式中：</w:t>
      </w:r>
    </w:p>
    <w:p w14:paraId="52015DB0">
      <w:pPr>
        <w:ind w:firstLine="480" w:firstLineChars="200"/>
        <w:rPr>
          <w:color w:val="0D0D0D" w:themeColor="text1" w:themeTint="F2"/>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EA——核算时段内颗粒物（烟尘）排放量，t；</w:t>
      </w:r>
    </w:p>
    <w:p w14:paraId="19740554">
      <w:pPr>
        <w:ind w:firstLine="480" w:firstLineChars="200"/>
        <w:rPr>
          <w:color w:val="0D0D0D" w:themeColor="text1" w:themeTint="F2"/>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R——核算时段内锅炉燃料耗量，t</w:t>
      </w:r>
      <w:r>
        <w:rPr>
          <w:rFonts w:hint="eastAsia"/>
          <w:color w:val="0D0D0D" w:themeColor="text1" w:themeTint="F2"/>
          <w:u w:val="single"/>
          <w14:textFill>
            <w14:solidFill>
              <w14:schemeClr w14:val="tx1">
                <w14:lumMod w14:val="95000"/>
                <w14:lumOff w14:val="5000"/>
              </w14:schemeClr>
            </w14:solidFill>
          </w14:textFill>
        </w:rPr>
        <w:t>，1＃导热油炉为8986，2＃导热油炉为7373，全厂导热油炉为16359</w:t>
      </w:r>
      <w:r>
        <w:rPr>
          <w:color w:val="0D0D0D" w:themeColor="text1" w:themeTint="F2"/>
          <w:u w:val="single"/>
          <w14:textFill>
            <w14:solidFill>
              <w14:schemeClr w14:val="tx1">
                <w14:lumMod w14:val="95000"/>
                <w14:lumOff w14:val="5000"/>
              </w14:schemeClr>
            </w14:solidFill>
          </w14:textFill>
        </w:rPr>
        <w:t>；</w:t>
      </w:r>
    </w:p>
    <w:p w14:paraId="12FD1992">
      <w:pPr>
        <w:ind w:firstLine="480" w:firstLineChars="200"/>
        <w:rPr>
          <w:color w:val="0D0D0D" w:themeColor="text1" w:themeTint="F2"/>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Aar——收到基灰分的质量分数，%</w:t>
      </w:r>
      <w:r>
        <w:rPr>
          <w:rFonts w:hint="eastAsia"/>
          <w:color w:val="0D0D0D" w:themeColor="text1" w:themeTint="F2"/>
          <w:u w:val="single"/>
          <w14:textFill>
            <w14:solidFill>
              <w14:schemeClr w14:val="tx1">
                <w14:lumMod w14:val="95000"/>
                <w14:lumOff w14:val="5000"/>
              </w14:schemeClr>
            </w14:solidFill>
          </w14:textFill>
        </w:rPr>
        <w:t>，</w:t>
      </w:r>
      <w:r>
        <w:rPr>
          <w:color w:val="0D0D0D" w:themeColor="text1" w:themeTint="F2"/>
          <w:u w:val="single"/>
          <w14:textFill>
            <w14:solidFill>
              <w14:schemeClr w14:val="tx1">
                <w14:lumMod w14:val="95000"/>
                <w14:lumOff w14:val="5000"/>
              </w14:schemeClr>
            </w14:solidFill>
          </w14:textFill>
        </w:rPr>
        <w:t>生物质燃料收到基灰</w:t>
      </w:r>
      <w:r>
        <w:rPr>
          <w:rFonts w:hint="eastAsia"/>
          <w:color w:val="0D0D0D" w:themeColor="text1" w:themeTint="F2"/>
          <w:u w:val="single"/>
          <w14:textFill>
            <w14:solidFill>
              <w14:schemeClr w14:val="tx1">
                <w14:lumMod w14:val="95000"/>
                <w14:lumOff w14:val="5000"/>
              </w14:schemeClr>
            </w14:solidFill>
          </w14:textFill>
        </w:rPr>
        <w:t>分为3%；</w:t>
      </w:r>
    </w:p>
    <w:p w14:paraId="12CAB668">
      <w:pPr>
        <w:ind w:firstLine="480" w:firstLineChars="200"/>
        <w:rPr>
          <w:color w:val="0D0D0D" w:themeColor="text1" w:themeTint="F2"/>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dfh——锅炉烟气带出的飞灰份额，%</w:t>
      </w:r>
      <w:r>
        <w:rPr>
          <w:rFonts w:hint="eastAsia"/>
          <w:color w:val="0D0D0D" w:themeColor="text1" w:themeTint="F2"/>
          <w:u w:val="single"/>
          <w14:textFill>
            <w14:solidFill>
              <w14:schemeClr w14:val="tx1">
                <w14:lumMod w14:val="95000"/>
                <w14:lumOff w14:val="5000"/>
              </w14:schemeClr>
            </w14:solidFill>
          </w14:textFill>
        </w:rPr>
        <w:t>，参照</w:t>
      </w:r>
      <w:r>
        <w:rPr>
          <w:color w:val="0D0D0D" w:themeColor="text1" w:themeTint="F2"/>
          <w:u w:val="single"/>
          <w14:textFill>
            <w14:solidFill>
              <w14:schemeClr w14:val="tx1">
                <w14:lumMod w14:val="95000"/>
                <w14:lumOff w14:val="5000"/>
              </w14:schemeClr>
            </w14:solidFill>
          </w14:textFill>
        </w:rPr>
        <w:t>HJ991表B.2</w:t>
      </w:r>
      <w:r>
        <w:rPr>
          <w:rFonts w:hint="eastAsia"/>
          <w:color w:val="0D0D0D" w:themeColor="text1" w:themeTint="F2"/>
          <w:u w:val="single"/>
          <w14:textFill>
            <w14:solidFill>
              <w14:schemeClr w14:val="tx1">
                <w14:lumMod w14:val="95000"/>
                <w14:lumOff w14:val="5000"/>
              </w14:schemeClr>
            </w14:solidFill>
          </w14:textFill>
        </w:rPr>
        <w:t>，链条炉</w:t>
      </w:r>
      <w:r>
        <w:rPr>
          <w:color w:val="0D0D0D" w:themeColor="text1" w:themeTint="F2"/>
          <w:u w:val="single"/>
          <w14:textFill>
            <w14:solidFill>
              <w14:schemeClr w14:val="tx1">
                <w14:lumMod w14:val="95000"/>
                <w14:lumOff w14:val="5000"/>
              </w14:schemeClr>
            </w14:solidFill>
          </w14:textFill>
        </w:rPr>
        <w:t>取值</w:t>
      </w:r>
      <w:r>
        <w:rPr>
          <w:rFonts w:hint="eastAsia"/>
          <w:color w:val="0D0D0D" w:themeColor="text1" w:themeTint="F2"/>
          <w:u w:val="single"/>
          <w14:textFill>
            <w14:solidFill>
              <w14:schemeClr w14:val="tx1">
                <w14:lumMod w14:val="95000"/>
                <w14:lumOff w14:val="5000"/>
              </w14:schemeClr>
            </w14:solidFill>
          </w14:textFill>
        </w:rPr>
        <w:t>10</w:t>
      </w:r>
      <w:r>
        <w:rPr>
          <w:color w:val="0D0D0D" w:themeColor="text1" w:themeTint="F2"/>
          <w:u w:val="single"/>
          <w14:textFill>
            <w14:solidFill>
              <w14:schemeClr w14:val="tx1">
                <w14:lumMod w14:val="95000"/>
                <w14:lumOff w14:val="5000"/>
              </w14:schemeClr>
            </w14:solidFill>
          </w14:textFill>
        </w:rPr>
        <w:t>%~</w:t>
      </w:r>
      <w:r>
        <w:rPr>
          <w:rFonts w:hint="eastAsia"/>
          <w:color w:val="0D0D0D" w:themeColor="text1" w:themeTint="F2"/>
          <w:u w:val="single"/>
          <w14:textFill>
            <w14:solidFill>
              <w14:schemeClr w14:val="tx1">
                <w14:lumMod w14:val="95000"/>
                <w14:lumOff w14:val="5000"/>
              </w14:schemeClr>
            </w14:solidFill>
          </w14:textFill>
        </w:rPr>
        <w:t>20</w:t>
      </w:r>
      <w:r>
        <w:rPr>
          <w:color w:val="0D0D0D" w:themeColor="text1" w:themeTint="F2"/>
          <w:u w:val="single"/>
          <w14:textFill>
            <w14:solidFill>
              <w14:schemeClr w14:val="tx1">
                <w14:lumMod w14:val="95000"/>
                <w14:lumOff w14:val="5000"/>
              </w14:schemeClr>
            </w14:solidFill>
          </w14:textFill>
        </w:rPr>
        <w:t>%，</w:t>
      </w:r>
      <w:r>
        <w:rPr>
          <w:rFonts w:hint="eastAsia"/>
          <w:color w:val="0D0D0D" w:themeColor="text1" w:themeTint="F2"/>
          <w:u w:val="single"/>
          <w14:textFill>
            <w14:solidFill>
              <w14:schemeClr w14:val="tx1">
                <w14:lumMod w14:val="95000"/>
                <w14:lumOff w14:val="5000"/>
              </w14:schemeClr>
            </w14:solidFill>
          </w14:textFill>
        </w:rPr>
        <w:t>本次评价取平均值15%，</w:t>
      </w:r>
      <w:r>
        <w:rPr>
          <w:color w:val="0D0D0D" w:themeColor="text1" w:themeTint="F2"/>
          <w:u w:val="single"/>
          <w14:textFill>
            <w14:solidFill>
              <w14:schemeClr w14:val="tx1">
                <w14:lumMod w14:val="95000"/>
                <w14:lumOff w14:val="5000"/>
              </w14:schemeClr>
            </w14:solidFill>
          </w14:textFill>
        </w:rPr>
        <w:t>燃用生物质时，飞灰份额增加30%，则</w:t>
      </w:r>
      <w:r>
        <w:rPr>
          <w:rFonts w:hint="eastAsia"/>
          <w:color w:val="0D0D0D" w:themeColor="text1" w:themeTint="F2"/>
          <w:u w:val="single"/>
          <w14:textFill>
            <w14:solidFill>
              <w14:schemeClr w14:val="tx1">
                <w14:lumMod w14:val="95000"/>
                <w14:lumOff w14:val="5000"/>
              </w14:schemeClr>
            </w14:solidFill>
          </w14:textFill>
        </w:rPr>
        <w:t>最终</w:t>
      </w:r>
      <w:r>
        <w:rPr>
          <w:color w:val="0D0D0D" w:themeColor="text1" w:themeTint="F2"/>
          <w:u w:val="single"/>
          <w14:textFill>
            <w14:solidFill>
              <w14:schemeClr w14:val="tx1">
                <w14:lumMod w14:val="95000"/>
                <w14:lumOff w14:val="5000"/>
              </w14:schemeClr>
            </w14:solidFill>
          </w14:textFill>
        </w:rPr>
        <w:t>取值</w:t>
      </w:r>
      <w:r>
        <w:rPr>
          <w:rFonts w:hint="eastAsia"/>
          <w:color w:val="0D0D0D" w:themeColor="text1" w:themeTint="F2"/>
          <w:u w:val="single"/>
          <w14:textFill>
            <w14:solidFill>
              <w14:schemeClr w14:val="tx1">
                <w14:lumMod w14:val="95000"/>
                <w14:lumOff w14:val="5000"/>
              </w14:schemeClr>
            </w14:solidFill>
          </w14:textFill>
        </w:rPr>
        <w:t>为19.</w:t>
      </w:r>
      <w:r>
        <w:rPr>
          <w:color w:val="0D0D0D" w:themeColor="text1" w:themeTint="F2"/>
          <w:u w:val="single"/>
          <w14:textFill>
            <w14:solidFill>
              <w14:schemeClr w14:val="tx1">
                <w14:lumMod w14:val="95000"/>
                <w14:lumOff w14:val="5000"/>
              </w14:schemeClr>
            </w14:solidFill>
          </w14:textFill>
        </w:rPr>
        <w:t>5%；</w:t>
      </w:r>
    </w:p>
    <w:p w14:paraId="05C46863">
      <w:pPr>
        <w:ind w:firstLine="480" w:firstLineChars="200"/>
        <w:rPr>
          <w:color w:val="0D0D0D" w:themeColor="text1" w:themeTint="F2"/>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ηc——综合除尘效率，%</w:t>
      </w:r>
      <w:r>
        <w:rPr>
          <w:rFonts w:hint="eastAsia"/>
          <w:color w:val="0D0D0D" w:themeColor="text1" w:themeTint="F2"/>
          <w:u w:val="single"/>
          <w14:textFill>
            <w14:solidFill>
              <w14:schemeClr w14:val="tx1">
                <w14:lumMod w14:val="95000"/>
                <w14:lumOff w14:val="5000"/>
              </w14:schemeClr>
            </w14:solidFill>
          </w14:textFill>
        </w:rPr>
        <w:t>，</w:t>
      </w:r>
      <w:r>
        <w:rPr>
          <w:color w:val="0D0D0D" w:themeColor="text1" w:themeTint="F2"/>
          <w:u w:val="single"/>
          <w14:textFill>
            <w14:solidFill>
              <w14:schemeClr w14:val="tx1">
                <w14:lumMod w14:val="95000"/>
                <w14:lumOff w14:val="5000"/>
              </w14:schemeClr>
            </w14:solidFill>
          </w14:textFill>
        </w:rPr>
        <w:t>采用</w:t>
      </w:r>
      <w:r>
        <w:rPr>
          <w:rFonts w:hint="eastAsia"/>
          <w:color w:val="0D0D0D" w:themeColor="text1" w:themeTint="F2"/>
          <w:u w:val="single"/>
          <w14:textFill>
            <w14:solidFill>
              <w14:schemeClr w14:val="tx1">
                <w14:lumMod w14:val="95000"/>
                <w14:lumOff w14:val="5000"/>
              </w14:schemeClr>
            </w14:solidFill>
          </w14:textFill>
        </w:rPr>
        <w:t>“旋风除尘+布袋除尘”工艺</w:t>
      </w:r>
      <w:r>
        <w:rPr>
          <w:color w:val="0D0D0D" w:themeColor="text1" w:themeTint="F2"/>
          <w:u w:val="single"/>
          <w14:textFill>
            <w14:solidFill>
              <w14:schemeClr w14:val="tx1">
                <w14:lumMod w14:val="95000"/>
                <w14:lumOff w14:val="5000"/>
              </w14:schemeClr>
            </w14:solidFill>
          </w14:textFill>
        </w:rPr>
        <w:t>，</w:t>
      </w:r>
      <w:r>
        <w:rPr>
          <w:rFonts w:hint="eastAsia"/>
          <w:color w:val="0D0D0D" w:themeColor="text1" w:themeTint="F2"/>
          <w:u w:val="single"/>
          <w14:textFill>
            <w14:solidFill>
              <w14:schemeClr w14:val="tx1">
                <w14:lumMod w14:val="95000"/>
                <w14:lumOff w14:val="5000"/>
              </w14:schemeClr>
            </w14:solidFill>
          </w14:textFill>
        </w:rPr>
        <w:t>去除</w:t>
      </w:r>
      <w:r>
        <w:rPr>
          <w:color w:val="0D0D0D" w:themeColor="text1" w:themeTint="F2"/>
          <w:u w:val="single"/>
          <w14:textFill>
            <w14:solidFill>
              <w14:schemeClr w14:val="tx1">
                <w14:lumMod w14:val="95000"/>
                <w14:lumOff w14:val="5000"/>
              </w14:schemeClr>
            </w14:solidFill>
          </w14:textFill>
        </w:rPr>
        <w:t>效率取99%；</w:t>
      </w:r>
    </w:p>
    <w:p w14:paraId="5AE53EB5">
      <w:pPr>
        <w:ind w:firstLine="480" w:firstLineChars="200"/>
        <w:rPr>
          <w:color w:val="0D0D0D" w:themeColor="text1" w:themeTint="F2"/>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Cfh——飞灰中的可燃物含量，%。</w:t>
      </w:r>
      <w:r>
        <w:rPr>
          <w:rFonts w:hint="eastAsia"/>
          <w:color w:val="0D0D0D" w:themeColor="text1" w:themeTint="F2"/>
          <w:u w:val="single"/>
          <w14:textFill>
            <w14:solidFill>
              <w14:schemeClr w14:val="tx1">
                <w14:lumMod w14:val="95000"/>
                <w14:lumOff w14:val="5000"/>
              </w14:schemeClr>
            </w14:solidFill>
          </w14:textFill>
        </w:rPr>
        <w:t>参照</w:t>
      </w:r>
      <w:r>
        <w:rPr>
          <w:color w:val="0D0D0D" w:themeColor="text1" w:themeTint="F2"/>
          <w:u w:val="single"/>
          <w14:textFill>
            <w14:solidFill>
              <w14:schemeClr w14:val="tx1">
                <w14:lumMod w14:val="95000"/>
                <w14:lumOff w14:val="5000"/>
              </w14:schemeClr>
            </w14:solidFill>
          </w14:textFill>
        </w:rPr>
        <w:t>《工业锅炉经济运行》（GB/T17954-2007），额定蒸发量≥8.1t/h的锅炉，可燃物含量＜15%，本次评价取14%。</w:t>
      </w:r>
    </w:p>
    <w:p w14:paraId="27A38E0E">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经计算，1＃导热油炉</w:t>
      </w:r>
      <w:r>
        <w:rPr>
          <w:color w:val="0D0D0D" w:themeColor="text1" w:themeTint="F2"/>
          <w:u w:val="single"/>
          <w14:textFill>
            <w14:solidFill>
              <w14:schemeClr w14:val="tx1">
                <w14:lumMod w14:val="95000"/>
                <w14:lumOff w14:val="5000"/>
              </w14:schemeClr>
            </w14:solidFill>
          </w14:textFill>
        </w:rPr>
        <w:t>颗粒物排放量为</w:t>
      </w:r>
      <w:r>
        <w:rPr>
          <w:rFonts w:hint="eastAsia"/>
          <w:color w:val="0D0D0D" w:themeColor="text1" w:themeTint="F2"/>
          <w:u w:val="single"/>
          <w14:textFill>
            <w14:solidFill>
              <w14:schemeClr w14:val="tx1">
                <w14:lumMod w14:val="95000"/>
                <w14:lumOff w14:val="5000"/>
              </w14:schemeClr>
            </w14:solidFill>
          </w14:textFill>
        </w:rPr>
        <w:t>0.61</w:t>
      </w:r>
      <w:r>
        <w:rPr>
          <w:color w:val="0D0D0D" w:themeColor="text1" w:themeTint="F2"/>
          <w:u w:val="single"/>
          <w14:textFill>
            <w14:solidFill>
              <w14:schemeClr w14:val="tx1">
                <w14:lumMod w14:val="95000"/>
                <w14:lumOff w14:val="5000"/>
              </w14:schemeClr>
            </w14:solidFill>
          </w14:textFill>
        </w:rPr>
        <w:t>t/a，产生量为</w:t>
      </w:r>
      <w:r>
        <w:rPr>
          <w:rFonts w:hint="eastAsia"/>
          <w:color w:val="0D0D0D" w:themeColor="text1" w:themeTint="F2"/>
          <w:u w:val="single"/>
          <w14:textFill>
            <w14:solidFill>
              <w14:schemeClr w14:val="tx1">
                <w14:lumMod w14:val="95000"/>
                <w14:lumOff w14:val="5000"/>
              </w14:schemeClr>
            </w14:solidFill>
          </w14:textFill>
        </w:rPr>
        <w:t>61.1</w:t>
      </w:r>
      <w:r>
        <w:rPr>
          <w:color w:val="0D0D0D" w:themeColor="text1" w:themeTint="F2"/>
          <w:u w:val="single"/>
          <w14:textFill>
            <w14:solidFill>
              <w14:schemeClr w14:val="tx1">
                <w14:lumMod w14:val="95000"/>
                <w14:lumOff w14:val="5000"/>
              </w14:schemeClr>
            </w14:solidFill>
          </w14:textFill>
        </w:rPr>
        <w:t>t/a</w:t>
      </w:r>
      <w:r>
        <w:rPr>
          <w:rFonts w:hint="eastAsia"/>
          <w:color w:val="0D0D0D" w:themeColor="text1" w:themeTint="F2"/>
          <w:u w:val="single"/>
          <w14:textFill>
            <w14:solidFill>
              <w14:schemeClr w14:val="tx1">
                <w14:lumMod w14:val="95000"/>
                <w14:lumOff w14:val="5000"/>
              </w14:schemeClr>
            </w14:solidFill>
          </w14:textFill>
        </w:rPr>
        <w:t>；叠加轻组分和沼气污染物0.46t/a后</w:t>
      </w:r>
      <w:r>
        <w:rPr>
          <w:color w:val="0D0D0D" w:themeColor="text1" w:themeTint="F2"/>
          <w:u w:val="single"/>
          <w14:textFill>
            <w14:solidFill>
              <w14:schemeClr w14:val="tx1">
                <w14:lumMod w14:val="95000"/>
                <w14:lumOff w14:val="5000"/>
              </w14:schemeClr>
            </w14:solidFill>
          </w14:textFill>
        </w:rPr>
        <w:t>，产生量为</w:t>
      </w:r>
      <w:r>
        <w:rPr>
          <w:rFonts w:hint="eastAsia"/>
          <w:color w:val="0D0D0D" w:themeColor="text1" w:themeTint="F2"/>
          <w:u w:val="single"/>
          <w14:textFill>
            <w14:solidFill>
              <w14:schemeClr w14:val="tx1">
                <w14:lumMod w14:val="95000"/>
                <w14:lumOff w14:val="5000"/>
              </w14:schemeClr>
            </w14:solidFill>
          </w14:textFill>
        </w:rPr>
        <w:t>61.56</w:t>
      </w:r>
      <w:r>
        <w:rPr>
          <w:color w:val="0D0D0D" w:themeColor="text1" w:themeTint="F2"/>
          <w:u w:val="single"/>
          <w14:textFill>
            <w14:solidFill>
              <w14:schemeClr w14:val="tx1">
                <w14:lumMod w14:val="95000"/>
                <w14:lumOff w14:val="5000"/>
              </w14:schemeClr>
            </w14:solidFill>
          </w14:textFill>
        </w:rPr>
        <w:t>t/a，排放量为</w:t>
      </w:r>
      <w:r>
        <w:rPr>
          <w:rFonts w:hint="eastAsia"/>
          <w:color w:val="0D0D0D" w:themeColor="text1" w:themeTint="F2"/>
          <w:u w:val="single"/>
          <w14:textFill>
            <w14:solidFill>
              <w14:schemeClr w14:val="tx1">
                <w14:lumMod w14:val="95000"/>
                <w14:lumOff w14:val="5000"/>
              </w14:schemeClr>
            </w14:solidFill>
          </w14:textFill>
        </w:rPr>
        <w:t>0.62</w:t>
      </w:r>
      <w:r>
        <w:rPr>
          <w:color w:val="0D0D0D" w:themeColor="text1" w:themeTint="F2"/>
          <w:u w:val="single"/>
          <w14:textFill>
            <w14:solidFill>
              <w14:schemeClr w14:val="tx1">
                <w14:lumMod w14:val="95000"/>
                <w14:lumOff w14:val="5000"/>
              </w14:schemeClr>
            </w14:solidFill>
          </w14:textFill>
        </w:rPr>
        <w:t>t/a</w:t>
      </w:r>
      <w:r>
        <w:rPr>
          <w:rFonts w:hint="eastAsia"/>
          <w:color w:val="0D0D0D" w:themeColor="text1" w:themeTint="F2"/>
          <w:u w:val="single"/>
          <w14:textFill>
            <w14:solidFill>
              <w14:schemeClr w14:val="tx1">
                <w14:lumMod w14:val="95000"/>
                <w14:lumOff w14:val="5000"/>
              </w14:schemeClr>
            </w14:solidFill>
          </w14:textFill>
        </w:rPr>
        <w:t>；2＃导热油炉</w:t>
      </w:r>
      <w:r>
        <w:rPr>
          <w:color w:val="0D0D0D" w:themeColor="text1" w:themeTint="F2"/>
          <w:u w:val="single"/>
          <w14:textFill>
            <w14:solidFill>
              <w14:schemeClr w14:val="tx1">
                <w14:lumMod w14:val="95000"/>
                <w14:lumOff w14:val="5000"/>
              </w14:schemeClr>
            </w14:solidFill>
          </w14:textFill>
        </w:rPr>
        <w:t>颗粒物产生量为</w:t>
      </w:r>
      <w:r>
        <w:rPr>
          <w:rFonts w:hint="eastAsia"/>
          <w:color w:val="0D0D0D" w:themeColor="text1" w:themeTint="F2"/>
          <w:u w:val="single"/>
          <w14:textFill>
            <w14:solidFill>
              <w14:schemeClr w14:val="tx1">
                <w14:lumMod w14:val="95000"/>
                <w14:lumOff w14:val="5000"/>
              </w14:schemeClr>
            </w14:solidFill>
          </w14:textFill>
        </w:rPr>
        <w:t>50.2</w:t>
      </w:r>
      <w:r>
        <w:rPr>
          <w:color w:val="0D0D0D" w:themeColor="text1" w:themeTint="F2"/>
          <w:u w:val="single"/>
          <w14:textFill>
            <w14:solidFill>
              <w14:schemeClr w14:val="tx1">
                <w14:lumMod w14:val="95000"/>
                <w14:lumOff w14:val="5000"/>
              </w14:schemeClr>
            </w14:solidFill>
          </w14:textFill>
        </w:rPr>
        <w:t>t/a，排放量为</w:t>
      </w:r>
      <w:r>
        <w:rPr>
          <w:rFonts w:hint="eastAsia"/>
          <w:color w:val="0D0D0D" w:themeColor="text1" w:themeTint="F2"/>
          <w:u w:val="single"/>
          <w14:textFill>
            <w14:solidFill>
              <w14:schemeClr w14:val="tx1">
                <w14:lumMod w14:val="95000"/>
                <w14:lumOff w14:val="5000"/>
              </w14:schemeClr>
            </w14:solidFill>
          </w14:textFill>
        </w:rPr>
        <w:t>0.50</w:t>
      </w:r>
      <w:r>
        <w:rPr>
          <w:color w:val="0D0D0D" w:themeColor="text1" w:themeTint="F2"/>
          <w:u w:val="single"/>
          <w14:textFill>
            <w14:solidFill>
              <w14:schemeClr w14:val="tx1">
                <w14:lumMod w14:val="95000"/>
                <w14:lumOff w14:val="5000"/>
              </w14:schemeClr>
            </w14:solidFill>
          </w14:textFill>
        </w:rPr>
        <w:t>t/a</w:t>
      </w:r>
      <w:r>
        <w:rPr>
          <w:rFonts w:hint="eastAsia"/>
          <w:color w:val="0D0D0D" w:themeColor="text1" w:themeTint="F2"/>
          <w:u w:val="single"/>
          <w14:textFill>
            <w14:solidFill>
              <w14:schemeClr w14:val="tx1">
                <w14:lumMod w14:val="95000"/>
                <w14:lumOff w14:val="5000"/>
              </w14:schemeClr>
            </w14:solidFill>
          </w14:textFill>
        </w:rPr>
        <w:t>；全厂导热油炉</w:t>
      </w:r>
      <w:r>
        <w:rPr>
          <w:color w:val="0D0D0D" w:themeColor="text1" w:themeTint="F2"/>
          <w:u w:val="single"/>
          <w14:textFill>
            <w14:solidFill>
              <w14:schemeClr w14:val="tx1">
                <w14:lumMod w14:val="95000"/>
                <w14:lumOff w14:val="5000"/>
              </w14:schemeClr>
            </w14:solidFill>
          </w14:textFill>
        </w:rPr>
        <w:t>颗粒物产生量为</w:t>
      </w:r>
      <w:r>
        <w:rPr>
          <w:rFonts w:hint="eastAsia"/>
          <w:color w:val="0D0D0D" w:themeColor="text1" w:themeTint="F2"/>
          <w:u w:val="single"/>
          <w14:textFill>
            <w14:solidFill>
              <w14:schemeClr w14:val="tx1">
                <w14:lumMod w14:val="95000"/>
                <w14:lumOff w14:val="5000"/>
              </w14:schemeClr>
            </w14:solidFill>
          </w14:textFill>
        </w:rPr>
        <w:t>111.76</w:t>
      </w:r>
      <w:r>
        <w:rPr>
          <w:color w:val="0D0D0D" w:themeColor="text1" w:themeTint="F2"/>
          <w:u w:val="single"/>
          <w14:textFill>
            <w14:solidFill>
              <w14:schemeClr w14:val="tx1">
                <w14:lumMod w14:val="95000"/>
                <w14:lumOff w14:val="5000"/>
              </w14:schemeClr>
            </w14:solidFill>
          </w14:textFill>
        </w:rPr>
        <w:t>t/a，排放量为</w:t>
      </w:r>
      <w:r>
        <w:rPr>
          <w:rFonts w:hint="eastAsia"/>
          <w:color w:val="0D0D0D" w:themeColor="text1" w:themeTint="F2"/>
          <w:u w:val="single"/>
          <w14:textFill>
            <w14:solidFill>
              <w14:schemeClr w14:val="tx1">
                <w14:lumMod w14:val="95000"/>
                <w14:lumOff w14:val="5000"/>
              </w14:schemeClr>
            </w14:solidFill>
          </w14:textFill>
        </w:rPr>
        <w:t>1.12</w:t>
      </w:r>
      <w:r>
        <w:rPr>
          <w:color w:val="0D0D0D" w:themeColor="text1" w:themeTint="F2"/>
          <w:u w:val="single"/>
          <w14:textFill>
            <w14:solidFill>
              <w14:schemeClr w14:val="tx1">
                <w14:lumMod w14:val="95000"/>
                <w14:lumOff w14:val="5000"/>
              </w14:schemeClr>
            </w14:solidFill>
          </w14:textFill>
        </w:rPr>
        <w:t>t/a</w:t>
      </w:r>
      <w:r>
        <w:rPr>
          <w:rFonts w:hint="eastAsia"/>
          <w:color w:val="0D0D0D" w:themeColor="text1" w:themeTint="F2"/>
          <w:u w:val="single"/>
          <w14:textFill>
            <w14:solidFill>
              <w14:schemeClr w14:val="tx1">
                <w14:lumMod w14:val="95000"/>
                <w14:lumOff w14:val="5000"/>
              </w14:schemeClr>
            </w14:solidFill>
          </w14:textFill>
        </w:rPr>
        <w:t>。</w:t>
      </w:r>
    </w:p>
    <w:p w14:paraId="488D82EE">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④二氧化硫</w:t>
      </w:r>
    </w:p>
    <w:p w14:paraId="77E4C81D">
      <w:pPr>
        <w:ind w:firstLine="480" w:firstLineChars="200"/>
        <w:rPr>
          <w:rFonts w:cs="Times New Roman"/>
          <w:iCs/>
          <w:color w:val="0D0D0D" w:themeColor="text1" w:themeTint="F2"/>
          <w14:textFill>
            <w14:solidFill>
              <w14:schemeClr w14:val="tx1">
                <w14:lumMod w14:val="95000"/>
                <w14:lumOff w14:val="5000"/>
              </w14:schemeClr>
            </w14:solidFill>
          </w14:textFill>
        </w:rPr>
      </w:pPr>
      <m:oMathPara>
        <m:oMath>
          <m:sSub>
            <m:sSubPr>
              <m:ctrlPr>
                <w:rPr>
                  <w:rFonts w:ascii="Cambria Math" w:hAnsi="Cambria Math" w:cs="Times New Roman"/>
                  <w:iCs/>
                  <w:color w:val="0D0D0D" w:themeColor="text1" w:themeTint="F2"/>
                  <w14:textFill>
                    <w14:solidFill>
                      <w14:schemeClr w14:val="tx1">
                        <w14:lumMod w14:val="95000"/>
                        <w14:lumOff w14:val="5000"/>
                      </w14:schemeClr>
                    </w14:solidFill>
                  </w14:textFill>
                </w:rPr>
              </m:ctrlPr>
            </m:sSubPr>
            <m:e>
              <m:r>
                <m:rPr>
                  <m:nor/>
                  <m:sty m:val="p"/>
                </m:rPr>
                <w:rPr>
                  <w:rFonts w:cs="Times New Roman"/>
                  <w:b w:val="0"/>
                  <w:i w:val="0"/>
                  <w:color w:val="0D0D0D" w:themeColor="text1" w:themeTint="F2"/>
                  <w14:textFill>
                    <w14:solidFill>
                      <w14:schemeClr w14:val="tx1">
                        <w14:lumMod w14:val="95000"/>
                        <w14:lumOff w14:val="5000"/>
                      </w14:schemeClr>
                    </w14:solidFill>
                  </w14:textFill>
                </w:rPr>
                <m:t>E</m:t>
              </m:r>
              <m:ctrlPr>
                <w:rPr>
                  <w:rFonts w:ascii="Cambria Math" w:hAnsi="Cambria Math" w:cs="Times New Roman"/>
                  <w:iCs/>
                  <w:color w:val="0D0D0D" w:themeColor="text1" w:themeTint="F2"/>
                  <w14:textFill>
                    <w14:solidFill>
                      <w14:schemeClr w14:val="tx1">
                        <w14:lumMod w14:val="95000"/>
                        <w14:lumOff w14:val="5000"/>
                      </w14:schemeClr>
                    </w14:solidFill>
                  </w14:textFill>
                </w:rPr>
              </m:ctrlPr>
            </m:e>
            <m:sub>
              <m:sSub>
                <m:sSubPr>
                  <m:ctrlPr>
                    <w:rPr>
                      <w:rFonts w:ascii="Cambria Math" w:hAnsi="Cambria Math" w:cs="Times New Roman"/>
                      <w:color w:val="0D0D0D" w:themeColor="text1" w:themeTint="F2"/>
                      <w14:textFill>
                        <w14:solidFill>
                          <w14:schemeClr w14:val="tx1">
                            <w14:lumMod w14:val="95000"/>
                            <w14:lumOff w14:val="5000"/>
                          </w14:schemeClr>
                        </w14:solidFill>
                      </w14:textFill>
                    </w:rPr>
                  </m:ctrlPr>
                </m:sSubPr>
                <m:e>
                  <m:r>
                    <m:rPr/>
                    <w:rPr>
                      <w:rFonts w:ascii="Cambria Math" w:hAnsi="Cambria Math" w:cs="Times New Roman"/>
                      <w:color w:val="0D0D0D" w:themeColor="text1" w:themeTint="F2"/>
                      <w14:textFill>
                        <w14:solidFill>
                          <w14:schemeClr w14:val="tx1">
                            <w14:lumMod w14:val="95000"/>
                            <w14:lumOff w14:val="5000"/>
                          </w14:schemeClr>
                        </w14:solidFill>
                      </w14:textFill>
                    </w:rPr>
                    <m:t>SO</m:t>
                  </m:r>
                  <m:ctrlPr>
                    <w:rPr>
                      <w:rFonts w:ascii="Cambria Math" w:hAnsi="Cambria Math" w:cs="Times New Roman"/>
                      <w:color w:val="0D0D0D" w:themeColor="text1" w:themeTint="F2"/>
                      <w14:textFill>
                        <w14:solidFill>
                          <w14:schemeClr w14:val="tx1">
                            <w14:lumMod w14:val="95000"/>
                            <w14:lumOff w14:val="5000"/>
                          </w14:schemeClr>
                        </w14:solidFill>
                      </w14:textFill>
                    </w:rPr>
                  </m:ctrlPr>
                </m:e>
                <m:sub>
                  <m:r>
                    <m:rPr/>
                    <w:rPr>
                      <w:rFonts w:ascii="Cambria Math" w:hAnsi="Cambria Math" w:cs="Times New Roman"/>
                      <w:color w:val="0D0D0D" w:themeColor="text1" w:themeTint="F2"/>
                      <w14:textFill>
                        <w14:solidFill>
                          <w14:schemeClr w14:val="tx1">
                            <w14:lumMod w14:val="95000"/>
                            <w14:lumOff w14:val="5000"/>
                          </w14:schemeClr>
                        </w14:solidFill>
                      </w14:textFill>
                    </w:rPr>
                    <m:t>2</m:t>
                  </m:r>
                  <m:ctrlPr>
                    <w:rPr>
                      <w:rFonts w:ascii="Cambria Math" w:hAnsi="Cambria Math" w:cs="Times New Roman"/>
                      <w:color w:val="0D0D0D" w:themeColor="text1" w:themeTint="F2"/>
                      <w14:textFill>
                        <w14:solidFill>
                          <w14:schemeClr w14:val="tx1">
                            <w14:lumMod w14:val="95000"/>
                            <w14:lumOff w14:val="5000"/>
                          </w14:schemeClr>
                        </w14:solidFill>
                      </w14:textFill>
                    </w:rPr>
                  </m:ctrlPr>
                </m:sub>
              </m:sSub>
              <m:ctrlPr>
                <w:rPr>
                  <w:rFonts w:ascii="Cambria Math" w:hAnsi="Cambria Math" w:cs="Times New Roman"/>
                  <w:iCs/>
                  <w:color w:val="0D0D0D" w:themeColor="text1" w:themeTint="F2"/>
                  <w14:textFill>
                    <w14:solidFill>
                      <w14:schemeClr w14:val="tx1">
                        <w14:lumMod w14:val="95000"/>
                        <w14:lumOff w14:val="5000"/>
                      </w14:schemeClr>
                    </w14:solidFill>
                  </w14:textFill>
                </w:rPr>
              </m:ctrlPr>
            </m:sub>
          </m:sSub>
          <m:r>
            <m:rPr>
              <m:nor/>
              <m:sty m:val="p"/>
            </m:rPr>
            <w:rPr>
              <w:rFonts w:cs="Times New Roman"/>
              <w:b w:val="0"/>
              <w:i w:val="0"/>
              <w:color w:val="0D0D0D" w:themeColor="text1" w:themeTint="F2"/>
              <w14:textFill>
                <w14:solidFill>
                  <w14:schemeClr w14:val="tx1">
                    <w14:lumMod w14:val="95000"/>
                    <w14:lumOff w14:val="5000"/>
                  </w14:schemeClr>
                </w14:solidFill>
              </w14:textFill>
            </w:rPr>
            <m:t>=2R×</m:t>
          </m:r>
          <m:f>
            <m:fPr>
              <m:ctrlPr>
                <w:rPr>
                  <w:rFonts w:ascii="Cambria Math" w:hAnsi="Cambria Math" w:cs="Times New Roman"/>
                  <w:iCs/>
                  <w:color w:val="0D0D0D" w:themeColor="text1" w:themeTint="F2"/>
                  <w14:textFill>
                    <w14:solidFill>
                      <w14:schemeClr w14:val="tx1">
                        <w14:lumMod w14:val="95000"/>
                        <w14:lumOff w14:val="5000"/>
                      </w14:schemeClr>
                    </w14:solidFill>
                  </w14:textFill>
                </w:rPr>
              </m:ctrlPr>
            </m:fPr>
            <m:num>
              <m:sSub>
                <m:sSubPr>
                  <m:ctrlPr>
                    <w:rPr>
                      <w:rFonts w:ascii="Cambria Math" w:hAnsi="Cambria Math" w:cs="Times New Roman"/>
                      <w:iCs/>
                      <w:color w:val="0D0D0D" w:themeColor="text1" w:themeTint="F2"/>
                      <w14:textFill>
                        <w14:solidFill>
                          <w14:schemeClr w14:val="tx1">
                            <w14:lumMod w14:val="95000"/>
                            <w14:lumOff w14:val="5000"/>
                          </w14:schemeClr>
                        </w14:solidFill>
                      </w14:textFill>
                    </w:rPr>
                  </m:ctrlPr>
                </m:sSubPr>
                <m:e>
                  <m:r>
                    <m:rPr>
                      <m:nor/>
                      <m:sty m:val="p"/>
                    </m:rPr>
                    <w:rPr>
                      <w:rFonts w:cs="Times New Roman"/>
                      <w:b w:val="0"/>
                      <w:i w:val="0"/>
                      <w:color w:val="0D0D0D" w:themeColor="text1" w:themeTint="F2"/>
                      <w14:textFill>
                        <w14:solidFill>
                          <w14:schemeClr w14:val="tx1">
                            <w14:lumMod w14:val="95000"/>
                            <w14:lumOff w14:val="5000"/>
                          </w14:schemeClr>
                        </w14:solidFill>
                      </w14:textFill>
                    </w:rPr>
                    <m:t>S</m:t>
                  </m:r>
                  <m:ctrlPr>
                    <w:rPr>
                      <w:rFonts w:ascii="Cambria Math" w:hAnsi="Cambria Math" w:cs="Times New Roman"/>
                      <w:iCs/>
                      <w:color w:val="0D0D0D" w:themeColor="text1" w:themeTint="F2"/>
                      <w14:textFill>
                        <w14:solidFill>
                          <w14:schemeClr w14:val="tx1">
                            <w14:lumMod w14:val="95000"/>
                            <w14:lumOff w14:val="5000"/>
                          </w14:schemeClr>
                        </w14:solidFill>
                      </w14:textFill>
                    </w:rPr>
                  </m:ctrlPr>
                </m:e>
                <m:sub>
                  <m:r>
                    <m:rPr>
                      <m:nor/>
                      <m:sty m:val="p"/>
                    </m:rPr>
                    <w:rPr>
                      <w:rFonts w:cs="Times New Roman"/>
                      <w:b w:val="0"/>
                      <w:i w:val="0"/>
                      <w:color w:val="0D0D0D" w:themeColor="text1" w:themeTint="F2"/>
                      <w14:textFill>
                        <w14:solidFill>
                          <w14:schemeClr w14:val="tx1">
                            <w14:lumMod w14:val="95000"/>
                            <w14:lumOff w14:val="5000"/>
                          </w14:schemeClr>
                        </w14:solidFill>
                      </w14:textFill>
                    </w:rPr>
                    <m:t>ar</m:t>
                  </m:r>
                  <m:ctrlPr>
                    <w:rPr>
                      <w:rFonts w:ascii="Cambria Math" w:hAnsi="Cambria Math" w:cs="Times New Roman"/>
                      <w:iCs/>
                      <w:color w:val="0D0D0D" w:themeColor="text1" w:themeTint="F2"/>
                      <w14:textFill>
                        <w14:solidFill>
                          <w14:schemeClr w14:val="tx1">
                            <w14:lumMod w14:val="95000"/>
                            <w14:lumOff w14:val="5000"/>
                          </w14:schemeClr>
                        </w14:solidFill>
                      </w14:textFill>
                    </w:rPr>
                  </m:ctrlPr>
                </m:sub>
              </m:sSub>
              <m:ctrlPr>
                <w:rPr>
                  <w:rFonts w:ascii="Cambria Math" w:hAnsi="Cambria Math" w:cs="Times New Roman"/>
                  <w:iCs/>
                  <w:color w:val="0D0D0D" w:themeColor="text1" w:themeTint="F2"/>
                  <w14:textFill>
                    <w14:solidFill>
                      <w14:schemeClr w14:val="tx1">
                        <w14:lumMod w14:val="95000"/>
                        <w14:lumOff w14:val="5000"/>
                      </w14:schemeClr>
                    </w14:solidFill>
                  </w14:textFill>
                </w:rPr>
              </m:ctrlPr>
            </m:num>
            <m:den>
              <m:r>
                <m:rPr>
                  <m:nor/>
                  <m:sty m:val="p"/>
                </m:rPr>
                <w:rPr>
                  <w:rFonts w:cs="Times New Roman"/>
                  <w:b w:val="0"/>
                  <w:i w:val="0"/>
                  <w:color w:val="0D0D0D" w:themeColor="text1" w:themeTint="F2"/>
                  <w14:textFill>
                    <w14:solidFill>
                      <w14:schemeClr w14:val="tx1">
                        <w14:lumMod w14:val="95000"/>
                        <w14:lumOff w14:val="5000"/>
                      </w14:schemeClr>
                    </w14:solidFill>
                  </w14:textFill>
                </w:rPr>
                <m:t>100</m:t>
              </m:r>
              <m:ctrlPr>
                <w:rPr>
                  <w:rFonts w:ascii="Cambria Math" w:hAnsi="Cambria Math" w:cs="Times New Roman"/>
                  <w:iCs/>
                  <w:color w:val="0D0D0D" w:themeColor="text1" w:themeTint="F2"/>
                  <w14:textFill>
                    <w14:solidFill>
                      <w14:schemeClr w14:val="tx1">
                        <w14:lumMod w14:val="95000"/>
                        <w14:lumOff w14:val="5000"/>
                      </w14:schemeClr>
                    </w14:solidFill>
                  </w14:textFill>
                </w:rPr>
              </m:ctrlPr>
            </m:den>
          </m:f>
          <m:r>
            <m:rPr>
              <m:nor/>
              <m:sty m:val="p"/>
            </m:rPr>
            <w:rPr>
              <w:rFonts w:cs="Times New Roman"/>
              <w:b w:val="0"/>
              <w:i w:val="0"/>
              <w:color w:val="0D0D0D" w:themeColor="text1" w:themeTint="F2"/>
              <w14:textFill>
                <w14:solidFill>
                  <w14:schemeClr w14:val="tx1">
                    <w14:lumMod w14:val="95000"/>
                    <w14:lumOff w14:val="5000"/>
                  </w14:schemeClr>
                </w14:solidFill>
              </w14:textFill>
            </w:rPr>
            <m:t>×（1-</m:t>
          </m:r>
          <m:f>
            <m:fPr>
              <m:ctrlPr>
                <w:rPr>
                  <w:rFonts w:ascii="Cambria Math" w:hAnsi="Cambria Math" w:cs="Times New Roman"/>
                  <w:iCs/>
                  <w:color w:val="0D0D0D" w:themeColor="text1" w:themeTint="F2"/>
                  <w14:textFill>
                    <w14:solidFill>
                      <w14:schemeClr w14:val="tx1">
                        <w14:lumMod w14:val="95000"/>
                        <w14:lumOff w14:val="5000"/>
                      </w14:schemeClr>
                    </w14:solidFill>
                  </w14:textFill>
                </w:rPr>
              </m:ctrlPr>
            </m:fPr>
            <m:num>
              <m:sSub>
                <m:sSubPr>
                  <m:ctrlPr>
                    <w:rPr>
                      <w:rFonts w:ascii="Cambria Math" w:hAnsi="Cambria Math" w:cs="Times New Roman"/>
                      <w:iCs/>
                      <w:color w:val="0D0D0D" w:themeColor="text1" w:themeTint="F2"/>
                      <w14:textFill>
                        <w14:solidFill>
                          <w14:schemeClr w14:val="tx1">
                            <w14:lumMod w14:val="95000"/>
                            <w14:lumOff w14:val="5000"/>
                          </w14:schemeClr>
                        </w14:solidFill>
                      </w14:textFill>
                    </w:rPr>
                  </m:ctrlPr>
                </m:sSubPr>
                <m:e>
                  <m:r>
                    <m:rPr>
                      <m:nor/>
                      <m:sty m:val="p"/>
                    </m:rPr>
                    <w:rPr>
                      <w:rFonts w:cs="Times New Roman"/>
                      <w:b w:val="0"/>
                      <w:i w:val="0"/>
                      <w:color w:val="0D0D0D" w:themeColor="text1" w:themeTint="F2"/>
                      <w14:textFill>
                        <w14:solidFill>
                          <w14:schemeClr w14:val="tx1">
                            <w14:lumMod w14:val="95000"/>
                            <w14:lumOff w14:val="5000"/>
                          </w14:schemeClr>
                        </w14:solidFill>
                      </w14:textFill>
                    </w:rPr>
                    <m:t>q</m:t>
                  </m:r>
                  <m:ctrlPr>
                    <w:rPr>
                      <w:rFonts w:ascii="Cambria Math" w:hAnsi="Cambria Math" w:cs="Times New Roman"/>
                      <w:iCs/>
                      <w:color w:val="0D0D0D" w:themeColor="text1" w:themeTint="F2"/>
                      <w14:textFill>
                        <w14:solidFill>
                          <w14:schemeClr w14:val="tx1">
                            <w14:lumMod w14:val="95000"/>
                            <w14:lumOff w14:val="5000"/>
                          </w14:schemeClr>
                        </w14:solidFill>
                      </w14:textFill>
                    </w:rPr>
                  </m:ctrlPr>
                </m:e>
                <m:sub>
                  <m:r>
                    <m:rPr>
                      <m:nor/>
                      <m:sty m:val="p"/>
                    </m:rPr>
                    <w:rPr>
                      <w:rFonts w:cs="Times New Roman"/>
                      <w:b w:val="0"/>
                      <w:i w:val="0"/>
                      <w:color w:val="0D0D0D" w:themeColor="text1" w:themeTint="F2"/>
                      <w14:textFill>
                        <w14:solidFill>
                          <w14:schemeClr w14:val="tx1">
                            <w14:lumMod w14:val="95000"/>
                            <w14:lumOff w14:val="5000"/>
                          </w14:schemeClr>
                        </w14:solidFill>
                      </w14:textFill>
                    </w:rPr>
                    <m:t>4</m:t>
                  </m:r>
                  <m:ctrlPr>
                    <w:rPr>
                      <w:rFonts w:ascii="Cambria Math" w:hAnsi="Cambria Math" w:cs="Times New Roman"/>
                      <w:iCs/>
                      <w:color w:val="0D0D0D" w:themeColor="text1" w:themeTint="F2"/>
                      <w14:textFill>
                        <w14:solidFill>
                          <w14:schemeClr w14:val="tx1">
                            <w14:lumMod w14:val="95000"/>
                            <w14:lumOff w14:val="5000"/>
                          </w14:schemeClr>
                        </w14:solidFill>
                      </w14:textFill>
                    </w:rPr>
                  </m:ctrlPr>
                </m:sub>
              </m:sSub>
              <m:ctrlPr>
                <w:rPr>
                  <w:rFonts w:ascii="Cambria Math" w:hAnsi="Cambria Math" w:cs="Times New Roman"/>
                  <w:iCs/>
                  <w:color w:val="0D0D0D" w:themeColor="text1" w:themeTint="F2"/>
                  <w14:textFill>
                    <w14:solidFill>
                      <w14:schemeClr w14:val="tx1">
                        <w14:lumMod w14:val="95000"/>
                        <w14:lumOff w14:val="5000"/>
                      </w14:schemeClr>
                    </w14:solidFill>
                  </w14:textFill>
                </w:rPr>
              </m:ctrlPr>
            </m:num>
            <m:den>
              <m:r>
                <m:rPr>
                  <m:nor/>
                  <m:sty m:val="p"/>
                </m:rPr>
                <w:rPr>
                  <w:rFonts w:cs="Times New Roman"/>
                  <w:b w:val="0"/>
                  <w:i w:val="0"/>
                  <w:color w:val="0D0D0D" w:themeColor="text1" w:themeTint="F2"/>
                  <w14:textFill>
                    <w14:solidFill>
                      <w14:schemeClr w14:val="tx1">
                        <w14:lumMod w14:val="95000"/>
                        <w14:lumOff w14:val="5000"/>
                      </w14:schemeClr>
                    </w14:solidFill>
                  </w14:textFill>
                </w:rPr>
                <m:t>100</m:t>
              </m:r>
              <m:ctrlPr>
                <w:rPr>
                  <w:rFonts w:ascii="Cambria Math" w:hAnsi="Cambria Math" w:cs="Times New Roman"/>
                  <w:iCs/>
                  <w:color w:val="0D0D0D" w:themeColor="text1" w:themeTint="F2"/>
                  <w14:textFill>
                    <w14:solidFill>
                      <w14:schemeClr w14:val="tx1">
                        <w14:lumMod w14:val="95000"/>
                        <w14:lumOff w14:val="5000"/>
                      </w14:schemeClr>
                    </w14:solidFill>
                  </w14:textFill>
                </w:rPr>
              </m:ctrlPr>
            </m:den>
          </m:f>
          <m:r>
            <m:rPr>
              <m:nor/>
              <m:sty m:val="p"/>
            </m:rPr>
            <w:rPr>
              <w:rFonts w:cs="Times New Roman"/>
              <w:b w:val="0"/>
              <w:i w:val="0"/>
              <w:color w:val="0D0D0D" w:themeColor="text1" w:themeTint="F2"/>
              <w14:textFill>
                <w14:solidFill>
                  <w14:schemeClr w14:val="tx1">
                    <w14:lumMod w14:val="95000"/>
                    <w14:lumOff w14:val="5000"/>
                  </w14:schemeClr>
                </w14:solidFill>
              </w14:textFill>
            </w:rPr>
            <m:t>）×（1-</m:t>
          </m:r>
          <m:f>
            <m:fPr>
              <m:ctrlPr>
                <w:rPr>
                  <w:rFonts w:ascii="Cambria Math" w:hAnsi="Cambria Math" w:cs="Times New Roman"/>
                  <w:iCs/>
                  <w:color w:val="0D0D0D" w:themeColor="text1" w:themeTint="F2"/>
                  <w14:textFill>
                    <w14:solidFill>
                      <w14:schemeClr w14:val="tx1">
                        <w14:lumMod w14:val="95000"/>
                        <w14:lumOff w14:val="5000"/>
                      </w14:schemeClr>
                    </w14:solidFill>
                  </w14:textFill>
                </w:rPr>
              </m:ctrlPr>
            </m:fPr>
            <m:num>
              <m:sSub>
                <m:sSubPr>
                  <m:ctrlPr>
                    <w:rPr>
                      <w:rFonts w:ascii="Cambria Math" w:hAnsi="Cambria Math" w:cs="Times New Roman"/>
                      <w:iCs/>
                      <w:color w:val="0D0D0D" w:themeColor="text1" w:themeTint="F2"/>
                      <w14:textFill>
                        <w14:solidFill>
                          <w14:schemeClr w14:val="tx1">
                            <w14:lumMod w14:val="95000"/>
                            <w14:lumOff w14:val="5000"/>
                          </w14:schemeClr>
                        </w14:solidFill>
                      </w14:textFill>
                    </w:rPr>
                  </m:ctrlPr>
                </m:sSubPr>
                <m:e>
                  <m:r>
                    <m:rPr>
                      <m:nor/>
                      <m:sty m:val="p"/>
                    </m:rPr>
                    <w:rPr>
                      <w:rFonts w:cs="Times New Roman"/>
                      <w:b w:val="0"/>
                      <w:i w:val="0"/>
                      <w:color w:val="0D0D0D" w:themeColor="text1" w:themeTint="F2"/>
                      <w14:textFill>
                        <w14:solidFill>
                          <w14:schemeClr w14:val="tx1">
                            <w14:lumMod w14:val="95000"/>
                            <w14:lumOff w14:val="5000"/>
                          </w14:schemeClr>
                        </w14:solidFill>
                      </w14:textFill>
                    </w:rPr>
                    <m:t>η</m:t>
                  </m:r>
                  <m:ctrlPr>
                    <w:rPr>
                      <w:rFonts w:ascii="Cambria Math" w:hAnsi="Cambria Math" w:cs="Times New Roman"/>
                      <w:iCs/>
                      <w:color w:val="0D0D0D" w:themeColor="text1" w:themeTint="F2"/>
                      <w14:textFill>
                        <w14:solidFill>
                          <w14:schemeClr w14:val="tx1">
                            <w14:lumMod w14:val="95000"/>
                            <w14:lumOff w14:val="5000"/>
                          </w14:schemeClr>
                        </w14:solidFill>
                      </w14:textFill>
                    </w:rPr>
                  </m:ctrlPr>
                </m:e>
                <m:sub>
                  <m:r>
                    <m:rPr>
                      <m:nor/>
                      <m:sty m:val="p"/>
                    </m:rPr>
                    <w:rPr>
                      <w:rFonts w:cs="Times New Roman"/>
                      <w:b w:val="0"/>
                      <w:i w:val="0"/>
                      <w:color w:val="0D0D0D" w:themeColor="text1" w:themeTint="F2"/>
                      <w14:textFill>
                        <w14:solidFill>
                          <w14:schemeClr w14:val="tx1">
                            <w14:lumMod w14:val="95000"/>
                            <w14:lumOff w14:val="5000"/>
                          </w14:schemeClr>
                        </w14:solidFill>
                      </w14:textFill>
                    </w:rPr>
                    <m:t>s</m:t>
                  </m:r>
                  <m:ctrlPr>
                    <w:rPr>
                      <w:rFonts w:ascii="Cambria Math" w:hAnsi="Cambria Math" w:cs="Times New Roman"/>
                      <w:iCs/>
                      <w:color w:val="0D0D0D" w:themeColor="text1" w:themeTint="F2"/>
                      <w14:textFill>
                        <w14:solidFill>
                          <w14:schemeClr w14:val="tx1">
                            <w14:lumMod w14:val="95000"/>
                            <w14:lumOff w14:val="5000"/>
                          </w14:schemeClr>
                        </w14:solidFill>
                      </w14:textFill>
                    </w:rPr>
                  </m:ctrlPr>
                </m:sub>
              </m:sSub>
              <m:ctrlPr>
                <w:rPr>
                  <w:rFonts w:ascii="Cambria Math" w:hAnsi="Cambria Math" w:cs="Times New Roman"/>
                  <w:iCs/>
                  <w:color w:val="0D0D0D" w:themeColor="text1" w:themeTint="F2"/>
                  <w14:textFill>
                    <w14:solidFill>
                      <w14:schemeClr w14:val="tx1">
                        <w14:lumMod w14:val="95000"/>
                        <w14:lumOff w14:val="5000"/>
                      </w14:schemeClr>
                    </w14:solidFill>
                  </w14:textFill>
                </w:rPr>
              </m:ctrlPr>
            </m:num>
            <m:den>
              <m:r>
                <m:rPr>
                  <m:nor/>
                  <m:sty m:val="p"/>
                </m:rPr>
                <w:rPr>
                  <w:rFonts w:cs="Times New Roman"/>
                  <w:b w:val="0"/>
                  <w:i w:val="0"/>
                  <w:color w:val="0D0D0D" w:themeColor="text1" w:themeTint="F2"/>
                  <w14:textFill>
                    <w14:solidFill>
                      <w14:schemeClr w14:val="tx1">
                        <w14:lumMod w14:val="95000"/>
                        <w14:lumOff w14:val="5000"/>
                      </w14:schemeClr>
                    </w14:solidFill>
                  </w14:textFill>
                </w:rPr>
                <m:t>100</m:t>
              </m:r>
              <m:ctrlPr>
                <w:rPr>
                  <w:rFonts w:ascii="Cambria Math" w:hAnsi="Cambria Math" w:cs="Times New Roman"/>
                  <w:iCs/>
                  <w:color w:val="0D0D0D" w:themeColor="text1" w:themeTint="F2"/>
                  <w14:textFill>
                    <w14:solidFill>
                      <w14:schemeClr w14:val="tx1">
                        <w14:lumMod w14:val="95000"/>
                        <w14:lumOff w14:val="5000"/>
                      </w14:schemeClr>
                    </w14:solidFill>
                  </w14:textFill>
                </w:rPr>
              </m:ctrlPr>
            </m:den>
          </m:f>
          <m:r>
            <m:rPr>
              <m:nor/>
              <m:sty m:val="p"/>
            </m:rPr>
            <w:rPr>
              <w:rFonts w:cs="Times New Roman"/>
              <w:b w:val="0"/>
              <w:i w:val="0"/>
              <w:color w:val="0D0D0D" w:themeColor="text1" w:themeTint="F2"/>
              <w14:textFill>
                <w14:solidFill>
                  <w14:schemeClr w14:val="tx1">
                    <w14:lumMod w14:val="95000"/>
                    <w14:lumOff w14:val="5000"/>
                  </w14:schemeClr>
                </w14:solidFill>
              </w14:textFill>
            </w:rPr>
            <m:t>）×K</m:t>
          </m:r>
        </m:oMath>
      </m:oMathPara>
    </w:p>
    <w:p w14:paraId="1EDDF0B5">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式中：</w:t>
      </w:r>
    </w:p>
    <w:p w14:paraId="43680015">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Eso</w:t>
      </w:r>
      <w:r>
        <w:rPr>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——核算时段内二氧化硫排放量，t；</w:t>
      </w:r>
    </w:p>
    <w:p w14:paraId="07D8058A">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R——核算时段内锅炉燃料耗量，t，1＃导热油炉为8986，2＃导热油炉为7373，全厂导热油炉为16359；</w:t>
      </w:r>
    </w:p>
    <w:p w14:paraId="055945C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Sar——收到基硫的质量分数，0.0076%；</w:t>
      </w:r>
    </w:p>
    <w:p w14:paraId="4CD73B3C">
      <w:pPr>
        <w:ind w:firstLine="480" w:firstLineChars="200"/>
        <w:rPr>
          <w:color w:val="0D0D0D" w:themeColor="text1" w:themeTint="F2"/>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q</w:t>
      </w:r>
      <w:r>
        <w:rPr>
          <w:color w:val="0D0D0D" w:themeColor="text1" w:themeTint="F2"/>
          <w:u w:val="single"/>
          <w:vertAlign w:val="subscript"/>
          <w14:textFill>
            <w14:solidFill>
              <w14:schemeClr w14:val="tx1">
                <w14:lumMod w14:val="95000"/>
                <w14:lumOff w14:val="5000"/>
              </w14:schemeClr>
            </w14:solidFill>
          </w14:textFill>
        </w:rPr>
        <w:t>4</w:t>
      </w:r>
      <w:r>
        <w:rPr>
          <w:rFonts w:hint="eastAsia"/>
          <w:color w:val="0D0D0D" w:themeColor="text1" w:themeTint="F2"/>
          <w:u w:val="single"/>
          <w14:textFill>
            <w14:solidFill>
              <w14:schemeClr w14:val="tx1">
                <w14:lumMod w14:val="95000"/>
                <w14:lumOff w14:val="5000"/>
              </w14:schemeClr>
            </w14:solidFill>
          </w14:textFill>
        </w:rPr>
        <w:t>——锅炉机械不完全燃烧热损失，%，参照（HJ991-2018）表B.1，链条炉排炉取值5%~15%，本次评价取平均值10%；</w:t>
      </w:r>
    </w:p>
    <w:p w14:paraId="7808595D">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ηs——脱硫效率，0%；</w:t>
      </w:r>
    </w:p>
    <w:p w14:paraId="73594C8D">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K——燃料中的硫燃烧后氧化成二氧化硫的份额，量纲一，参照（HJ991-2018）表B.3，燃生物质炉为0.3~0.5，本次评价取平均值0.4。</w:t>
      </w:r>
    </w:p>
    <w:p w14:paraId="43DAC285">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经计算，1＃导热油炉二氧化硫</w:t>
      </w:r>
      <w:r>
        <w:rPr>
          <w:color w:val="0D0D0D" w:themeColor="text1" w:themeTint="F2"/>
          <w:u w:val="single"/>
          <w14:textFill>
            <w14:solidFill>
              <w14:schemeClr w14:val="tx1">
                <w14:lumMod w14:val="95000"/>
                <w14:lumOff w14:val="5000"/>
              </w14:schemeClr>
            </w14:solidFill>
          </w14:textFill>
        </w:rPr>
        <w:t>排放量为</w:t>
      </w:r>
      <w:r>
        <w:rPr>
          <w:rFonts w:hint="eastAsia"/>
          <w:color w:val="0D0D0D" w:themeColor="text1" w:themeTint="F2"/>
          <w:u w:val="single"/>
          <w14:textFill>
            <w14:solidFill>
              <w14:schemeClr w14:val="tx1">
                <w14:lumMod w14:val="95000"/>
                <w14:lumOff w14:val="5000"/>
              </w14:schemeClr>
            </w14:solidFill>
          </w14:textFill>
        </w:rPr>
        <w:t>0.49</w:t>
      </w:r>
      <w:r>
        <w:rPr>
          <w:color w:val="0D0D0D" w:themeColor="text1" w:themeTint="F2"/>
          <w:u w:val="single"/>
          <w14:textFill>
            <w14:solidFill>
              <w14:schemeClr w14:val="tx1">
                <w14:lumMod w14:val="95000"/>
                <w14:lumOff w14:val="5000"/>
              </w14:schemeClr>
            </w14:solidFill>
          </w14:textFill>
        </w:rPr>
        <w:t>t/a，</w:t>
      </w:r>
      <w:r>
        <w:rPr>
          <w:rFonts w:hint="eastAsia"/>
          <w:color w:val="0D0D0D" w:themeColor="text1" w:themeTint="F2"/>
          <w:u w:val="single"/>
          <w14:textFill>
            <w14:solidFill>
              <w14:schemeClr w14:val="tx1">
                <w14:lumMod w14:val="95000"/>
                <w14:lumOff w14:val="5000"/>
              </w14:schemeClr>
            </w14:solidFill>
          </w14:textFill>
        </w:rPr>
        <w:t>产生</w:t>
      </w:r>
      <w:r>
        <w:rPr>
          <w:color w:val="0D0D0D" w:themeColor="text1" w:themeTint="F2"/>
          <w:u w:val="single"/>
          <w14:textFill>
            <w14:solidFill>
              <w14:schemeClr w14:val="tx1">
                <w14:lumMod w14:val="95000"/>
                <w14:lumOff w14:val="5000"/>
              </w14:schemeClr>
            </w14:solidFill>
          </w14:textFill>
        </w:rPr>
        <w:t>量为</w:t>
      </w:r>
      <w:r>
        <w:rPr>
          <w:rFonts w:hint="eastAsia"/>
          <w:color w:val="0D0D0D" w:themeColor="text1" w:themeTint="F2"/>
          <w:u w:val="single"/>
          <w14:textFill>
            <w14:solidFill>
              <w14:schemeClr w14:val="tx1">
                <w14:lumMod w14:val="95000"/>
                <w14:lumOff w14:val="5000"/>
              </w14:schemeClr>
            </w14:solidFill>
          </w14:textFill>
        </w:rPr>
        <w:t>0.49</w:t>
      </w:r>
      <w:r>
        <w:rPr>
          <w:color w:val="0D0D0D" w:themeColor="text1" w:themeTint="F2"/>
          <w:u w:val="single"/>
          <w14:textFill>
            <w14:solidFill>
              <w14:schemeClr w14:val="tx1">
                <w14:lumMod w14:val="95000"/>
                <w14:lumOff w14:val="5000"/>
              </w14:schemeClr>
            </w14:solidFill>
          </w14:textFill>
        </w:rPr>
        <w:t>t/a</w:t>
      </w:r>
      <w:r>
        <w:rPr>
          <w:rFonts w:hint="eastAsia"/>
          <w:color w:val="0D0D0D" w:themeColor="text1" w:themeTint="F2"/>
          <w:u w:val="single"/>
          <w14:textFill>
            <w14:solidFill>
              <w14:schemeClr w14:val="tx1">
                <w14:lumMod w14:val="95000"/>
                <w14:lumOff w14:val="5000"/>
              </w14:schemeClr>
            </w14:solidFill>
          </w14:textFill>
        </w:rPr>
        <w:t>；叠加轻组分和沼气污染物0.08t/a后</w:t>
      </w:r>
      <w:r>
        <w:rPr>
          <w:color w:val="0D0D0D" w:themeColor="text1" w:themeTint="F2"/>
          <w:u w:val="single"/>
          <w14:textFill>
            <w14:solidFill>
              <w14:schemeClr w14:val="tx1">
                <w14:lumMod w14:val="95000"/>
                <w14:lumOff w14:val="5000"/>
              </w14:schemeClr>
            </w14:solidFill>
          </w14:textFill>
        </w:rPr>
        <w:t>，产生量为</w:t>
      </w:r>
      <w:r>
        <w:rPr>
          <w:rFonts w:hint="eastAsia"/>
          <w:color w:val="0D0D0D" w:themeColor="text1" w:themeTint="F2"/>
          <w:u w:val="single"/>
          <w14:textFill>
            <w14:solidFill>
              <w14:schemeClr w14:val="tx1">
                <w14:lumMod w14:val="95000"/>
                <w14:lumOff w14:val="5000"/>
              </w14:schemeClr>
            </w14:solidFill>
          </w14:textFill>
        </w:rPr>
        <w:t>0.57</w:t>
      </w:r>
      <w:r>
        <w:rPr>
          <w:color w:val="0D0D0D" w:themeColor="text1" w:themeTint="F2"/>
          <w:u w:val="single"/>
          <w14:textFill>
            <w14:solidFill>
              <w14:schemeClr w14:val="tx1">
                <w14:lumMod w14:val="95000"/>
                <w14:lumOff w14:val="5000"/>
              </w14:schemeClr>
            </w14:solidFill>
          </w14:textFill>
        </w:rPr>
        <w:t>t/a，排放量为</w:t>
      </w:r>
      <w:r>
        <w:rPr>
          <w:rFonts w:hint="eastAsia"/>
          <w:color w:val="0D0D0D" w:themeColor="text1" w:themeTint="F2"/>
          <w:u w:val="single"/>
          <w14:textFill>
            <w14:solidFill>
              <w14:schemeClr w14:val="tx1">
                <w14:lumMod w14:val="95000"/>
                <w14:lumOff w14:val="5000"/>
              </w14:schemeClr>
            </w14:solidFill>
          </w14:textFill>
        </w:rPr>
        <w:t>0.57</w:t>
      </w:r>
      <w:r>
        <w:rPr>
          <w:color w:val="0D0D0D" w:themeColor="text1" w:themeTint="F2"/>
          <w:u w:val="single"/>
          <w14:textFill>
            <w14:solidFill>
              <w14:schemeClr w14:val="tx1">
                <w14:lumMod w14:val="95000"/>
                <w14:lumOff w14:val="5000"/>
              </w14:schemeClr>
            </w14:solidFill>
          </w14:textFill>
        </w:rPr>
        <w:t>t/a</w:t>
      </w:r>
      <w:r>
        <w:rPr>
          <w:rFonts w:hint="eastAsia"/>
          <w:color w:val="0D0D0D" w:themeColor="text1" w:themeTint="F2"/>
          <w:u w:val="single"/>
          <w14:textFill>
            <w14:solidFill>
              <w14:schemeClr w14:val="tx1">
                <w14:lumMod w14:val="95000"/>
                <w14:lumOff w14:val="5000"/>
              </w14:schemeClr>
            </w14:solidFill>
          </w14:textFill>
        </w:rPr>
        <w:t>；2＃导热油炉二氧化硫</w:t>
      </w:r>
      <w:r>
        <w:rPr>
          <w:color w:val="0D0D0D" w:themeColor="text1" w:themeTint="F2"/>
          <w:u w:val="single"/>
          <w14:textFill>
            <w14:solidFill>
              <w14:schemeClr w14:val="tx1">
                <w14:lumMod w14:val="95000"/>
                <w14:lumOff w14:val="5000"/>
              </w14:schemeClr>
            </w14:solidFill>
          </w14:textFill>
        </w:rPr>
        <w:t>排放量为</w:t>
      </w:r>
      <w:r>
        <w:rPr>
          <w:rFonts w:hint="eastAsia"/>
          <w:color w:val="0D0D0D" w:themeColor="text1" w:themeTint="F2"/>
          <w:u w:val="single"/>
          <w14:textFill>
            <w14:solidFill>
              <w14:schemeClr w14:val="tx1">
                <w14:lumMod w14:val="95000"/>
                <w14:lumOff w14:val="5000"/>
              </w14:schemeClr>
            </w14:solidFill>
          </w14:textFill>
        </w:rPr>
        <w:t>0.40</w:t>
      </w:r>
      <w:r>
        <w:rPr>
          <w:color w:val="0D0D0D" w:themeColor="text1" w:themeTint="F2"/>
          <w:u w:val="single"/>
          <w14:textFill>
            <w14:solidFill>
              <w14:schemeClr w14:val="tx1">
                <w14:lumMod w14:val="95000"/>
                <w14:lumOff w14:val="5000"/>
              </w14:schemeClr>
            </w14:solidFill>
          </w14:textFill>
        </w:rPr>
        <w:t>t/a，产生量为</w:t>
      </w:r>
      <w:r>
        <w:rPr>
          <w:rFonts w:hint="eastAsia"/>
          <w:color w:val="0D0D0D" w:themeColor="text1" w:themeTint="F2"/>
          <w:u w:val="single"/>
          <w14:textFill>
            <w14:solidFill>
              <w14:schemeClr w14:val="tx1">
                <w14:lumMod w14:val="95000"/>
                <w14:lumOff w14:val="5000"/>
              </w14:schemeClr>
            </w14:solidFill>
          </w14:textFill>
        </w:rPr>
        <w:t>0.40</w:t>
      </w:r>
      <w:r>
        <w:rPr>
          <w:color w:val="0D0D0D" w:themeColor="text1" w:themeTint="F2"/>
          <w:u w:val="single"/>
          <w14:textFill>
            <w14:solidFill>
              <w14:schemeClr w14:val="tx1">
                <w14:lumMod w14:val="95000"/>
                <w14:lumOff w14:val="5000"/>
              </w14:schemeClr>
            </w14:solidFill>
          </w14:textFill>
        </w:rPr>
        <w:t>t/a</w:t>
      </w:r>
      <w:r>
        <w:rPr>
          <w:rFonts w:hint="eastAsia"/>
          <w:color w:val="0D0D0D" w:themeColor="text1" w:themeTint="F2"/>
          <w:u w:val="single"/>
          <w14:textFill>
            <w14:solidFill>
              <w14:schemeClr w14:val="tx1">
                <w14:lumMod w14:val="95000"/>
                <w14:lumOff w14:val="5000"/>
              </w14:schemeClr>
            </w14:solidFill>
          </w14:textFill>
        </w:rPr>
        <w:t>；全厂导热油炉二氧化硫</w:t>
      </w:r>
      <w:r>
        <w:rPr>
          <w:color w:val="0D0D0D" w:themeColor="text1" w:themeTint="F2"/>
          <w:u w:val="single"/>
          <w14:textFill>
            <w14:solidFill>
              <w14:schemeClr w14:val="tx1">
                <w14:lumMod w14:val="95000"/>
                <w14:lumOff w14:val="5000"/>
              </w14:schemeClr>
            </w14:solidFill>
          </w14:textFill>
        </w:rPr>
        <w:t>排放量为</w:t>
      </w:r>
      <w:r>
        <w:rPr>
          <w:rFonts w:hint="eastAsia"/>
          <w:color w:val="0D0D0D" w:themeColor="text1" w:themeTint="F2"/>
          <w:u w:val="single"/>
          <w14:textFill>
            <w14:solidFill>
              <w14:schemeClr w14:val="tx1">
                <w14:lumMod w14:val="95000"/>
                <w14:lumOff w14:val="5000"/>
              </w14:schemeClr>
            </w14:solidFill>
          </w14:textFill>
        </w:rPr>
        <w:t>0.97</w:t>
      </w:r>
      <w:r>
        <w:rPr>
          <w:color w:val="0D0D0D" w:themeColor="text1" w:themeTint="F2"/>
          <w:u w:val="single"/>
          <w14:textFill>
            <w14:solidFill>
              <w14:schemeClr w14:val="tx1">
                <w14:lumMod w14:val="95000"/>
                <w14:lumOff w14:val="5000"/>
              </w14:schemeClr>
            </w14:solidFill>
          </w14:textFill>
        </w:rPr>
        <w:t>t/a，产生量为</w:t>
      </w:r>
      <w:r>
        <w:rPr>
          <w:rFonts w:hint="eastAsia"/>
          <w:color w:val="0D0D0D" w:themeColor="text1" w:themeTint="F2"/>
          <w:u w:val="single"/>
          <w14:textFill>
            <w14:solidFill>
              <w14:schemeClr w14:val="tx1">
                <w14:lumMod w14:val="95000"/>
                <w14:lumOff w14:val="5000"/>
              </w14:schemeClr>
            </w14:solidFill>
          </w14:textFill>
        </w:rPr>
        <w:t>0.97</w:t>
      </w:r>
      <w:r>
        <w:rPr>
          <w:color w:val="0D0D0D" w:themeColor="text1" w:themeTint="F2"/>
          <w:u w:val="single"/>
          <w14:textFill>
            <w14:solidFill>
              <w14:schemeClr w14:val="tx1">
                <w14:lumMod w14:val="95000"/>
                <w14:lumOff w14:val="5000"/>
              </w14:schemeClr>
            </w14:solidFill>
          </w14:textFill>
        </w:rPr>
        <w:t>t/a</w:t>
      </w:r>
      <w:r>
        <w:rPr>
          <w:rFonts w:hint="eastAsia"/>
          <w:color w:val="0D0D0D" w:themeColor="text1" w:themeTint="F2"/>
          <w:u w:val="single"/>
          <w14:textFill>
            <w14:solidFill>
              <w14:schemeClr w14:val="tx1">
                <w14:lumMod w14:val="95000"/>
                <w14:lumOff w14:val="5000"/>
              </w14:schemeClr>
            </w14:solidFill>
          </w14:textFill>
        </w:rPr>
        <w:t>。</w:t>
      </w:r>
    </w:p>
    <w:p w14:paraId="3A65478D">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⑤氮氧化物</w:t>
      </w:r>
    </w:p>
    <w:p w14:paraId="037A5796">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氮氧化物排放量参照《排污许可证申请与核发技术规范  锅炉》（HJ953-2018）表F4中的燃生物质工业锅炉的废气产排污系数进行核算，层燃炉氮氧化物直排情况下产排污系数为1.02kg/吨燃料，1＃导热油炉燃料使用量为8986吨，2＃导热油炉燃料使用量为7373吨，全厂导热油炉燃料使用量为16359吨，则1＃导热油炉氮氧化物</w:t>
      </w:r>
      <w:r>
        <w:rPr>
          <w:color w:val="0D0D0D" w:themeColor="text1" w:themeTint="F2"/>
          <w:u w:val="single"/>
          <w14:textFill>
            <w14:solidFill>
              <w14:schemeClr w14:val="tx1">
                <w14:lumMod w14:val="95000"/>
                <w14:lumOff w14:val="5000"/>
              </w14:schemeClr>
            </w14:solidFill>
          </w14:textFill>
        </w:rPr>
        <w:t>排放量为</w:t>
      </w:r>
      <w:r>
        <w:rPr>
          <w:rFonts w:hint="eastAsia"/>
          <w:color w:val="0D0D0D" w:themeColor="text1" w:themeTint="F2"/>
          <w:u w:val="single"/>
          <w14:textFill>
            <w14:solidFill>
              <w14:schemeClr w14:val="tx1">
                <w14:lumMod w14:val="95000"/>
                <w14:lumOff w14:val="5000"/>
              </w14:schemeClr>
            </w14:solidFill>
          </w14:textFill>
        </w:rPr>
        <w:t>9.17</w:t>
      </w:r>
      <w:r>
        <w:rPr>
          <w:color w:val="0D0D0D" w:themeColor="text1" w:themeTint="F2"/>
          <w:u w:val="single"/>
          <w14:textFill>
            <w14:solidFill>
              <w14:schemeClr w14:val="tx1">
                <w14:lumMod w14:val="95000"/>
                <w14:lumOff w14:val="5000"/>
              </w14:schemeClr>
            </w14:solidFill>
          </w14:textFill>
        </w:rPr>
        <w:t>t/a</w:t>
      </w:r>
      <w:r>
        <w:rPr>
          <w:rFonts w:hint="eastAsia"/>
          <w:color w:val="0D0D0D" w:themeColor="text1" w:themeTint="F2"/>
          <w:u w:val="single"/>
          <w14:textFill>
            <w14:solidFill>
              <w14:schemeClr w14:val="tx1">
                <w14:lumMod w14:val="95000"/>
                <w14:lumOff w14:val="5000"/>
              </w14:schemeClr>
            </w14:solidFill>
          </w14:textFill>
        </w:rPr>
        <w:t>，叠加轻组分和沼气污染物5.03t/a后，排放量为14.2t/a；2＃导热油炉氮氧化物</w:t>
      </w:r>
      <w:r>
        <w:rPr>
          <w:color w:val="0D0D0D" w:themeColor="text1" w:themeTint="F2"/>
          <w:u w:val="single"/>
          <w14:textFill>
            <w14:solidFill>
              <w14:schemeClr w14:val="tx1">
                <w14:lumMod w14:val="95000"/>
                <w14:lumOff w14:val="5000"/>
              </w14:schemeClr>
            </w14:solidFill>
          </w14:textFill>
        </w:rPr>
        <w:t>排放量为</w:t>
      </w:r>
      <w:r>
        <w:rPr>
          <w:rFonts w:hint="eastAsia"/>
          <w:color w:val="0D0D0D" w:themeColor="text1" w:themeTint="F2"/>
          <w:u w:val="single"/>
          <w14:textFill>
            <w14:solidFill>
              <w14:schemeClr w14:val="tx1">
                <w14:lumMod w14:val="95000"/>
                <w14:lumOff w14:val="5000"/>
              </w14:schemeClr>
            </w14:solidFill>
          </w14:textFill>
        </w:rPr>
        <w:t>7.52</w:t>
      </w:r>
      <w:r>
        <w:rPr>
          <w:color w:val="0D0D0D" w:themeColor="text1" w:themeTint="F2"/>
          <w:u w:val="single"/>
          <w14:textFill>
            <w14:solidFill>
              <w14:schemeClr w14:val="tx1">
                <w14:lumMod w14:val="95000"/>
                <w14:lumOff w14:val="5000"/>
              </w14:schemeClr>
            </w14:solidFill>
          </w14:textFill>
        </w:rPr>
        <w:t>t/a</w:t>
      </w:r>
      <w:r>
        <w:rPr>
          <w:rFonts w:hint="eastAsia"/>
          <w:color w:val="0D0D0D" w:themeColor="text1" w:themeTint="F2"/>
          <w:u w:val="single"/>
          <w14:textFill>
            <w14:solidFill>
              <w14:schemeClr w14:val="tx1">
                <w14:lumMod w14:val="95000"/>
                <w14:lumOff w14:val="5000"/>
              </w14:schemeClr>
            </w14:solidFill>
          </w14:textFill>
        </w:rPr>
        <w:t>；全场导热油炉氮氧化物</w:t>
      </w:r>
      <w:r>
        <w:rPr>
          <w:color w:val="0D0D0D" w:themeColor="text1" w:themeTint="F2"/>
          <w:u w:val="single"/>
          <w14:textFill>
            <w14:solidFill>
              <w14:schemeClr w14:val="tx1">
                <w14:lumMod w14:val="95000"/>
                <w14:lumOff w14:val="5000"/>
              </w14:schemeClr>
            </w14:solidFill>
          </w14:textFill>
        </w:rPr>
        <w:t>排放量为</w:t>
      </w:r>
      <w:r>
        <w:rPr>
          <w:rFonts w:hint="eastAsia"/>
          <w:color w:val="0D0D0D" w:themeColor="text1" w:themeTint="F2"/>
          <w:u w:val="single"/>
          <w14:textFill>
            <w14:solidFill>
              <w14:schemeClr w14:val="tx1">
                <w14:lumMod w14:val="95000"/>
                <w14:lumOff w14:val="5000"/>
              </w14:schemeClr>
            </w14:solidFill>
          </w14:textFill>
        </w:rPr>
        <w:t>21.72</w:t>
      </w:r>
      <w:r>
        <w:rPr>
          <w:color w:val="0D0D0D" w:themeColor="text1" w:themeTint="F2"/>
          <w:u w:val="single"/>
          <w14:textFill>
            <w14:solidFill>
              <w14:schemeClr w14:val="tx1">
                <w14:lumMod w14:val="95000"/>
                <w14:lumOff w14:val="5000"/>
              </w14:schemeClr>
            </w14:solidFill>
          </w14:textFill>
        </w:rPr>
        <w:t>t/a</w:t>
      </w:r>
      <w:r>
        <w:rPr>
          <w:rFonts w:hint="eastAsia"/>
          <w:color w:val="0D0D0D" w:themeColor="text1" w:themeTint="F2"/>
          <w:u w:val="single"/>
          <w14:textFill>
            <w14:solidFill>
              <w14:schemeClr w14:val="tx1">
                <w14:lumMod w14:val="95000"/>
                <w14:lumOff w14:val="5000"/>
              </w14:schemeClr>
            </w14:solidFill>
          </w14:textFill>
        </w:rPr>
        <w:t>。</w:t>
      </w:r>
    </w:p>
    <w:p w14:paraId="5039B4E0">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导热油炉废气污染物产排情况详见表3.3-13。</w:t>
      </w:r>
    </w:p>
    <w:p w14:paraId="434DF3E9">
      <w:pPr>
        <w:pStyle w:val="11"/>
      </w:pPr>
      <w:r>
        <w:rPr>
          <w:rFonts w:hint="eastAsia"/>
        </w:rPr>
        <w:t xml:space="preserve"> 导热油炉废气污染物产排情况一览表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1046"/>
        <w:gridCol w:w="867"/>
        <w:gridCol w:w="1194"/>
        <w:gridCol w:w="1227"/>
        <w:gridCol w:w="1286"/>
        <w:gridCol w:w="867"/>
        <w:gridCol w:w="1091"/>
        <w:gridCol w:w="1228"/>
      </w:tblGrid>
      <w:tr w14:paraId="61FFB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6" w:type="pct"/>
            <w:vAlign w:val="center"/>
          </w:tcPr>
          <w:p w14:paraId="20930198">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污染源</w:t>
            </w:r>
          </w:p>
        </w:tc>
        <w:tc>
          <w:tcPr>
            <w:tcW w:w="566" w:type="pct"/>
            <w:vAlign w:val="center"/>
          </w:tcPr>
          <w:p w14:paraId="42B0F6CA">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污染物</w:t>
            </w:r>
          </w:p>
        </w:tc>
        <w:tc>
          <w:tcPr>
            <w:tcW w:w="469" w:type="pct"/>
            <w:vAlign w:val="center"/>
          </w:tcPr>
          <w:p w14:paraId="19F883A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产生量</w:t>
            </w:r>
          </w:p>
          <w:p w14:paraId="6DDFFA41">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t/a</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p>
        </w:tc>
        <w:tc>
          <w:tcPr>
            <w:tcW w:w="646" w:type="pct"/>
            <w:vAlign w:val="center"/>
          </w:tcPr>
          <w:p w14:paraId="4490863A">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产生速率</w:t>
            </w:r>
          </w:p>
          <w:p w14:paraId="777A2739">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kg/h</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p>
        </w:tc>
        <w:tc>
          <w:tcPr>
            <w:tcW w:w="664" w:type="pct"/>
            <w:vAlign w:val="center"/>
          </w:tcPr>
          <w:p w14:paraId="243FB2D7">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产生浓度</w:t>
            </w:r>
          </w:p>
          <w:p w14:paraId="3ABCA2C5">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mg/m</w:t>
            </w:r>
            <w:r>
              <w:rPr>
                <w:rFonts w:cs="Times New Roman"/>
                <w:bCs/>
                <w:color w:val="0D0D0D" w:themeColor="text1" w:themeTint="F2"/>
                <w:kern w:val="0"/>
                <w:sz w:val="21"/>
                <w:szCs w:val="21"/>
                <w:u w:val="single"/>
                <w:vertAlign w:val="superscript"/>
                <w14:textFill>
                  <w14:solidFill>
                    <w14:schemeClr w14:val="tx1">
                      <w14:lumMod w14:val="95000"/>
                      <w14:lumOff w14:val="5000"/>
                    </w14:schemeClr>
                  </w14:solidFill>
                </w14:textFill>
              </w:rPr>
              <w:t>3</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p>
        </w:tc>
        <w:tc>
          <w:tcPr>
            <w:tcW w:w="696" w:type="pct"/>
            <w:vAlign w:val="center"/>
          </w:tcPr>
          <w:p w14:paraId="71BD3009">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处理措施</w:t>
            </w:r>
          </w:p>
        </w:tc>
        <w:tc>
          <w:tcPr>
            <w:tcW w:w="469" w:type="pct"/>
            <w:vAlign w:val="center"/>
          </w:tcPr>
          <w:p w14:paraId="01E8CC9F">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排放量</w:t>
            </w:r>
          </w:p>
          <w:p w14:paraId="5AFEB345">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t/a</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p>
        </w:tc>
        <w:tc>
          <w:tcPr>
            <w:tcW w:w="590" w:type="pct"/>
            <w:vAlign w:val="center"/>
          </w:tcPr>
          <w:p w14:paraId="78305128">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排放速率</w:t>
            </w:r>
          </w:p>
          <w:p w14:paraId="70A65C5F">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kg/h</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p>
        </w:tc>
        <w:tc>
          <w:tcPr>
            <w:tcW w:w="664" w:type="pct"/>
            <w:vAlign w:val="center"/>
          </w:tcPr>
          <w:p w14:paraId="393297A2">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排放浓度</w:t>
            </w:r>
          </w:p>
          <w:p w14:paraId="64EFE3B6">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mg/m</w:t>
            </w:r>
            <w:r>
              <w:rPr>
                <w:rFonts w:cs="Times New Roman"/>
                <w:bCs/>
                <w:color w:val="0D0D0D" w:themeColor="text1" w:themeTint="F2"/>
                <w:kern w:val="0"/>
                <w:sz w:val="21"/>
                <w:szCs w:val="21"/>
                <w:u w:val="single"/>
                <w:vertAlign w:val="superscript"/>
                <w14:textFill>
                  <w14:solidFill>
                    <w14:schemeClr w14:val="tx1">
                      <w14:lumMod w14:val="95000"/>
                      <w14:lumOff w14:val="5000"/>
                    </w14:schemeClr>
                  </w14:solidFill>
                </w14:textFill>
              </w:rPr>
              <w:t>3</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p>
        </w:tc>
      </w:tr>
      <w:tr w14:paraId="0AEE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6" w:type="pct"/>
            <w:vMerge w:val="restart"/>
            <w:vAlign w:val="center"/>
          </w:tcPr>
          <w:p w14:paraId="6AFE2D2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1＃导热油炉</w:t>
            </w:r>
          </w:p>
        </w:tc>
        <w:tc>
          <w:tcPr>
            <w:tcW w:w="566" w:type="pct"/>
            <w:vAlign w:val="center"/>
          </w:tcPr>
          <w:p w14:paraId="3417CB20">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颗粒物</w:t>
            </w:r>
          </w:p>
        </w:tc>
        <w:tc>
          <w:tcPr>
            <w:tcW w:w="469" w:type="pct"/>
            <w:vAlign w:val="center"/>
          </w:tcPr>
          <w:p w14:paraId="0FD851E3">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61.56</w:t>
            </w:r>
          </w:p>
        </w:tc>
        <w:tc>
          <w:tcPr>
            <w:tcW w:w="646" w:type="pct"/>
            <w:vAlign w:val="center"/>
          </w:tcPr>
          <w:p w14:paraId="78CA1AF9">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8.55</w:t>
            </w:r>
          </w:p>
        </w:tc>
        <w:tc>
          <w:tcPr>
            <w:tcW w:w="664" w:type="pct"/>
            <w:vAlign w:val="center"/>
          </w:tcPr>
          <w:p w14:paraId="7C79B46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p>
        </w:tc>
        <w:tc>
          <w:tcPr>
            <w:tcW w:w="696" w:type="pct"/>
            <w:vMerge w:val="restart"/>
            <w:vAlign w:val="center"/>
          </w:tcPr>
          <w:p w14:paraId="640B77B6">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旋风除尘器+布袋除尘器+40m排气筒（DA002）</w:t>
            </w:r>
          </w:p>
        </w:tc>
        <w:tc>
          <w:tcPr>
            <w:tcW w:w="469" w:type="pct"/>
            <w:vAlign w:val="center"/>
          </w:tcPr>
          <w:p w14:paraId="26FC7149">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0.62</w:t>
            </w:r>
          </w:p>
        </w:tc>
        <w:tc>
          <w:tcPr>
            <w:tcW w:w="590" w:type="pct"/>
            <w:vAlign w:val="center"/>
          </w:tcPr>
          <w:p w14:paraId="3D92D423">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0.086</w:t>
            </w:r>
          </w:p>
        </w:tc>
        <w:tc>
          <w:tcPr>
            <w:tcW w:w="664" w:type="pct"/>
            <w:vAlign w:val="center"/>
          </w:tcPr>
          <w:p w14:paraId="44E11BA8">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p>
        </w:tc>
      </w:tr>
      <w:tr w14:paraId="19F93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6" w:type="pct"/>
            <w:vMerge w:val="continue"/>
            <w:vAlign w:val="center"/>
          </w:tcPr>
          <w:p w14:paraId="054DD7AF">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566" w:type="pct"/>
            <w:vAlign w:val="center"/>
          </w:tcPr>
          <w:p w14:paraId="1657F7F1">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SO</w:t>
            </w:r>
            <w:r>
              <w:rPr>
                <w:rFonts w:hint="eastAsia"/>
                <w:color w:val="0D0D0D" w:themeColor="text1" w:themeTint="F2"/>
                <w:sz w:val="21"/>
                <w:szCs w:val="21"/>
                <w:u w:val="single"/>
                <w:vertAlign w:val="subscript"/>
                <w14:textFill>
                  <w14:solidFill>
                    <w14:schemeClr w14:val="tx1">
                      <w14:lumMod w14:val="95000"/>
                      <w14:lumOff w14:val="5000"/>
                    </w14:schemeClr>
                  </w14:solidFill>
                </w14:textFill>
              </w:rPr>
              <w:t>2</w:t>
            </w:r>
          </w:p>
        </w:tc>
        <w:tc>
          <w:tcPr>
            <w:tcW w:w="469" w:type="pct"/>
            <w:vAlign w:val="center"/>
          </w:tcPr>
          <w:p w14:paraId="47CFA833">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0.57</w:t>
            </w:r>
          </w:p>
        </w:tc>
        <w:tc>
          <w:tcPr>
            <w:tcW w:w="646" w:type="pct"/>
            <w:vAlign w:val="center"/>
          </w:tcPr>
          <w:p w14:paraId="04748998">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0.079</w:t>
            </w:r>
          </w:p>
        </w:tc>
        <w:tc>
          <w:tcPr>
            <w:tcW w:w="664" w:type="pct"/>
            <w:vAlign w:val="center"/>
          </w:tcPr>
          <w:p w14:paraId="05CF3043">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p>
        </w:tc>
        <w:tc>
          <w:tcPr>
            <w:tcW w:w="696" w:type="pct"/>
            <w:vMerge w:val="continue"/>
            <w:vAlign w:val="center"/>
          </w:tcPr>
          <w:p w14:paraId="787B3BF9">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69" w:type="pct"/>
            <w:vAlign w:val="center"/>
          </w:tcPr>
          <w:p w14:paraId="2AB8C428">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0.57</w:t>
            </w:r>
          </w:p>
        </w:tc>
        <w:tc>
          <w:tcPr>
            <w:tcW w:w="590" w:type="pct"/>
            <w:vAlign w:val="center"/>
          </w:tcPr>
          <w:p w14:paraId="0D4A0063">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0.079</w:t>
            </w:r>
          </w:p>
        </w:tc>
        <w:tc>
          <w:tcPr>
            <w:tcW w:w="664" w:type="pct"/>
            <w:vAlign w:val="center"/>
          </w:tcPr>
          <w:p w14:paraId="6AFD7EE0">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p>
        </w:tc>
      </w:tr>
      <w:tr w14:paraId="0320C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6" w:type="pct"/>
            <w:vMerge w:val="continue"/>
            <w:vAlign w:val="center"/>
          </w:tcPr>
          <w:p w14:paraId="08E49117">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566" w:type="pct"/>
            <w:vAlign w:val="center"/>
          </w:tcPr>
          <w:p w14:paraId="439EE616">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NOx</w:t>
            </w:r>
          </w:p>
        </w:tc>
        <w:tc>
          <w:tcPr>
            <w:tcW w:w="469" w:type="pct"/>
            <w:vAlign w:val="center"/>
          </w:tcPr>
          <w:p w14:paraId="41EDC5D0">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14.2</w:t>
            </w:r>
          </w:p>
        </w:tc>
        <w:tc>
          <w:tcPr>
            <w:tcW w:w="646" w:type="pct"/>
            <w:vAlign w:val="center"/>
          </w:tcPr>
          <w:p w14:paraId="59CAA503">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1.972</w:t>
            </w:r>
          </w:p>
        </w:tc>
        <w:tc>
          <w:tcPr>
            <w:tcW w:w="664" w:type="pct"/>
            <w:vAlign w:val="center"/>
          </w:tcPr>
          <w:p w14:paraId="4E2945DF">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p>
        </w:tc>
        <w:tc>
          <w:tcPr>
            <w:tcW w:w="696" w:type="pct"/>
            <w:vMerge w:val="continue"/>
            <w:vAlign w:val="center"/>
          </w:tcPr>
          <w:p w14:paraId="206A576D">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69" w:type="pct"/>
            <w:vAlign w:val="center"/>
          </w:tcPr>
          <w:p w14:paraId="2AA8BB27">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14.2</w:t>
            </w:r>
          </w:p>
        </w:tc>
        <w:tc>
          <w:tcPr>
            <w:tcW w:w="590" w:type="pct"/>
            <w:vAlign w:val="center"/>
          </w:tcPr>
          <w:p w14:paraId="262096BE">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1.972</w:t>
            </w:r>
          </w:p>
        </w:tc>
        <w:tc>
          <w:tcPr>
            <w:tcW w:w="664" w:type="pct"/>
            <w:vAlign w:val="center"/>
          </w:tcPr>
          <w:p w14:paraId="4B43CD1E">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p>
        </w:tc>
      </w:tr>
      <w:tr w14:paraId="725A7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6" w:type="pct"/>
            <w:vMerge w:val="continue"/>
            <w:vAlign w:val="center"/>
          </w:tcPr>
          <w:p w14:paraId="06F6AD5A">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566" w:type="pct"/>
            <w:vAlign w:val="center"/>
          </w:tcPr>
          <w:p w14:paraId="1B6904DD">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废气量</w:t>
            </w:r>
          </w:p>
        </w:tc>
        <w:tc>
          <w:tcPr>
            <w:tcW w:w="1779" w:type="pct"/>
            <w:gridSpan w:val="3"/>
            <w:vAlign w:val="center"/>
          </w:tcPr>
          <w:p w14:paraId="26EC4DC8">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10800万m</w:t>
            </w:r>
            <w:r>
              <w:rPr>
                <w:rFonts w:cs="Times New Roman"/>
                <w:bCs/>
                <w:color w:val="0D0D0D" w:themeColor="text1" w:themeTint="F2"/>
                <w:kern w:val="0"/>
                <w:sz w:val="21"/>
                <w:szCs w:val="21"/>
                <w:u w:val="single"/>
                <w:vertAlign w:val="superscript"/>
                <w14:textFill>
                  <w14:solidFill>
                    <w14:schemeClr w14:val="tx1">
                      <w14:lumMod w14:val="95000"/>
                      <w14:lumOff w14:val="5000"/>
                    </w14:schemeClr>
                  </w14:solidFill>
                </w14:textFill>
              </w:rPr>
              <w:t>3</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/a</w:t>
            </w:r>
          </w:p>
        </w:tc>
        <w:tc>
          <w:tcPr>
            <w:tcW w:w="696" w:type="pct"/>
            <w:vMerge w:val="continue"/>
            <w:vAlign w:val="center"/>
          </w:tcPr>
          <w:p w14:paraId="5270C4AD">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1723" w:type="pct"/>
            <w:gridSpan w:val="3"/>
            <w:vAlign w:val="center"/>
          </w:tcPr>
          <w:p w14:paraId="4B360494">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10800万m</w:t>
            </w:r>
            <w:r>
              <w:rPr>
                <w:rFonts w:cs="Times New Roman"/>
                <w:bCs/>
                <w:color w:val="0D0D0D" w:themeColor="text1" w:themeTint="F2"/>
                <w:kern w:val="0"/>
                <w:sz w:val="21"/>
                <w:szCs w:val="21"/>
                <w:u w:val="single"/>
                <w:vertAlign w:val="superscript"/>
                <w14:textFill>
                  <w14:solidFill>
                    <w14:schemeClr w14:val="tx1">
                      <w14:lumMod w14:val="95000"/>
                      <w14:lumOff w14:val="5000"/>
                    </w14:schemeClr>
                  </w14:solidFill>
                </w14:textFill>
              </w:rPr>
              <w:t>3</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/a</w:t>
            </w:r>
          </w:p>
        </w:tc>
      </w:tr>
      <w:tr w14:paraId="6E59D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6" w:type="pct"/>
            <w:vMerge w:val="restart"/>
            <w:vAlign w:val="center"/>
          </w:tcPr>
          <w:p w14:paraId="14120B7E">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2＃导热油炉</w:t>
            </w:r>
          </w:p>
        </w:tc>
        <w:tc>
          <w:tcPr>
            <w:tcW w:w="566" w:type="pct"/>
            <w:vAlign w:val="center"/>
          </w:tcPr>
          <w:p w14:paraId="134F9BAC">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颗粒物</w:t>
            </w:r>
          </w:p>
        </w:tc>
        <w:tc>
          <w:tcPr>
            <w:tcW w:w="469" w:type="pct"/>
            <w:vAlign w:val="center"/>
          </w:tcPr>
          <w:p w14:paraId="7013C01E">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50.2</w:t>
            </w:r>
          </w:p>
        </w:tc>
        <w:tc>
          <w:tcPr>
            <w:tcW w:w="646" w:type="pct"/>
            <w:vAlign w:val="center"/>
          </w:tcPr>
          <w:p w14:paraId="40BE264D">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6.972</w:t>
            </w:r>
          </w:p>
        </w:tc>
        <w:tc>
          <w:tcPr>
            <w:tcW w:w="664" w:type="pct"/>
            <w:vAlign w:val="center"/>
          </w:tcPr>
          <w:p w14:paraId="59D024EC">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p>
        </w:tc>
        <w:tc>
          <w:tcPr>
            <w:tcW w:w="696" w:type="pct"/>
            <w:vMerge w:val="restart"/>
            <w:vAlign w:val="center"/>
          </w:tcPr>
          <w:p w14:paraId="2125607B">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旋风除尘器+布袋除尘器+40m排气筒（DA002）</w:t>
            </w:r>
          </w:p>
        </w:tc>
        <w:tc>
          <w:tcPr>
            <w:tcW w:w="469" w:type="pct"/>
            <w:vAlign w:val="center"/>
          </w:tcPr>
          <w:p w14:paraId="31F313FE">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0.50</w:t>
            </w:r>
          </w:p>
        </w:tc>
        <w:tc>
          <w:tcPr>
            <w:tcW w:w="590" w:type="pct"/>
            <w:vAlign w:val="center"/>
          </w:tcPr>
          <w:p w14:paraId="5552D1C9">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0.069</w:t>
            </w:r>
          </w:p>
        </w:tc>
        <w:tc>
          <w:tcPr>
            <w:tcW w:w="664" w:type="pct"/>
            <w:vAlign w:val="center"/>
          </w:tcPr>
          <w:p w14:paraId="6546F60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p>
        </w:tc>
      </w:tr>
      <w:tr w14:paraId="74F14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6" w:type="pct"/>
            <w:vMerge w:val="continue"/>
            <w:vAlign w:val="center"/>
          </w:tcPr>
          <w:p w14:paraId="7AA5A67C">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566" w:type="pct"/>
            <w:vAlign w:val="center"/>
          </w:tcPr>
          <w:p w14:paraId="3FF0ECB1">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SO</w:t>
            </w:r>
            <w:r>
              <w:rPr>
                <w:rFonts w:hint="eastAsia"/>
                <w:color w:val="0D0D0D" w:themeColor="text1" w:themeTint="F2"/>
                <w:sz w:val="21"/>
                <w:szCs w:val="21"/>
                <w:u w:val="single"/>
                <w:vertAlign w:val="subscript"/>
                <w14:textFill>
                  <w14:solidFill>
                    <w14:schemeClr w14:val="tx1">
                      <w14:lumMod w14:val="95000"/>
                      <w14:lumOff w14:val="5000"/>
                    </w14:schemeClr>
                  </w14:solidFill>
                </w14:textFill>
              </w:rPr>
              <w:t>2</w:t>
            </w:r>
          </w:p>
        </w:tc>
        <w:tc>
          <w:tcPr>
            <w:tcW w:w="469" w:type="pct"/>
            <w:vAlign w:val="center"/>
          </w:tcPr>
          <w:p w14:paraId="18B50FB4">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0.40</w:t>
            </w:r>
          </w:p>
        </w:tc>
        <w:tc>
          <w:tcPr>
            <w:tcW w:w="646" w:type="pct"/>
            <w:vAlign w:val="center"/>
          </w:tcPr>
          <w:p w14:paraId="75283837">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0.056</w:t>
            </w:r>
          </w:p>
        </w:tc>
        <w:tc>
          <w:tcPr>
            <w:tcW w:w="664" w:type="pct"/>
            <w:vAlign w:val="center"/>
          </w:tcPr>
          <w:p w14:paraId="23018F4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p>
        </w:tc>
        <w:tc>
          <w:tcPr>
            <w:tcW w:w="696" w:type="pct"/>
            <w:vMerge w:val="continue"/>
            <w:vAlign w:val="center"/>
          </w:tcPr>
          <w:p w14:paraId="0DE2E6B9">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69" w:type="pct"/>
            <w:vAlign w:val="center"/>
          </w:tcPr>
          <w:p w14:paraId="54B9FCB4">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0.40</w:t>
            </w:r>
          </w:p>
        </w:tc>
        <w:tc>
          <w:tcPr>
            <w:tcW w:w="590" w:type="pct"/>
            <w:vAlign w:val="center"/>
          </w:tcPr>
          <w:p w14:paraId="7E2079C0">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0.056</w:t>
            </w:r>
          </w:p>
        </w:tc>
        <w:tc>
          <w:tcPr>
            <w:tcW w:w="664" w:type="pct"/>
            <w:vAlign w:val="center"/>
          </w:tcPr>
          <w:p w14:paraId="3EEBBE53">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p>
        </w:tc>
      </w:tr>
      <w:tr w14:paraId="1D3D7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6" w:type="pct"/>
            <w:vMerge w:val="continue"/>
            <w:vAlign w:val="center"/>
          </w:tcPr>
          <w:p w14:paraId="45B9C36C">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566" w:type="pct"/>
            <w:vAlign w:val="center"/>
          </w:tcPr>
          <w:p w14:paraId="028AEBD7">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NOx</w:t>
            </w:r>
          </w:p>
        </w:tc>
        <w:tc>
          <w:tcPr>
            <w:tcW w:w="469" w:type="pct"/>
            <w:vAlign w:val="center"/>
          </w:tcPr>
          <w:p w14:paraId="26865646">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7.52</w:t>
            </w:r>
          </w:p>
        </w:tc>
        <w:tc>
          <w:tcPr>
            <w:tcW w:w="646" w:type="pct"/>
            <w:vAlign w:val="center"/>
          </w:tcPr>
          <w:p w14:paraId="0AA873A2">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1.044</w:t>
            </w:r>
          </w:p>
        </w:tc>
        <w:tc>
          <w:tcPr>
            <w:tcW w:w="664" w:type="pct"/>
            <w:vAlign w:val="center"/>
          </w:tcPr>
          <w:p w14:paraId="7B68BACE">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p>
        </w:tc>
        <w:tc>
          <w:tcPr>
            <w:tcW w:w="696" w:type="pct"/>
            <w:vMerge w:val="continue"/>
            <w:vAlign w:val="center"/>
          </w:tcPr>
          <w:p w14:paraId="7BD3706F">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69" w:type="pct"/>
            <w:vAlign w:val="center"/>
          </w:tcPr>
          <w:p w14:paraId="798D5F69">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7.52</w:t>
            </w:r>
          </w:p>
        </w:tc>
        <w:tc>
          <w:tcPr>
            <w:tcW w:w="590" w:type="pct"/>
            <w:vAlign w:val="center"/>
          </w:tcPr>
          <w:p w14:paraId="3F92408C">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1.044</w:t>
            </w:r>
          </w:p>
        </w:tc>
        <w:tc>
          <w:tcPr>
            <w:tcW w:w="664" w:type="pct"/>
            <w:vAlign w:val="center"/>
          </w:tcPr>
          <w:p w14:paraId="68C30902">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p>
        </w:tc>
      </w:tr>
      <w:tr w14:paraId="64C74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6" w:type="pct"/>
            <w:vMerge w:val="continue"/>
            <w:vAlign w:val="center"/>
          </w:tcPr>
          <w:p w14:paraId="43B133BA">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566" w:type="pct"/>
            <w:vAlign w:val="center"/>
          </w:tcPr>
          <w:p w14:paraId="001A4608">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废气量</w:t>
            </w:r>
          </w:p>
        </w:tc>
        <w:tc>
          <w:tcPr>
            <w:tcW w:w="1779" w:type="pct"/>
            <w:gridSpan w:val="3"/>
            <w:vAlign w:val="center"/>
          </w:tcPr>
          <w:p w14:paraId="52E9133C">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7200万m</w:t>
            </w:r>
            <w:r>
              <w:rPr>
                <w:rFonts w:cs="Times New Roman"/>
                <w:bCs/>
                <w:color w:val="0D0D0D" w:themeColor="text1" w:themeTint="F2"/>
                <w:kern w:val="0"/>
                <w:sz w:val="21"/>
                <w:szCs w:val="21"/>
                <w:u w:val="single"/>
                <w:vertAlign w:val="superscript"/>
                <w14:textFill>
                  <w14:solidFill>
                    <w14:schemeClr w14:val="tx1">
                      <w14:lumMod w14:val="95000"/>
                      <w14:lumOff w14:val="5000"/>
                    </w14:schemeClr>
                  </w14:solidFill>
                </w14:textFill>
              </w:rPr>
              <w:t>3</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/a</w:t>
            </w:r>
          </w:p>
        </w:tc>
        <w:tc>
          <w:tcPr>
            <w:tcW w:w="696" w:type="pct"/>
            <w:vMerge w:val="continue"/>
            <w:vAlign w:val="center"/>
          </w:tcPr>
          <w:p w14:paraId="5293C740">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1723" w:type="pct"/>
            <w:gridSpan w:val="3"/>
            <w:vAlign w:val="center"/>
          </w:tcPr>
          <w:p w14:paraId="1FA0541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7200万m</w:t>
            </w:r>
            <w:r>
              <w:rPr>
                <w:rFonts w:cs="Times New Roman"/>
                <w:bCs/>
                <w:color w:val="0D0D0D" w:themeColor="text1" w:themeTint="F2"/>
                <w:kern w:val="0"/>
                <w:sz w:val="21"/>
                <w:szCs w:val="21"/>
                <w:u w:val="single"/>
                <w:vertAlign w:val="superscript"/>
                <w14:textFill>
                  <w14:solidFill>
                    <w14:schemeClr w14:val="tx1">
                      <w14:lumMod w14:val="95000"/>
                      <w14:lumOff w14:val="5000"/>
                    </w14:schemeClr>
                  </w14:solidFill>
                </w14:textFill>
              </w:rPr>
              <w:t>3</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/a</w:t>
            </w:r>
          </w:p>
        </w:tc>
      </w:tr>
      <w:tr w14:paraId="440FC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6" w:type="pct"/>
            <w:vMerge w:val="restart"/>
            <w:vAlign w:val="center"/>
          </w:tcPr>
          <w:p w14:paraId="3CBC3B2C">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合计</w:t>
            </w:r>
          </w:p>
        </w:tc>
        <w:tc>
          <w:tcPr>
            <w:tcW w:w="566" w:type="pct"/>
            <w:vAlign w:val="center"/>
          </w:tcPr>
          <w:p w14:paraId="1C36D5D0">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颗粒物</w:t>
            </w:r>
          </w:p>
        </w:tc>
        <w:tc>
          <w:tcPr>
            <w:tcW w:w="469" w:type="pct"/>
            <w:vAlign w:val="center"/>
          </w:tcPr>
          <w:p w14:paraId="7EB54355">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111.76</w:t>
            </w:r>
          </w:p>
        </w:tc>
        <w:tc>
          <w:tcPr>
            <w:tcW w:w="646" w:type="pct"/>
            <w:vAlign w:val="center"/>
          </w:tcPr>
          <w:p w14:paraId="0AE50B9E">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15.522</w:t>
            </w:r>
          </w:p>
        </w:tc>
        <w:tc>
          <w:tcPr>
            <w:tcW w:w="664" w:type="pct"/>
            <w:vAlign w:val="center"/>
          </w:tcPr>
          <w:p w14:paraId="0FFB6A11">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620.88</w:t>
            </w:r>
          </w:p>
        </w:tc>
        <w:tc>
          <w:tcPr>
            <w:tcW w:w="696" w:type="pct"/>
            <w:vMerge w:val="restart"/>
            <w:vAlign w:val="center"/>
          </w:tcPr>
          <w:p w14:paraId="3B20D476">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p>
        </w:tc>
        <w:tc>
          <w:tcPr>
            <w:tcW w:w="469" w:type="pct"/>
            <w:vAlign w:val="center"/>
          </w:tcPr>
          <w:p w14:paraId="758374E0">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1.12</w:t>
            </w:r>
          </w:p>
        </w:tc>
        <w:tc>
          <w:tcPr>
            <w:tcW w:w="590" w:type="pct"/>
            <w:vAlign w:val="center"/>
          </w:tcPr>
          <w:p w14:paraId="4F27B68D">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0.156</w:t>
            </w:r>
          </w:p>
        </w:tc>
        <w:tc>
          <w:tcPr>
            <w:tcW w:w="664" w:type="pct"/>
            <w:vAlign w:val="center"/>
          </w:tcPr>
          <w:p w14:paraId="41931EC2">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6.24</w:t>
            </w:r>
          </w:p>
        </w:tc>
      </w:tr>
      <w:tr w14:paraId="40AC0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6" w:type="pct"/>
            <w:vMerge w:val="continue"/>
            <w:vAlign w:val="center"/>
          </w:tcPr>
          <w:p w14:paraId="7A5658D3">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566" w:type="pct"/>
            <w:vAlign w:val="center"/>
          </w:tcPr>
          <w:p w14:paraId="5D9A9774">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SO</w:t>
            </w:r>
            <w:r>
              <w:rPr>
                <w:rFonts w:hint="eastAsia"/>
                <w:color w:val="0D0D0D" w:themeColor="text1" w:themeTint="F2"/>
                <w:sz w:val="21"/>
                <w:szCs w:val="21"/>
                <w:u w:val="single"/>
                <w:vertAlign w:val="subscript"/>
                <w14:textFill>
                  <w14:solidFill>
                    <w14:schemeClr w14:val="tx1">
                      <w14:lumMod w14:val="95000"/>
                      <w14:lumOff w14:val="5000"/>
                    </w14:schemeClr>
                  </w14:solidFill>
                </w14:textFill>
              </w:rPr>
              <w:t>2</w:t>
            </w:r>
          </w:p>
        </w:tc>
        <w:tc>
          <w:tcPr>
            <w:tcW w:w="469" w:type="pct"/>
            <w:vAlign w:val="center"/>
          </w:tcPr>
          <w:p w14:paraId="0EB12046">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0.97</w:t>
            </w:r>
          </w:p>
        </w:tc>
        <w:tc>
          <w:tcPr>
            <w:tcW w:w="646" w:type="pct"/>
            <w:vAlign w:val="center"/>
          </w:tcPr>
          <w:p w14:paraId="3C2FDCD2">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0.135</w:t>
            </w:r>
          </w:p>
        </w:tc>
        <w:tc>
          <w:tcPr>
            <w:tcW w:w="664" w:type="pct"/>
            <w:vAlign w:val="center"/>
          </w:tcPr>
          <w:p w14:paraId="13373165">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5.4</w:t>
            </w:r>
          </w:p>
        </w:tc>
        <w:tc>
          <w:tcPr>
            <w:tcW w:w="696" w:type="pct"/>
            <w:vMerge w:val="continue"/>
            <w:vAlign w:val="center"/>
          </w:tcPr>
          <w:p w14:paraId="476E9FA5">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69" w:type="pct"/>
            <w:vAlign w:val="center"/>
          </w:tcPr>
          <w:p w14:paraId="79EF605E">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0.97</w:t>
            </w:r>
          </w:p>
        </w:tc>
        <w:tc>
          <w:tcPr>
            <w:tcW w:w="590" w:type="pct"/>
            <w:vAlign w:val="center"/>
          </w:tcPr>
          <w:p w14:paraId="6F50F7C6">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0.135</w:t>
            </w:r>
          </w:p>
        </w:tc>
        <w:tc>
          <w:tcPr>
            <w:tcW w:w="664" w:type="pct"/>
            <w:vAlign w:val="center"/>
          </w:tcPr>
          <w:p w14:paraId="103E4A10">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5.4</w:t>
            </w:r>
          </w:p>
        </w:tc>
      </w:tr>
      <w:tr w14:paraId="39A54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6" w:type="pct"/>
            <w:vMerge w:val="continue"/>
            <w:vAlign w:val="center"/>
          </w:tcPr>
          <w:p w14:paraId="3C5A4AE3">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566" w:type="pct"/>
            <w:vAlign w:val="center"/>
          </w:tcPr>
          <w:p w14:paraId="6EF7CB17">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NOx</w:t>
            </w:r>
          </w:p>
        </w:tc>
        <w:tc>
          <w:tcPr>
            <w:tcW w:w="469" w:type="pct"/>
            <w:vAlign w:val="center"/>
          </w:tcPr>
          <w:p w14:paraId="33372F63">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21.72</w:t>
            </w:r>
          </w:p>
        </w:tc>
        <w:tc>
          <w:tcPr>
            <w:tcW w:w="646" w:type="pct"/>
            <w:vAlign w:val="center"/>
          </w:tcPr>
          <w:p w14:paraId="6721B085">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3.017</w:t>
            </w:r>
          </w:p>
        </w:tc>
        <w:tc>
          <w:tcPr>
            <w:tcW w:w="664" w:type="pct"/>
            <w:vAlign w:val="center"/>
          </w:tcPr>
          <w:p w14:paraId="127DCA11">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120.68</w:t>
            </w:r>
          </w:p>
        </w:tc>
        <w:tc>
          <w:tcPr>
            <w:tcW w:w="696" w:type="pct"/>
            <w:vMerge w:val="continue"/>
            <w:vAlign w:val="center"/>
          </w:tcPr>
          <w:p w14:paraId="7EBDA94A">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469" w:type="pct"/>
            <w:vAlign w:val="center"/>
          </w:tcPr>
          <w:p w14:paraId="4D148826">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21.72</w:t>
            </w:r>
          </w:p>
        </w:tc>
        <w:tc>
          <w:tcPr>
            <w:tcW w:w="590" w:type="pct"/>
            <w:vAlign w:val="center"/>
          </w:tcPr>
          <w:p w14:paraId="27B7F4D8">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3.017</w:t>
            </w:r>
          </w:p>
        </w:tc>
        <w:tc>
          <w:tcPr>
            <w:tcW w:w="664" w:type="pct"/>
            <w:vAlign w:val="center"/>
          </w:tcPr>
          <w:p w14:paraId="5738D08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120.68</w:t>
            </w:r>
          </w:p>
        </w:tc>
      </w:tr>
      <w:tr w14:paraId="63837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6" w:type="pct"/>
            <w:vMerge w:val="continue"/>
            <w:vAlign w:val="center"/>
          </w:tcPr>
          <w:p w14:paraId="03081572">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566" w:type="pct"/>
            <w:vAlign w:val="center"/>
          </w:tcPr>
          <w:p w14:paraId="682B6578">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废气量</w:t>
            </w:r>
          </w:p>
        </w:tc>
        <w:tc>
          <w:tcPr>
            <w:tcW w:w="1779" w:type="pct"/>
            <w:gridSpan w:val="3"/>
            <w:vAlign w:val="center"/>
          </w:tcPr>
          <w:p w14:paraId="01886964">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18000万m</w:t>
            </w:r>
            <w:r>
              <w:rPr>
                <w:rFonts w:cs="Times New Roman"/>
                <w:bCs/>
                <w:color w:val="0D0D0D" w:themeColor="text1" w:themeTint="F2"/>
                <w:kern w:val="0"/>
                <w:sz w:val="21"/>
                <w:szCs w:val="21"/>
                <w:u w:val="single"/>
                <w:vertAlign w:val="superscript"/>
                <w14:textFill>
                  <w14:solidFill>
                    <w14:schemeClr w14:val="tx1">
                      <w14:lumMod w14:val="95000"/>
                      <w14:lumOff w14:val="5000"/>
                    </w14:schemeClr>
                  </w14:solidFill>
                </w14:textFill>
              </w:rPr>
              <w:t>3</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/a</w:t>
            </w:r>
          </w:p>
        </w:tc>
        <w:tc>
          <w:tcPr>
            <w:tcW w:w="696" w:type="pct"/>
            <w:vMerge w:val="continue"/>
            <w:vAlign w:val="center"/>
          </w:tcPr>
          <w:p w14:paraId="693FD780">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1723" w:type="pct"/>
            <w:gridSpan w:val="3"/>
            <w:vAlign w:val="center"/>
          </w:tcPr>
          <w:p w14:paraId="48EA6723">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18000万m</w:t>
            </w:r>
            <w:r>
              <w:rPr>
                <w:rFonts w:cs="Times New Roman"/>
                <w:bCs/>
                <w:color w:val="0D0D0D" w:themeColor="text1" w:themeTint="F2"/>
                <w:kern w:val="0"/>
                <w:sz w:val="21"/>
                <w:szCs w:val="21"/>
                <w:u w:val="single"/>
                <w:vertAlign w:val="superscript"/>
                <w14:textFill>
                  <w14:solidFill>
                    <w14:schemeClr w14:val="tx1">
                      <w14:lumMod w14:val="95000"/>
                      <w14:lumOff w14:val="5000"/>
                    </w14:schemeClr>
                  </w14:solidFill>
                </w14:textFill>
              </w:rPr>
              <w:t>3</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/a</w:t>
            </w:r>
          </w:p>
        </w:tc>
      </w:tr>
    </w:tbl>
    <w:p w14:paraId="6F5FC90A">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（10）危废暂存间废气</w:t>
      </w:r>
    </w:p>
    <w:p w14:paraId="1D2B78EB">
      <w:pPr>
        <w:ind w:firstLine="480" w:firstLineChars="200"/>
        <w:rPr>
          <w:b/>
          <w:bCs/>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设置1间危废暂存间，危废间内分区建设，保持密闭。根据《危险废物贮存污染控制标准》（GB18597-2023）中“贮存库贮存易产生粉尘、VOCs、酸雾、有毒有害大气污染物和刺激性气味气体的危险废物贮存库，应设置气体收集装置和气体净化设施；气体净化设施的排气筒高度应符合GB16297要求”。项目危废使用密闭容器收集，废气污染物不易挥发，对环境影响较小，本次评价不再对该部分废气进行定量核算，仅进行定性分析</w:t>
      </w:r>
      <w:r>
        <w:rPr>
          <w:rFonts w:hint="eastAsia"/>
          <w:b/>
          <w:bCs/>
          <w:color w:val="0D0D0D" w:themeColor="text1" w:themeTint="F2"/>
          <w:u w:val="single"/>
          <w14:textFill>
            <w14:solidFill>
              <w14:schemeClr w14:val="tx1">
                <w14:lumMod w14:val="95000"/>
                <w14:lumOff w14:val="5000"/>
              </w14:schemeClr>
            </w14:solidFill>
          </w14:textFill>
        </w:rPr>
        <w:t>。</w:t>
      </w:r>
    </w:p>
    <w:p w14:paraId="0E7FBD71">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（11）无组织工艺废气</w:t>
      </w:r>
    </w:p>
    <w:p w14:paraId="7C1270B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物料均为脂肪酸结构的高分子量油脂类物质，具有弱挥发性，项目加工装置与石油化工常压装置类似。参考《石化企业废气无组织排放源及排放量的估算简介》（装备环境工程，张秀青，大连市环境科学设计研究院）：对于管道和设备中介质为液体油品的跑冒滴漏，首先根据装置的静密封点泄漏率来确定物料的泄漏量，我国大型石油化工企业，装置的静密封泄漏率可控制在0.1‰～0.3‰。本项目采用先进和成熟的技术工艺和生产设备，生产操作和管理水平都将有一个较高的起点，考虑到以上诸多因素的影响，结合项目具体情况，装置的静密封泄漏率可控制在0.1‰。</w:t>
      </w:r>
    </w:p>
    <w:p w14:paraId="2CC6EC4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油脂类物质具有弱挥发性，少量泄漏物会很快与环境温度一致，并在泄漏处下方形成积液，容易被发现并修复，废气产生量较少，本次评价不再对该部分废气进行定量核算，仅进行定性分析。</w:t>
      </w:r>
    </w:p>
    <w:p w14:paraId="207282A8">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（12）食堂油烟废气</w:t>
      </w:r>
    </w:p>
    <w:p w14:paraId="1EE7F1FE">
      <w:pPr>
        <w:adjustRightInd w:val="0"/>
        <w:snapToGrid w:val="0"/>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项目劳动定员60人，设有员工食堂，食堂拟设3个灶头，</w:t>
      </w:r>
      <w:r>
        <w:rPr>
          <w:rFonts w:cs="Times New Roman"/>
          <w:color w:val="0D0D0D" w:themeColor="text1" w:themeTint="F2"/>
          <w:szCs w:val="24"/>
          <w14:textFill>
            <w14:solidFill>
              <w14:schemeClr w14:val="tx1">
                <w14:lumMod w14:val="95000"/>
                <w14:lumOff w14:val="5000"/>
              </w14:schemeClr>
            </w14:solidFill>
          </w14:textFill>
        </w:rPr>
        <w:t>使用的能源为</w:t>
      </w:r>
      <w:r>
        <w:rPr>
          <w:rFonts w:hint="eastAsia" w:cs="Times New Roman"/>
          <w:color w:val="0D0D0D" w:themeColor="text1" w:themeTint="F2"/>
          <w:szCs w:val="24"/>
          <w14:textFill>
            <w14:solidFill>
              <w14:schemeClr w14:val="tx1">
                <w14:lumMod w14:val="95000"/>
                <w14:lumOff w14:val="5000"/>
              </w14:schemeClr>
            </w14:solidFill>
          </w14:textFill>
        </w:rPr>
        <w:t>液化石油</w:t>
      </w:r>
      <w:r>
        <w:rPr>
          <w:rFonts w:cs="Times New Roman"/>
          <w:color w:val="0D0D0D" w:themeColor="text1" w:themeTint="F2"/>
          <w:szCs w:val="24"/>
          <w14:textFill>
            <w14:solidFill>
              <w14:schemeClr w14:val="tx1">
                <w14:lumMod w14:val="95000"/>
                <w14:lumOff w14:val="5000"/>
              </w14:schemeClr>
            </w14:solidFill>
          </w14:textFill>
        </w:rPr>
        <w:t>气和电，均为清洁能源</w:t>
      </w:r>
      <w:r>
        <w:rPr>
          <w:rFonts w:hint="eastAsia" w:cs="Times New Roman"/>
          <w:color w:val="0D0D0D" w:themeColor="text1" w:themeTint="F2"/>
          <w:szCs w:val="24"/>
          <w14:textFill>
            <w14:solidFill>
              <w14:schemeClr w14:val="tx1">
                <w14:lumMod w14:val="95000"/>
                <w14:lumOff w14:val="5000"/>
              </w14:schemeClr>
            </w14:solidFill>
          </w14:textFill>
        </w:rPr>
        <w:t>。</w:t>
      </w:r>
      <w:r>
        <w:rPr>
          <w:rFonts w:cs="Times New Roman"/>
          <w:color w:val="0D0D0D" w:themeColor="text1" w:themeTint="F2"/>
          <w:szCs w:val="24"/>
          <w14:textFill>
            <w14:solidFill>
              <w14:schemeClr w14:val="tx1">
                <w14:lumMod w14:val="95000"/>
                <w14:lumOff w14:val="5000"/>
              </w14:schemeClr>
            </w14:solidFill>
          </w14:textFill>
        </w:rPr>
        <w:t>食堂烹饪过程中，食物煎、炒、炸、烤等加工过程中会产生油烟污染，油烟成分复杂，动植物油在高温作用产生大量油雾和裂解出大量挥发性物质，化学成分复杂。食堂设置</w:t>
      </w:r>
      <w:r>
        <w:rPr>
          <w:rFonts w:hint="eastAsia" w:cs="Times New Roman"/>
          <w:color w:val="0D0D0D" w:themeColor="text1" w:themeTint="F2"/>
          <w:szCs w:val="24"/>
          <w14:textFill>
            <w14:solidFill>
              <w14:schemeClr w14:val="tx1">
                <w14:lumMod w14:val="95000"/>
                <w14:lumOff w14:val="5000"/>
              </w14:schemeClr>
            </w14:solidFill>
          </w14:textFill>
        </w:rPr>
        <w:t>3</w:t>
      </w:r>
      <w:r>
        <w:rPr>
          <w:rFonts w:cs="Times New Roman"/>
          <w:color w:val="0D0D0D" w:themeColor="text1" w:themeTint="F2"/>
          <w:szCs w:val="24"/>
          <w14:textFill>
            <w14:solidFill>
              <w14:schemeClr w14:val="tx1">
                <w14:lumMod w14:val="95000"/>
                <w14:lumOff w14:val="5000"/>
              </w14:schemeClr>
            </w14:solidFill>
          </w14:textFill>
        </w:rPr>
        <w:t>个灶头，食堂每年运行时间</w:t>
      </w:r>
      <w:r>
        <w:rPr>
          <w:rFonts w:hint="eastAsia" w:cs="Times New Roman"/>
          <w:color w:val="0D0D0D" w:themeColor="text1" w:themeTint="F2"/>
          <w:szCs w:val="24"/>
          <w14:textFill>
            <w14:solidFill>
              <w14:schemeClr w14:val="tx1">
                <w14:lumMod w14:val="95000"/>
                <w14:lumOff w14:val="5000"/>
              </w14:schemeClr>
            </w14:solidFill>
          </w14:textFill>
        </w:rPr>
        <w:t>300</w:t>
      </w:r>
      <w:r>
        <w:rPr>
          <w:rFonts w:cs="Times New Roman"/>
          <w:color w:val="0D0D0D" w:themeColor="text1" w:themeTint="F2"/>
          <w:szCs w:val="24"/>
          <w14:textFill>
            <w14:solidFill>
              <w14:schemeClr w14:val="tx1">
                <w14:lumMod w14:val="95000"/>
                <w14:lumOff w14:val="5000"/>
              </w14:schemeClr>
            </w14:solidFill>
          </w14:textFill>
        </w:rPr>
        <w:t>d，每天运行6h（主要集中在6:00</w:t>
      </w:r>
      <w:r>
        <w:rPr>
          <w:rFonts w:hint="eastAsia" w:cs="Times New Roman"/>
          <w:color w:val="0D0D0D" w:themeColor="text1" w:themeTint="F2"/>
          <w:szCs w:val="24"/>
          <w14:textFill>
            <w14:solidFill>
              <w14:schemeClr w14:val="tx1">
                <w14:lumMod w14:val="95000"/>
                <w14:lumOff w14:val="5000"/>
              </w14:schemeClr>
            </w14:solidFill>
          </w14:textFill>
        </w:rPr>
        <w:t>～</w:t>
      </w:r>
      <w:r>
        <w:rPr>
          <w:rFonts w:cs="Times New Roman"/>
          <w:color w:val="0D0D0D" w:themeColor="text1" w:themeTint="F2"/>
          <w:szCs w:val="24"/>
          <w14:textFill>
            <w14:solidFill>
              <w14:schemeClr w14:val="tx1">
                <w14:lumMod w14:val="95000"/>
                <w14:lumOff w14:val="5000"/>
              </w14:schemeClr>
            </w14:solidFill>
          </w14:textFill>
        </w:rPr>
        <w:t>8:00、11:00</w:t>
      </w:r>
      <w:r>
        <w:rPr>
          <w:rFonts w:hint="eastAsia" w:cs="Times New Roman"/>
          <w:color w:val="0D0D0D" w:themeColor="text1" w:themeTint="F2"/>
          <w:szCs w:val="24"/>
          <w14:textFill>
            <w14:solidFill>
              <w14:schemeClr w14:val="tx1">
                <w14:lumMod w14:val="95000"/>
                <w14:lumOff w14:val="5000"/>
              </w14:schemeClr>
            </w14:solidFill>
          </w14:textFill>
        </w:rPr>
        <w:t>～</w:t>
      </w:r>
      <w:r>
        <w:rPr>
          <w:rFonts w:cs="Times New Roman"/>
          <w:color w:val="0D0D0D" w:themeColor="text1" w:themeTint="F2"/>
          <w:szCs w:val="24"/>
          <w14:textFill>
            <w14:solidFill>
              <w14:schemeClr w14:val="tx1">
                <w14:lumMod w14:val="95000"/>
                <w14:lumOff w14:val="5000"/>
              </w14:schemeClr>
            </w14:solidFill>
          </w14:textFill>
        </w:rPr>
        <w:t>13:00和17:00</w:t>
      </w:r>
      <w:r>
        <w:rPr>
          <w:rFonts w:hint="eastAsia" w:cs="Times New Roman"/>
          <w:color w:val="0D0D0D" w:themeColor="text1" w:themeTint="F2"/>
          <w:szCs w:val="24"/>
          <w14:textFill>
            <w14:solidFill>
              <w14:schemeClr w14:val="tx1">
                <w14:lumMod w14:val="95000"/>
                <w14:lumOff w14:val="5000"/>
              </w14:schemeClr>
            </w14:solidFill>
          </w14:textFill>
        </w:rPr>
        <w:t>～</w:t>
      </w:r>
      <w:r>
        <w:rPr>
          <w:rFonts w:cs="Times New Roman"/>
          <w:color w:val="0D0D0D" w:themeColor="text1" w:themeTint="F2"/>
          <w:szCs w:val="24"/>
          <w14:textFill>
            <w14:solidFill>
              <w14:schemeClr w14:val="tx1">
                <w14:lumMod w14:val="95000"/>
                <w14:lumOff w14:val="5000"/>
              </w14:schemeClr>
            </w14:solidFill>
          </w14:textFill>
        </w:rPr>
        <w:t>19:00三个时间段），食用油用量平均按每人每天28g计</w:t>
      </w:r>
      <w:r>
        <w:rPr>
          <w:rFonts w:hint="eastAsia" w:cs="Times New Roman"/>
          <w:color w:val="0D0D0D" w:themeColor="text1" w:themeTint="F2"/>
          <w:szCs w:val="24"/>
          <w14:textFill>
            <w14:solidFill>
              <w14:schemeClr w14:val="tx1">
                <w14:lumMod w14:val="95000"/>
                <w14:lumOff w14:val="5000"/>
              </w14:schemeClr>
            </w14:solidFill>
          </w14:textFill>
        </w:rPr>
        <w:t>，则</w:t>
      </w:r>
      <w:r>
        <w:rPr>
          <w:rFonts w:cs="Times New Roman"/>
          <w:color w:val="0D0D0D" w:themeColor="text1" w:themeTint="F2"/>
          <w:szCs w:val="24"/>
          <w14:textFill>
            <w14:solidFill>
              <w14:schemeClr w14:val="tx1">
                <w14:lumMod w14:val="95000"/>
                <w14:lumOff w14:val="5000"/>
              </w14:schemeClr>
            </w14:solidFill>
          </w14:textFill>
        </w:rPr>
        <w:t>食用油消耗量为</w:t>
      </w:r>
      <w:r>
        <w:rPr>
          <w:rFonts w:hint="eastAsia" w:cs="Times New Roman"/>
          <w:color w:val="0D0D0D" w:themeColor="text1" w:themeTint="F2"/>
          <w:szCs w:val="24"/>
          <w14:textFill>
            <w14:solidFill>
              <w14:schemeClr w14:val="tx1">
                <w14:lumMod w14:val="95000"/>
                <w14:lumOff w14:val="5000"/>
              </w14:schemeClr>
            </w14:solidFill>
          </w14:textFill>
        </w:rPr>
        <w:t>0.504</w:t>
      </w:r>
      <w:r>
        <w:rPr>
          <w:rFonts w:cs="Times New Roman"/>
          <w:color w:val="0D0D0D" w:themeColor="text1" w:themeTint="F2"/>
          <w:szCs w:val="24"/>
          <w14:textFill>
            <w14:solidFill>
              <w14:schemeClr w14:val="tx1">
                <w14:lumMod w14:val="95000"/>
                <w14:lumOff w14:val="5000"/>
              </w14:schemeClr>
            </w14:solidFill>
          </w14:textFill>
        </w:rPr>
        <w:t>t/a，一般油烟挥发量占总耗油量的2%</w:t>
      </w:r>
      <w:r>
        <w:rPr>
          <w:rFonts w:hint="eastAsia" w:cs="Times New Roman"/>
          <w:color w:val="0D0D0D" w:themeColor="text1" w:themeTint="F2"/>
          <w:szCs w:val="24"/>
          <w14:textFill>
            <w14:solidFill>
              <w14:schemeClr w14:val="tx1">
                <w14:lumMod w14:val="95000"/>
                <w14:lumOff w14:val="5000"/>
              </w14:schemeClr>
            </w14:solidFill>
          </w14:textFill>
        </w:rPr>
        <w:t>～</w:t>
      </w:r>
      <w:r>
        <w:rPr>
          <w:rFonts w:cs="Times New Roman"/>
          <w:color w:val="0D0D0D" w:themeColor="text1" w:themeTint="F2"/>
          <w:szCs w:val="24"/>
          <w14:textFill>
            <w14:solidFill>
              <w14:schemeClr w14:val="tx1">
                <w14:lumMod w14:val="95000"/>
                <w14:lumOff w14:val="5000"/>
              </w14:schemeClr>
            </w14:solidFill>
          </w14:textFill>
        </w:rPr>
        <w:t>4%，本</w:t>
      </w:r>
      <w:r>
        <w:rPr>
          <w:rFonts w:hint="eastAsia" w:cs="Times New Roman"/>
          <w:color w:val="0D0D0D" w:themeColor="text1" w:themeTint="F2"/>
          <w:szCs w:val="24"/>
          <w14:textFill>
            <w14:solidFill>
              <w14:schemeClr w14:val="tx1">
                <w14:lumMod w14:val="95000"/>
                <w14:lumOff w14:val="5000"/>
              </w14:schemeClr>
            </w14:solidFill>
          </w14:textFill>
        </w:rPr>
        <w:t>次</w:t>
      </w:r>
      <w:r>
        <w:rPr>
          <w:rFonts w:cs="Times New Roman"/>
          <w:color w:val="0D0D0D" w:themeColor="text1" w:themeTint="F2"/>
          <w:szCs w:val="24"/>
          <w14:textFill>
            <w14:solidFill>
              <w14:schemeClr w14:val="tx1">
                <w14:lumMod w14:val="95000"/>
                <w14:lumOff w14:val="5000"/>
              </w14:schemeClr>
            </w14:solidFill>
          </w14:textFill>
        </w:rPr>
        <w:t>评价取中间值3%，则油烟产生量约为0.</w:t>
      </w:r>
      <w:r>
        <w:rPr>
          <w:rFonts w:hint="eastAsia" w:cs="Times New Roman"/>
          <w:color w:val="0D0D0D" w:themeColor="text1" w:themeTint="F2"/>
          <w:szCs w:val="24"/>
          <w14:textFill>
            <w14:solidFill>
              <w14:schemeClr w14:val="tx1">
                <w14:lumMod w14:val="95000"/>
                <w14:lumOff w14:val="5000"/>
              </w14:schemeClr>
            </w14:solidFill>
          </w14:textFill>
        </w:rPr>
        <w:t>015</w:t>
      </w:r>
      <w:r>
        <w:rPr>
          <w:rFonts w:cs="Times New Roman"/>
          <w:color w:val="0D0D0D" w:themeColor="text1" w:themeTint="F2"/>
          <w:szCs w:val="24"/>
          <w14:textFill>
            <w14:solidFill>
              <w14:schemeClr w14:val="tx1">
                <w14:lumMod w14:val="95000"/>
                <w14:lumOff w14:val="5000"/>
              </w14:schemeClr>
            </w14:solidFill>
          </w14:textFill>
        </w:rPr>
        <w:t>t/a，</w:t>
      </w:r>
      <w:r>
        <w:rPr>
          <w:rFonts w:hint="eastAsia" w:cs="Times New Roman"/>
          <w:color w:val="0D0D0D" w:themeColor="text1" w:themeTint="F2"/>
          <w:szCs w:val="24"/>
          <w14:textFill>
            <w14:solidFill>
              <w14:schemeClr w14:val="tx1">
                <w14:lumMod w14:val="95000"/>
                <w14:lumOff w14:val="5000"/>
              </w14:schemeClr>
            </w14:solidFill>
          </w14:textFill>
        </w:rPr>
        <w:t>0.0083kg/h，配套</w:t>
      </w:r>
      <w:r>
        <w:rPr>
          <w:rFonts w:cs="Times New Roman"/>
          <w:color w:val="0D0D0D" w:themeColor="text1" w:themeTint="F2"/>
          <w:szCs w:val="24"/>
          <w14:textFill>
            <w14:solidFill>
              <w14:schemeClr w14:val="tx1">
                <w14:lumMod w14:val="95000"/>
                <w14:lumOff w14:val="5000"/>
              </w14:schemeClr>
            </w14:solidFill>
          </w14:textFill>
        </w:rPr>
        <w:t>炉灶风机风量为</w:t>
      </w:r>
      <w:r>
        <w:rPr>
          <w:rFonts w:hint="eastAsia" w:cs="Times New Roman"/>
          <w:color w:val="0D0D0D" w:themeColor="text1" w:themeTint="F2"/>
          <w:szCs w:val="24"/>
          <w14:textFill>
            <w14:solidFill>
              <w14:schemeClr w14:val="tx1">
                <w14:lumMod w14:val="95000"/>
                <w14:lumOff w14:val="5000"/>
              </w14:schemeClr>
            </w14:solidFill>
          </w14:textFill>
        </w:rPr>
        <w:t>6</w:t>
      </w:r>
      <w:r>
        <w:rPr>
          <w:rFonts w:cs="Times New Roman"/>
          <w:color w:val="0D0D0D" w:themeColor="text1" w:themeTint="F2"/>
          <w:szCs w:val="24"/>
          <w14:textFill>
            <w14:solidFill>
              <w14:schemeClr w14:val="tx1">
                <w14:lumMod w14:val="95000"/>
                <w14:lumOff w14:val="5000"/>
              </w14:schemeClr>
            </w14:solidFill>
          </w14:textFill>
        </w:rPr>
        <w:t>000m</w:t>
      </w:r>
      <w:r>
        <w:rPr>
          <w:rFonts w:cs="Times New Roman"/>
          <w:color w:val="0D0D0D" w:themeColor="text1" w:themeTint="F2"/>
          <w:szCs w:val="24"/>
          <w:vertAlign w:val="superscript"/>
          <w14:textFill>
            <w14:solidFill>
              <w14:schemeClr w14:val="tx1">
                <w14:lumMod w14:val="95000"/>
                <w14:lumOff w14:val="5000"/>
              </w14:schemeClr>
            </w14:solidFill>
          </w14:textFill>
        </w:rPr>
        <w:t>3</w:t>
      </w:r>
      <w:r>
        <w:rPr>
          <w:rFonts w:cs="Times New Roman"/>
          <w:color w:val="0D0D0D" w:themeColor="text1" w:themeTint="F2"/>
          <w:szCs w:val="24"/>
          <w14:textFill>
            <w14:solidFill>
              <w14:schemeClr w14:val="tx1">
                <w14:lumMod w14:val="95000"/>
                <w14:lumOff w14:val="5000"/>
              </w14:schemeClr>
            </w14:solidFill>
          </w14:textFill>
        </w:rPr>
        <w:t>/h，则油烟产生浓度为</w:t>
      </w:r>
      <w:r>
        <w:rPr>
          <w:rFonts w:hint="eastAsia" w:cs="Times New Roman"/>
          <w:color w:val="0D0D0D" w:themeColor="text1" w:themeTint="F2"/>
          <w:szCs w:val="24"/>
          <w14:textFill>
            <w14:solidFill>
              <w14:schemeClr w14:val="tx1">
                <w14:lumMod w14:val="95000"/>
                <w14:lumOff w14:val="5000"/>
              </w14:schemeClr>
            </w14:solidFill>
          </w14:textFill>
        </w:rPr>
        <w:t>1.38</w:t>
      </w:r>
      <w:r>
        <w:rPr>
          <w:rFonts w:cs="Times New Roman"/>
          <w:color w:val="0D0D0D" w:themeColor="text1" w:themeTint="F2"/>
          <w:szCs w:val="24"/>
          <w14:textFill>
            <w14:solidFill>
              <w14:schemeClr w14:val="tx1">
                <w14:lumMod w14:val="95000"/>
                <w14:lumOff w14:val="5000"/>
              </w14:schemeClr>
            </w14:solidFill>
          </w14:textFill>
        </w:rPr>
        <w:t>mg/m</w:t>
      </w:r>
      <w:r>
        <w:rPr>
          <w:rFonts w:cs="Times New Roman"/>
          <w:color w:val="0D0D0D" w:themeColor="text1" w:themeTint="F2"/>
          <w:szCs w:val="24"/>
          <w:vertAlign w:val="superscript"/>
          <w14:textFill>
            <w14:solidFill>
              <w14:schemeClr w14:val="tx1">
                <w14:lumMod w14:val="95000"/>
                <w14:lumOff w14:val="5000"/>
              </w14:schemeClr>
            </w14:solidFill>
          </w14:textFill>
        </w:rPr>
        <w:t>3</w:t>
      </w:r>
      <w:r>
        <w:rPr>
          <w:rFonts w:cs="Times New Roman"/>
          <w:color w:val="0D0D0D" w:themeColor="text1" w:themeTint="F2"/>
          <w:szCs w:val="24"/>
          <w14:textFill>
            <w14:solidFill>
              <w14:schemeClr w14:val="tx1">
                <w14:lumMod w14:val="95000"/>
                <w14:lumOff w14:val="5000"/>
              </w14:schemeClr>
            </w14:solidFill>
          </w14:textFill>
        </w:rPr>
        <w:t>。</w:t>
      </w:r>
      <w:r>
        <w:rPr>
          <w:rFonts w:hint="eastAsia" w:cs="Times New Roman"/>
          <w:color w:val="0D0D0D" w:themeColor="text1" w:themeTint="F2"/>
          <w:szCs w:val="24"/>
          <w14:textFill>
            <w14:solidFill>
              <w14:schemeClr w14:val="tx1">
                <w14:lumMod w14:val="95000"/>
                <w14:lumOff w14:val="5000"/>
              </w14:schemeClr>
            </w14:solidFill>
          </w14:textFill>
        </w:rPr>
        <w:t>项目</w:t>
      </w:r>
      <w:r>
        <w:rPr>
          <w:rFonts w:cs="Times New Roman"/>
          <w:color w:val="0D0D0D" w:themeColor="text1" w:themeTint="F2"/>
          <w:szCs w:val="24"/>
          <w14:textFill>
            <w14:solidFill>
              <w14:schemeClr w14:val="tx1">
                <w14:lumMod w14:val="95000"/>
                <w14:lumOff w14:val="5000"/>
              </w14:schemeClr>
            </w14:solidFill>
          </w14:textFill>
        </w:rPr>
        <w:t>配备</w:t>
      </w:r>
      <w:r>
        <w:rPr>
          <w:rFonts w:hint="eastAsia" w:cs="Times New Roman"/>
          <w:color w:val="0D0D0D" w:themeColor="text1" w:themeTint="F2"/>
          <w:szCs w:val="24"/>
          <w14:textFill>
            <w14:solidFill>
              <w14:schemeClr w14:val="tx1">
                <w14:lumMod w14:val="95000"/>
                <w14:lumOff w14:val="5000"/>
              </w14:schemeClr>
            </w14:solidFill>
          </w14:textFill>
        </w:rPr>
        <w:t>有</w:t>
      </w:r>
      <w:r>
        <w:rPr>
          <w:rFonts w:cs="Times New Roman"/>
          <w:color w:val="0D0D0D" w:themeColor="text1" w:themeTint="F2"/>
          <w:szCs w:val="24"/>
          <w14:textFill>
            <w14:solidFill>
              <w14:schemeClr w14:val="tx1">
                <w14:lumMod w14:val="95000"/>
                <w14:lumOff w14:val="5000"/>
              </w14:schemeClr>
            </w14:solidFill>
          </w14:textFill>
        </w:rPr>
        <w:t>油烟净化器，其去除效率大于</w:t>
      </w:r>
      <w:r>
        <w:rPr>
          <w:rFonts w:hint="eastAsia" w:cs="Times New Roman"/>
          <w:color w:val="0D0D0D" w:themeColor="text1" w:themeTint="F2"/>
          <w:szCs w:val="24"/>
          <w14:textFill>
            <w14:solidFill>
              <w14:schemeClr w14:val="tx1">
                <w14:lumMod w14:val="95000"/>
                <w14:lumOff w14:val="5000"/>
              </w14:schemeClr>
            </w14:solidFill>
          </w14:textFill>
        </w:rPr>
        <w:t>75</w:t>
      </w:r>
      <w:r>
        <w:rPr>
          <w:rFonts w:cs="Times New Roman"/>
          <w:color w:val="0D0D0D" w:themeColor="text1" w:themeTint="F2"/>
          <w:szCs w:val="24"/>
          <w14:textFill>
            <w14:solidFill>
              <w14:schemeClr w14:val="tx1">
                <w14:lumMod w14:val="95000"/>
                <w14:lumOff w14:val="5000"/>
              </w14:schemeClr>
            </w14:solidFill>
          </w14:textFill>
        </w:rPr>
        <w:t>%，</w:t>
      </w:r>
      <w:r>
        <w:rPr>
          <w:rFonts w:hint="eastAsia" w:cs="Times New Roman"/>
          <w:color w:val="0D0D0D" w:themeColor="text1" w:themeTint="F2"/>
          <w:szCs w:val="24"/>
          <w14:textFill>
            <w14:solidFill>
              <w14:schemeClr w14:val="tx1">
                <w14:lumMod w14:val="95000"/>
                <w14:lumOff w14:val="5000"/>
              </w14:schemeClr>
            </w14:solidFill>
          </w14:textFill>
        </w:rPr>
        <w:t>本次评价</w:t>
      </w:r>
      <w:r>
        <w:rPr>
          <w:rFonts w:cs="Times New Roman"/>
          <w:color w:val="0D0D0D" w:themeColor="text1" w:themeTint="F2"/>
          <w:szCs w:val="24"/>
          <w14:textFill>
            <w14:solidFill>
              <w14:schemeClr w14:val="tx1">
                <w14:lumMod w14:val="95000"/>
                <w14:lumOff w14:val="5000"/>
              </w14:schemeClr>
            </w14:solidFill>
          </w14:textFill>
        </w:rPr>
        <w:t>按</w:t>
      </w:r>
      <w:r>
        <w:rPr>
          <w:rFonts w:hint="eastAsia" w:cs="Times New Roman"/>
          <w:color w:val="0D0D0D" w:themeColor="text1" w:themeTint="F2"/>
          <w:szCs w:val="24"/>
          <w14:textFill>
            <w14:solidFill>
              <w14:schemeClr w14:val="tx1">
                <w14:lumMod w14:val="95000"/>
                <w14:lumOff w14:val="5000"/>
              </w14:schemeClr>
            </w14:solidFill>
          </w14:textFill>
        </w:rPr>
        <w:t>75</w:t>
      </w:r>
      <w:r>
        <w:rPr>
          <w:rFonts w:cs="Times New Roman"/>
          <w:color w:val="0D0D0D" w:themeColor="text1" w:themeTint="F2"/>
          <w:szCs w:val="24"/>
          <w14:textFill>
            <w14:solidFill>
              <w14:schemeClr w14:val="tx1">
                <w14:lumMod w14:val="95000"/>
                <w14:lumOff w14:val="5000"/>
              </w14:schemeClr>
            </w14:solidFill>
          </w14:textFill>
        </w:rPr>
        <w:t>%计，经油烟净化器处理后，所排放的油烟浓度为</w:t>
      </w:r>
      <w:r>
        <w:rPr>
          <w:rFonts w:hint="eastAsia" w:cs="Times New Roman"/>
          <w:color w:val="0D0D0D" w:themeColor="text1" w:themeTint="F2"/>
          <w:szCs w:val="24"/>
          <w14:textFill>
            <w14:solidFill>
              <w14:schemeClr w14:val="tx1">
                <w14:lumMod w14:val="95000"/>
                <w14:lumOff w14:val="5000"/>
              </w14:schemeClr>
            </w14:solidFill>
          </w14:textFill>
        </w:rPr>
        <w:t>0.35m</w:t>
      </w:r>
      <w:r>
        <w:rPr>
          <w:rFonts w:cs="Times New Roman"/>
          <w:color w:val="0D0D0D" w:themeColor="text1" w:themeTint="F2"/>
          <w:szCs w:val="24"/>
          <w14:textFill>
            <w14:solidFill>
              <w14:schemeClr w14:val="tx1">
                <w14:lumMod w14:val="95000"/>
                <w14:lumOff w14:val="5000"/>
              </w14:schemeClr>
            </w14:solidFill>
          </w14:textFill>
        </w:rPr>
        <w:t>g/m</w:t>
      </w:r>
      <w:r>
        <w:rPr>
          <w:rFonts w:cs="Times New Roman"/>
          <w:color w:val="0D0D0D" w:themeColor="text1" w:themeTint="F2"/>
          <w:szCs w:val="24"/>
          <w:vertAlign w:val="superscript"/>
          <w14:textFill>
            <w14:solidFill>
              <w14:schemeClr w14:val="tx1">
                <w14:lumMod w14:val="95000"/>
                <w14:lumOff w14:val="5000"/>
              </w14:schemeClr>
            </w14:solidFill>
          </w14:textFill>
        </w:rPr>
        <w:t>3</w:t>
      </w:r>
      <w:r>
        <w:rPr>
          <w:rFonts w:cs="Times New Roman"/>
          <w:color w:val="0D0D0D" w:themeColor="text1" w:themeTint="F2"/>
          <w:szCs w:val="24"/>
          <w14:textFill>
            <w14:solidFill>
              <w14:schemeClr w14:val="tx1">
                <w14:lumMod w14:val="95000"/>
                <w14:lumOff w14:val="5000"/>
              </w14:schemeClr>
            </w14:solidFill>
          </w14:textFill>
        </w:rPr>
        <w:t>，经专用</w:t>
      </w:r>
      <w:r>
        <w:rPr>
          <w:rFonts w:hint="eastAsia" w:cs="Times New Roman"/>
          <w:color w:val="0D0D0D" w:themeColor="text1" w:themeTint="F2"/>
          <w:szCs w:val="24"/>
          <w14:textFill>
            <w14:solidFill>
              <w14:schemeClr w14:val="tx1">
                <w14:lumMod w14:val="95000"/>
                <w14:lumOff w14:val="5000"/>
              </w14:schemeClr>
            </w14:solidFill>
          </w14:textFill>
        </w:rPr>
        <w:t>管道引至屋顶</w:t>
      </w:r>
      <w:r>
        <w:rPr>
          <w:rFonts w:cs="Times New Roman"/>
          <w:color w:val="0D0D0D" w:themeColor="text1" w:themeTint="F2"/>
          <w:szCs w:val="24"/>
          <w14:textFill>
            <w14:solidFill>
              <w14:schemeClr w14:val="tx1">
                <w14:lumMod w14:val="95000"/>
                <w14:lumOff w14:val="5000"/>
              </w14:schemeClr>
            </w14:solidFill>
          </w14:textFill>
        </w:rPr>
        <w:t>排放</w:t>
      </w:r>
      <w:r>
        <w:rPr>
          <w:rFonts w:hint="eastAsia" w:cs="Times New Roman"/>
          <w:color w:val="0D0D0D" w:themeColor="text1" w:themeTint="F2"/>
          <w:szCs w:val="24"/>
          <w14:textFill>
            <w14:solidFill>
              <w14:schemeClr w14:val="tx1">
                <w14:lumMod w14:val="95000"/>
                <w14:lumOff w14:val="5000"/>
              </w14:schemeClr>
            </w14:solidFill>
          </w14:textFill>
        </w:rPr>
        <w:t>。</w:t>
      </w:r>
    </w:p>
    <w:p w14:paraId="6FE24CB2">
      <w:pPr>
        <w:adjustRightInd w:val="0"/>
        <w:snapToGrid w:val="0"/>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cs="Times New Roman"/>
          <w:color w:val="0D0D0D" w:themeColor="text1" w:themeTint="F2"/>
          <w:szCs w:val="24"/>
          <w14:textFill>
            <w14:solidFill>
              <w14:schemeClr w14:val="tx1">
                <w14:lumMod w14:val="95000"/>
                <w14:lumOff w14:val="5000"/>
              </w14:schemeClr>
            </w14:solidFill>
          </w14:textFill>
        </w:rPr>
        <w:t>食堂油烟产排情况</w:t>
      </w:r>
      <w:r>
        <w:rPr>
          <w:rFonts w:hint="eastAsia" w:cs="Times New Roman"/>
          <w:color w:val="0D0D0D" w:themeColor="text1" w:themeTint="F2"/>
          <w:szCs w:val="24"/>
          <w14:textFill>
            <w14:solidFill>
              <w14:schemeClr w14:val="tx1">
                <w14:lumMod w14:val="95000"/>
                <w14:lumOff w14:val="5000"/>
              </w14:schemeClr>
            </w14:solidFill>
          </w14:textFill>
        </w:rPr>
        <w:t>详</w:t>
      </w:r>
      <w:r>
        <w:rPr>
          <w:rFonts w:cs="Times New Roman"/>
          <w:color w:val="0D0D0D" w:themeColor="text1" w:themeTint="F2"/>
          <w:szCs w:val="24"/>
          <w14:textFill>
            <w14:solidFill>
              <w14:schemeClr w14:val="tx1">
                <w14:lumMod w14:val="95000"/>
                <w14:lumOff w14:val="5000"/>
              </w14:schemeClr>
            </w14:solidFill>
          </w14:textFill>
        </w:rPr>
        <w:t>见表</w:t>
      </w:r>
      <w:r>
        <w:rPr>
          <w:rFonts w:hint="eastAsia" w:cs="Times New Roman"/>
          <w:color w:val="0D0D0D" w:themeColor="text1" w:themeTint="F2"/>
          <w:szCs w:val="24"/>
          <w14:textFill>
            <w14:solidFill>
              <w14:schemeClr w14:val="tx1">
                <w14:lumMod w14:val="95000"/>
                <w14:lumOff w14:val="5000"/>
              </w14:schemeClr>
            </w14:solidFill>
          </w14:textFill>
        </w:rPr>
        <w:t>3.3-14</w:t>
      </w:r>
      <w:r>
        <w:rPr>
          <w:rFonts w:cs="Times New Roman"/>
          <w:color w:val="0D0D0D" w:themeColor="text1" w:themeTint="F2"/>
          <w:szCs w:val="24"/>
          <w14:textFill>
            <w14:solidFill>
              <w14:schemeClr w14:val="tx1">
                <w14:lumMod w14:val="95000"/>
                <w14:lumOff w14:val="5000"/>
              </w14:schemeClr>
            </w14:solidFill>
          </w14:textFill>
        </w:rPr>
        <w:t>。</w:t>
      </w:r>
    </w:p>
    <w:p w14:paraId="05132EF3">
      <w:pPr>
        <w:pStyle w:val="2"/>
        <w:ind w:firstLine="240"/>
      </w:pPr>
      <w:r>
        <w:br w:type="page"/>
      </w:r>
    </w:p>
    <w:p w14:paraId="57A53250">
      <w:pPr>
        <w:pStyle w:val="11"/>
      </w:pPr>
      <w:r>
        <w:rPr>
          <w:rFonts w:hint="eastAsia"/>
        </w:rPr>
        <w:t xml:space="preserve"> </w:t>
      </w:r>
      <w:r>
        <w:t>食堂油烟</w:t>
      </w:r>
      <w:r>
        <w:rPr>
          <w:rFonts w:hint="eastAsia"/>
        </w:rPr>
        <w:t>产</w:t>
      </w:r>
      <w:r>
        <w:t>排情况</w:t>
      </w:r>
      <w:r>
        <w:rPr>
          <w:rFonts w:hint="eastAsia"/>
        </w:rPr>
        <w:t>一览表</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460"/>
        <w:gridCol w:w="1651"/>
        <w:gridCol w:w="1185"/>
        <w:gridCol w:w="1460"/>
        <w:gridCol w:w="1651"/>
        <w:gridCol w:w="1185"/>
      </w:tblGrid>
      <w:tr w14:paraId="44D744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 w:type="pct"/>
            <w:vMerge w:val="restart"/>
            <w:tcBorders>
              <w:top w:val="single" w:color="auto" w:sz="4" w:space="0"/>
              <w:left w:val="single" w:color="auto" w:sz="4" w:space="0"/>
              <w:bottom w:val="single" w:color="auto" w:sz="4" w:space="0"/>
              <w:right w:val="single" w:color="auto" w:sz="4" w:space="0"/>
            </w:tcBorders>
            <w:vAlign w:val="center"/>
          </w:tcPr>
          <w:p w14:paraId="77880565">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污染物</w:t>
            </w:r>
          </w:p>
        </w:tc>
        <w:tc>
          <w:tcPr>
            <w:tcW w:w="2324" w:type="pct"/>
            <w:gridSpan w:val="3"/>
            <w:tcBorders>
              <w:top w:val="single" w:color="auto" w:sz="4" w:space="0"/>
              <w:left w:val="single" w:color="auto" w:sz="4" w:space="0"/>
              <w:bottom w:val="single" w:color="auto" w:sz="4" w:space="0"/>
              <w:right w:val="single" w:color="auto" w:sz="4" w:space="0"/>
            </w:tcBorders>
            <w:vAlign w:val="center"/>
          </w:tcPr>
          <w:p w14:paraId="3843E7D5">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产生情况</w:t>
            </w:r>
          </w:p>
        </w:tc>
        <w:tc>
          <w:tcPr>
            <w:tcW w:w="2324" w:type="pct"/>
            <w:gridSpan w:val="3"/>
            <w:tcBorders>
              <w:top w:val="single" w:color="auto" w:sz="4" w:space="0"/>
              <w:left w:val="single" w:color="auto" w:sz="4" w:space="0"/>
              <w:bottom w:val="single" w:color="auto" w:sz="4" w:space="0"/>
              <w:right w:val="single" w:color="auto" w:sz="4" w:space="0"/>
            </w:tcBorders>
            <w:vAlign w:val="center"/>
          </w:tcPr>
          <w:p w14:paraId="20219ED6">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排放情况</w:t>
            </w:r>
          </w:p>
        </w:tc>
      </w:tr>
      <w:tr w14:paraId="146951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 w:type="pct"/>
            <w:vMerge w:val="continue"/>
            <w:tcBorders>
              <w:top w:val="single" w:color="auto" w:sz="12" w:space="0"/>
              <w:left w:val="single" w:color="auto" w:sz="4" w:space="0"/>
              <w:bottom w:val="single" w:color="auto" w:sz="4" w:space="0"/>
              <w:right w:val="single" w:color="auto" w:sz="4" w:space="0"/>
            </w:tcBorders>
            <w:vAlign w:val="center"/>
          </w:tcPr>
          <w:p w14:paraId="11594A36">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790" w:type="pct"/>
            <w:tcBorders>
              <w:top w:val="single" w:color="auto" w:sz="4" w:space="0"/>
              <w:left w:val="single" w:color="auto" w:sz="4" w:space="0"/>
              <w:bottom w:val="single" w:color="auto" w:sz="4" w:space="0"/>
              <w:right w:val="single" w:color="auto" w:sz="4" w:space="0"/>
            </w:tcBorders>
            <w:vAlign w:val="center"/>
          </w:tcPr>
          <w:p w14:paraId="2980BDA7">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产生速率（kg/h）</w:t>
            </w:r>
          </w:p>
        </w:tc>
        <w:tc>
          <w:tcPr>
            <w:tcW w:w="893" w:type="pct"/>
            <w:tcBorders>
              <w:top w:val="single" w:color="auto" w:sz="4" w:space="0"/>
              <w:left w:val="single" w:color="auto" w:sz="4" w:space="0"/>
              <w:bottom w:val="single" w:color="auto" w:sz="4" w:space="0"/>
              <w:right w:val="single" w:color="auto" w:sz="4" w:space="0"/>
            </w:tcBorders>
            <w:vAlign w:val="center"/>
          </w:tcPr>
          <w:p w14:paraId="4AF886C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产生浓度（mg/m</w:t>
            </w:r>
            <w:r>
              <w:rPr>
                <w:rFonts w:cs="Times New Roman"/>
                <w:color w:val="0D0D0D" w:themeColor="text1" w:themeTint="F2"/>
                <w:sz w:val="21"/>
                <w:vertAlign w:val="superscript"/>
                <w14:textFill>
                  <w14:solidFill>
                    <w14:schemeClr w14:val="tx1">
                      <w14:lumMod w14:val="95000"/>
                      <w14:lumOff w14:val="5000"/>
                    </w14:schemeClr>
                  </w14:solidFill>
                </w14:textFill>
              </w:rPr>
              <w:t>3</w:t>
            </w:r>
            <w:r>
              <w:rPr>
                <w:rFonts w:cs="Times New Roman"/>
                <w:color w:val="0D0D0D" w:themeColor="text1" w:themeTint="F2"/>
                <w:sz w:val="21"/>
                <w14:textFill>
                  <w14:solidFill>
                    <w14:schemeClr w14:val="tx1">
                      <w14:lumMod w14:val="95000"/>
                      <w14:lumOff w14:val="5000"/>
                    </w14:schemeClr>
                  </w14:solidFill>
                </w14:textFill>
              </w:rPr>
              <w:t>）</w:t>
            </w:r>
          </w:p>
        </w:tc>
        <w:tc>
          <w:tcPr>
            <w:tcW w:w="641" w:type="pct"/>
            <w:tcBorders>
              <w:top w:val="single" w:color="auto" w:sz="4" w:space="0"/>
              <w:left w:val="single" w:color="auto" w:sz="4" w:space="0"/>
              <w:bottom w:val="single" w:color="auto" w:sz="4" w:space="0"/>
              <w:right w:val="single" w:color="auto" w:sz="4" w:space="0"/>
            </w:tcBorders>
            <w:vAlign w:val="center"/>
          </w:tcPr>
          <w:p w14:paraId="3B58968E">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产生量（t/a）</w:t>
            </w:r>
          </w:p>
        </w:tc>
        <w:tc>
          <w:tcPr>
            <w:tcW w:w="790" w:type="pct"/>
            <w:tcBorders>
              <w:top w:val="single" w:color="auto" w:sz="4" w:space="0"/>
              <w:left w:val="single" w:color="auto" w:sz="4" w:space="0"/>
              <w:bottom w:val="single" w:color="auto" w:sz="4" w:space="0"/>
              <w:right w:val="single" w:color="auto" w:sz="4" w:space="0"/>
            </w:tcBorders>
            <w:vAlign w:val="center"/>
          </w:tcPr>
          <w:p w14:paraId="509499E1">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排放速率（kg/h）</w:t>
            </w:r>
          </w:p>
        </w:tc>
        <w:tc>
          <w:tcPr>
            <w:tcW w:w="893" w:type="pct"/>
            <w:tcBorders>
              <w:top w:val="single" w:color="auto" w:sz="4" w:space="0"/>
              <w:left w:val="single" w:color="auto" w:sz="4" w:space="0"/>
              <w:bottom w:val="single" w:color="auto" w:sz="4" w:space="0"/>
              <w:right w:val="single" w:color="auto" w:sz="4" w:space="0"/>
            </w:tcBorders>
            <w:vAlign w:val="center"/>
          </w:tcPr>
          <w:p w14:paraId="6FE033D6">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排放浓度（mg/m</w:t>
            </w:r>
            <w:r>
              <w:rPr>
                <w:rFonts w:cs="Times New Roman"/>
                <w:color w:val="0D0D0D" w:themeColor="text1" w:themeTint="F2"/>
                <w:sz w:val="21"/>
                <w:vertAlign w:val="superscript"/>
                <w14:textFill>
                  <w14:solidFill>
                    <w14:schemeClr w14:val="tx1">
                      <w14:lumMod w14:val="95000"/>
                      <w14:lumOff w14:val="5000"/>
                    </w14:schemeClr>
                  </w14:solidFill>
                </w14:textFill>
              </w:rPr>
              <w:t>3</w:t>
            </w:r>
            <w:r>
              <w:rPr>
                <w:rFonts w:cs="Times New Roman"/>
                <w:color w:val="0D0D0D" w:themeColor="text1" w:themeTint="F2"/>
                <w:sz w:val="21"/>
                <w14:textFill>
                  <w14:solidFill>
                    <w14:schemeClr w14:val="tx1">
                      <w14:lumMod w14:val="95000"/>
                      <w14:lumOff w14:val="5000"/>
                    </w14:schemeClr>
                  </w14:solidFill>
                </w14:textFill>
              </w:rPr>
              <w:t>）</w:t>
            </w:r>
          </w:p>
        </w:tc>
        <w:tc>
          <w:tcPr>
            <w:tcW w:w="641" w:type="pct"/>
            <w:tcBorders>
              <w:top w:val="single" w:color="auto" w:sz="4" w:space="0"/>
              <w:left w:val="single" w:color="auto" w:sz="4" w:space="0"/>
              <w:bottom w:val="single" w:color="auto" w:sz="4" w:space="0"/>
              <w:right w:val="single" w:color="auto" w:sz="4" w:space="0"/>
            </w:tcBorders>
            <w:vAlign w:val="center"/>
          </w:tcPr>
          <w:p w14:paraId="0731968D">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排放量（t/a）</w:t>
            </w:r>
          </w:p>
        </w:tc>
      </w:tr>
      <w:tr w14:paraId="6E3B59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 w:type="pct"/>
            <w:tcBorders>
              <w:top w:val="single" w:color="auto" w:sz="4" w:space="0"/>
              <w:left w:val="single" w:color="auto" w:sz="4" w:space="0"/>
              <w:bottom w:val="single" w:color="auto" w:sz="4" w:space="0"/>
              <w:right w:val="single" w:color="auto" w:sz="4" w:space="0"/>
            </w:tcBorders>
            <w:vAlign w:val="center"/>
          </w:tcPr>
          <w:p w14:paraId="2773F041">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油烟</w:t>
            </w:r>
          </w:p>
        </w:tc>
        <w:tc>
          <w:tcPr>
            <w:tcW w:w="790" w:type="pct"/>
            <w:tcBorders>
              <w:top w:val="single" w:color="auto" w:sz="4" w:space="0"/>
              <w:left w:val="single" w:color="auto" w:sz="4" w:space="0"/>
              <w:bottom w:val="single" w:color="auto" w:sz="4" w:space="0"/>
              <w:right w:val="single" w:color="auto" w:sz="4" w:space="0"/>
            </w:tcBorders>
            <w:vAlign w:val="center"/>
          </w:tcPr>
          <w:p w14:paraId="25D4ABBB">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0.0083</w:t>
            </w:r>
          </w:p>
        </w:tc>
        <w:tc>
          <w:tcPr>
            <w:tcW w:w="893" w:type="pct"/>
            <w:tcBorders>
              <w:top w:val="single" w:color="auto" w:sz="4" w:space="0"/>
              <w:left w:val="single" w:color="auto" w:sz="4" w:space="0"/>
              <w:bottom w:val="single" w:color="auto" w:sz="4" w:space="0"/>
              <w:right w:val="single" w:color="auto" w:sz="4" w:space="0"/>
            </w:tcBorders>
            <w:vAlign w:val="center"/>
          </w:tcPr>
          <w:p w14:paraId="6ACCEEA9">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1.38</w:t>
            </w:r>
          </w:p>
        </w:tc>
        <w:tc>
          <w:tcPr>
            <w:tcW w:w="641" w:type="pct"/>
            <w:tcBorders>
              <w:top w:val="single" w:color="auto" w:sz="4" w:space="0"/>
              <w:left w:val="single" w:color="auto" w:sz="4" w:space="0"/>
              <w:bottom w:val="single" w:color="auto" w:sz="4" w:space="0"/>
              <w:right w:val="single" w:color="auto" w:sz="4" w:space="0"/>
            </w:tcBorders>
            <w:vAlign w:val="center"/>
          </w:tcPr>
          <w:p w14:paraId="52ECBF68">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0.015</w:t>
            </w:r>
          </w:p>
        </w:tc>
        <w:tc>
          <w:tcPr>
            <w:tcW w:w="790" w:type="pct"/>
            <w:tcBorders>
              <w:top w:val="single" w:color="auto" w:sz="4" w:space="0"/>
              <w:left w:val="single" w:color="auto" w:sz="4" w:space="0"/>
              <w:bottom w:val="single" w:color="auto" w:sz="4" w:space="0"/>
              <w:right w:val="single" w:color="auto" w:sz="4" w:space="0"/>
            </w:tcBorders>
            <w:vAlign w:val="center"/>
          </w:tcPr>
          <w:p w14:paraId="5F77D5EA">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0.0021</w:t>
            </w:r>
          </w:p>
        </w:tc>
        <w:tc>
          <w:tcPr>
            <w:tcW w:w="893" w:type="pct"/>
            <w:tcBorders>
              <w:top w:val="single" w:color="auto" w:sz="4" w:space="0"/>
              <w:left w:val="single" w:color="auto" w:sz="4" w:space="0"/>
              <w:bottom w:val="single" w:color="auto" w:sz="4" w:space="0"/>
              <w:right w:val="single" w:color="auto" w:sz="4" w:space="0"/>
            </w:tcBorders>
            <w:vAlign w:val="center"/>
          </w:tcPr>
          <w:p w14:paraId="135669B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0.35</w:t>
            </w:r>
          </w:p>
        </w:tc>
        <w:tc>
          <w:tcPr>
            <w:tcW w:w="641" w:type="pct"/>
            <w:tcBorders>
              <w:top w:val="single" w:color="auto" w:sz="4" w:space="0"/>
              <w:left w:val="single" w:color="auto" w:sz="4" w:space="0"/>
              <w:bottom w:val="single" w:color="auto" w:sz="4" w:space="0"/>
              <w:right w:val="single" w:color="auto" w:sz="4" w:space="0"/>
            </w:tcBorders>
            <w:vAlign w:val="center"/>
          </w:tcPr>
          <w:p w14:paraId="752381E6">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0.004</w:t>
            </w:r>
          </w:p>
        </w:tc>
      </w:tr>
    </w:tbl>
    <w:p w14:paraId="4E8C7FB1">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（13）柴油发电机废气</w:t>
      </w:r>
    </w:p>
    <w:p w14:paraId="4DF27918">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cs="Times New Roman"/>
          <w:color w:val="0D0D0D" w:themeColor="text1" w:themeTint="F2"/>
          <w:szCs w:val="24"/>
          <w14:textFill>
            <w14:solidFill>
              <w14:schemeClr w14:val="tx1">
                <w14:lumMod w14:val="95000"/>
                <w14:lumOff w14:val="5000"/>
              </w14:schemeClr>
            </w14:solidFill>
          </w14:textFill>
        </w:rPr>
        <w:t>项目</w:t>
      </w:r>
      <w:r>
        <w:rPr>
          <w:rFonts w:hint="eastAsia" w:cs="Times New Roman"/>
          <w:color w:val="0D0D0D" w:themeColor="text1" w:themeTint="F2"/>
          <w:szCs w:val="24"/>
          <w14:textFill>
            <w14:solidFill>
              <w14:schemeClr w14:val="tx1">
                <w14:lumMod w14:val="95000"/>
                <w14:lumOff w14:val="5000"/>
              </w14:schemeClr>
            </w14:solidFill>
          </w14:textFill>
        </w:rPr>
        <w:t>在公用工程站配电间</w:t>
      </w:r>
      <w:r>
        <w:rPr>
          <w:rFonts w:cs="Times New Roman"/>
          <w:color w:val="0D0D0D" w:themeColor="text1" w:themeTint="F2"/>
          <w:szCs w:val="24"/>
          <w14:textFill>
            <w14:solidFill>
              <w14:schemeClr w14:val="tx1">
                <w14:lumMod w14:val="95000"/>
                <w14:lumOff w14:val="5000"/>
              </w14:schemeClr>
            </w14:solidFill>
          </w14:textFill>
        </w:rPr>
        <w:t>设置</w:t>
      </w:r>
      <w:r>
        <w:rPr>
          <w:rFonts w:hint="eastAsia" w:cs="Times New Roman"/>
          <w:color w:val="0D0D0D" w:themeColor="text1" w:themeTint="F2"/>
          <w:szCs w:val="24"/>
          <w14:textFill>
            <w14:solidFill>
              <w14:schemeClr w14:val="tx1">
                <w14:lumMod w14:val="95000"/>
                <w14:lumOff w14:val="5000"/>
              </w14:schemeClr>
            </w14:solidFill>
          </w14:textFill>
        </w:rPr>
        <w:t>1</w:t>
      </w:r>
      <w:r>
        <w:rPr>
          <w:rFonts w:cs="Times New Roman"/>
          <w:color w:val="0D0D0D" w:themeColor="text1" w:themeTint="F2"/>
          <w:szCs w:val="24"/>
          <w14:textFill>
            <w14:solidFill>
              <w14:schemeClr w14:val="tx1">
                <w14:lumMod w14:val="95000"/>
                <w14:lumOff w14:val="5000"/>
              </w14:schemeClr>
            </w14:solidFill>
          </w14:textFill>
        </w:rPr>
        <w:t>台</w:t>
      </w:r>
      <w:r>
        <w:rPr>
          <w:rFonts w:hint="eastAsia" w:cs="Times New Roman"/>
          <w:color w:val="0D0D0D" w:themeColor="text1" w:themeTint="F2"/>
          <w:szCs w:val="24"/>
          <w14:textFill>
            <w14:solidFill>
              <w14:schemeClr w14:val="tx1">
                <w14:lumMod w14:val="95000"/>
                <w14:lumOff w14:val="5000"/>
              </w14:schemeClr>
            </w14:solidFill>
          </w14:textFill>
        </w:rPr>
        <w:t>300</w:t>
      </w:r>
      <w:r>
        <w:rPr>
          <w:rFonts w:cs="Times New Roman"/>
          <w:color w:val="0D0D0D" w:themeColor="text1" w:themeTint="F2"/>
          <w:szCs w:val="24"/>
          <w14:textFill>
            <w14:solidFill>
              <w14:schemeClr w14:val="tx1">
                <w14:lumMod w14:val="95000"/>
                <w14:lumOff w14:val="5000"/>
              </w14:schemeClr>
            </w14:solidFill>
          </w14:textFill>
        </w:rPr>
        <w:t>kW</w:t>
      </w:r>
      <w:r>
        <w:rPr>
          <w:rFonts w:hint="eastAsia" w:cs="Times New Roman"/>
          <w:color w:val="0D0D0D" w:themeColor="text1" w:themeTint="F2"/>
          <w:szCs w:val="24"/>
          <w14:textFill>
            <w14:solidFill>
              <w14:schemeClr w14:val="tx1">
                <w14:lumMod w14:val="95000"/>
                <w14:lumOff w14:val="5000"/>
              </w14:schemeClr>
            </w14:solidFill>
          </w14:textFill>
        </w:rPr>
        <w:t>备用</w:t>
      </w:r>
      <w:r>
        <w:rPr>
          <w:rFonts w:cs="Times New Roman"/>
          <w:color w:val="0D0D0D" w:themeColor="text1" w:themeTint="F2"/>
          <w:szCs w:val="24"/>
          <w14:textFill>
            <w14:solidFill>
              <w14:schemeClr w14:val="tx1">
                <w14:lumMod w14:val="95000"/>
                <w14:lumOff w14:val="5000"/>
              </w14:schemeClr>
            </w14:solidFill>
          </w14:textFill>
        </w:rPr>
        <w:t>柴油发电机</w:t>
      </w:r>
      <w:r>
        <w:rPr>
          <w:rFonts w:hint="eastAsia" w:cs="Times New Roman"/>
          <w:color w:val="0D0D0D" w:themeColor="text1" w:themeTint="F2"/>
          <w:szCs w:val="24"/>
          <w14:textFill>
            <w14:solidFill>
              <w14:schemeClr w14:val="tx1">
                <w14:lumMod w14:val="95000"/>
                <w14:lumOff w14:val="5000"/>
              </w14:schemeClr>
            </w14:solidFill>
          </w14:textFill>
        </w:rPr>
        <w:t>，</w:t>
      </w:r>
      <w:r>
        <w:rPr>
          <w:rFonts w:cs="Times New Roman"/>
          <w:color w:val="0D0D0D" w:themeColor="text1" w:themeTint="F2"/>
          <w:szCs w:val="24"/>
          <w14:textFill>
            <w14:solidFill>
              <w14:schemeClr w14:val="tx1">
                <w14:lumMod w14:val="95000"/>
                <w14:lumOff w14:val="5000"/>
              </w14:schemeClr>
            </w14:solidFill>
          </w14:textFill>
        </w:rPr>
        <w:t>以0#柴油为燃料，</w:t>
      </w:r>
      <w:r>
        <w:rPr>
          <w:rFonts w:hint="eastAsia" w:cs="Times New Roman"/>
          <w:color w:val="0D0D0D" w:themeColor="text1" w:themeTint="F2"/>
          <w:szCs w:val="24"/>
          <w14:textFill>
            <w14:solidFill>
              <w14:schemeClr w14:val="tx1">
                <w14:lumMod w14:val="95000"/>
                <w14:lumOff w14:val="5000"/>
              </w14:schemeClr>
            </w14:solidFill>
          </w14:textFill>
        </w:rPr>
        <w:t>根</w:t>
      </w:r>
      <w:r>
        <w:rPr>
          <w:rFonts w:cs="Times New Roman"/>
          <w:color w:val="0D0D0D" w:themeColor="text1" w:themeTint="F2"/>
          <w:szCs w:val="24"/>
          <w14:textFill>
            <w14:solidFill>
              <w14:schemeClr w14:val="tx1">
                <w14:lumMod w14:val="95000"/>
                <w14:lumOff w14:val="5000"/>
              </w14:schemeClr>
            </w14:solidFill>
          </w14:textFill>
        </w:rPr>
        <w:t>据《普通柴油》</w:t>
      </w:r>
      <w:r>
        <w:rPr>
          <w:rFonts w:hint="eastAsia" w:cs="Times New Roman"/>
          <w:color w:val="0D0D0D" w:themeColor="text1" w:themeTint="F2"/>
          <w:szCs w:val="24"/>
          <w14:textFill>
            <w14:solidFill>
              <w14:schemeClr w14:val="tx1">
                <w14:lumMod w14:val="95000"/>
                <w14:lumOff w14:val="5000"/>
              </w14:schemeClr>
            </w14:solidFill>
          </w14:textFill>
        </w:rPr>
        <w:t>（</w:t>
      </w:r>
      <w:r>
        <w:rPr>
          <w:rFonts w:cs="Times New Roman"/>
          <w:color w:val="0D0D0D" w:themeColor="text1" w:themeTint="F2"/>
          <w:szCs w:val="24"/>
          <w14:textFill>
            <w14:solidFill>
              <w14:schemeClr w14:val="tx1">
                <w14:lumMod w14:val="95000"/>
                <w14:lumOff w14:val="5000"/>
              </w14:schemeClr>
            </w14:solidFill>
          </w14:textFill>
        </w:rPr>
        <w:t>GB252-2015</w:t>
      </w:r>
      <w:r>
        <w:rPr>
          <w:rFonts w:hint="eastAsia" w:cs="Times New Roman"/>
          <w:color w:val="0D0D0D" w:themeColor="text1" w:themeTint="F2"/>
          <w:szCs w:val="24"/>
          <w14:textFill>
            <w14:solidFill>
              <w14:schemeClr w14:val="tx1">
                <w14:lumMod w14:val="95000"/>
                <w14:lumOff w14:val="5000"/>
              </w14:schemeClr>
            </w14:solidFill>
          </w14:textFill>
        </w:rPr>
        <w:t>）</w:t>
      </w:r>
      <w:r>
        <w:rPr>
          <w:rFonts w:cs="Times New Roman"/>
          <w:color w:val="0D0D0D" w:themeColor="text1" w:themeTint="F2"/>
          <w:szCs w:val="24"/>
          <w14:textFill>
            <w14:solidFill>
              <w14:schemeClr w14:val="tx1">
                <w14:lumMod w14:val="95000"/>
                <w14:lumOff w14:val="5000"/>
              </w14:schemeClr>
            </w14:solidFill>
          </w14:textFill>
        </w:rPr>
        <w:t>，2018年1月1日起</w:t>
      </w:r>
      <w:r>
        <w:rPr>
          <w:rFonts w:hint="eastAsia" w:cs="Times New Roman"/>
          <w:color w:val="0D0D0D" w:themeColor="text1" w:themeTint="F2"/>
          <w:szCs w:val="24"/>
          <w14:textFill>
            <w14:solidFill>
              <w14:schemeClr w14:val="tx1">
                <w14:lumMod w14:val="95000"/>
                <w14:lumOff w14:val="5000"/>
              </w14:schemeClr>
            </w14:solidFill>
          </w14:textFill>
        </w:rPr>
        <w:t>柴油</w:t>
      </w:r>
      <w:r>
        <w:rPr>
          <w:rFonts w:cs="Times New Roman"/>
          <w:color w:val="0D0D0D" w:themeColor="text1" w:themeTint="F2"/>
          <w:szCs w:val="24"/>
          <w14:textFill>
            <w14:solidFill>
              <w14:schemeClr w14:val="tx1">
                <w14:lumMod w14:val="95000"/>
                <w14:lumOff w14:val="5000"/>
              </w14:schemeClr>
            </w14:solidFill>
          </w14:textFill>
        </w:rPr>
        <w:t>含硫率应不大于0.001%，</w:t>
      </w:r>
      <w:r>
        <w:rPr>
          <w:rFonts w:hint="eastAsia" w:cs="Times New Roman"/>
          <w:color w:val="0D0D0D" w:themeColor="text1" w:themeTint="F2"/>
          <w:szCs w:val="24"/>
          <w14:textFill>
            <w14:solidFill>
              <w14:schemeClr w14:val="tx1">
                <w14:lumMod w14:val="95000"/>
                <w14:lumOff w14:val="5000"/>
              </w14:schemeClr>
            </w14:solidFill>
          </w14:textFill>
        </w:rPr>
        <w:t>因此，本次评价柴油燃料</w:t>
      </w:r>
      <w:r>
        <w:rPr>
          <w:rFonts w:cs="Times New Roman"/>
          <w:color w:val="0D0D0D" w:themeColor="text1" w:themeTint="F2"/>
          <w:szCs w:val="24"/>
          <w14:textFill>
            <w14:solidFill>
              <w14:schemeClr w14:val="tx1">
                <w14:lumMod w14:val="95000"/>
                <w14:lumOff w14:val="5000"/>
              </w14:schemeClr>
            </w14:solidFill>
          </w14:textFill>
        </w:rPr>
        <w:t>含硫率按0.001%</w:t>
      </w:r>
      <w:r>
        <w:rPr>
          <w:rFonts w:hint="eastAsia" w:cs="Times New Roman"/>
          <w:color w:val="0D0D0D" w:themeColor="text1" w:themeTint="F2"/>
          <w:szCs w:val="24"/>
          <w14:textFill>
            <w14:solidFill>
              <w14:schemeClr w14:val="tx1">
                <w14:lumMod w14:val="95000"/>
                <w14:lumOff w14:val="5000"/>
              </w14:schemeClr>
            </w14:solidFill>
          </w14:textFill>
        </w:rPr>
        <w:t>计</w:t>
      </w:r>
      <w:r>
        <w:rPr>
          <w:rFonts w:cs="Times New Roman"/>
          <w:color w:val="0D0D0D" w:themeColor="text1" w:themeTint="F2"/>
          <w:szCs w:val="24"/>
          <w14:textFill>
            <w14:solidFill>
              <w14:schemeClr w14:val="tx1">
                <w14:lumMod w14:val="95000"/>
                <w14:lumOff w14:val="5000"/>
              </w14:schemeClr>
            </w14:solidFill>
          </w14:textFill>
        </w:rPr>
        <w:t>。</w:t>
      </w:r>
      <w:r>
        <w:rPr>
          <w:rFonts w:hint="eastAsia" w:cs="Times New Roman"/>
          <w:color w:val="0D0D0D" w:themeColor="text1" w:themeTint="F2"/>
          <w:szCs w:val="24"/>
          <w14:textFill>
            <w14:solidFill>
              <w14:schemeClr w14:val="tx1">
                <w14:lumMod w14:val="95000"/>
                <w14:lumOff w14:val="5000"/>
              </w14:schemeClr>
            </w14:solidFill>
          </w14:textFill>
        </w:rPr>
        <w:t>项目所在地</w:t>
      </w:r>
      <w:r>
        <w:rPr>
          <w:rFonts w:cs="Times New Roman"/>
          <w:color w:val="0D0D0D" w:themeColor="text1" w:themeTint="F2"/>
          <w:szCs w:val="24"/>
          <w14:textFill>
            <w14:solidFill>
              <w14:schemeClr w14:val="tx1">
                <w14:lumMod w14:val="95000"/>
                <w14:lumOff w14:val="5000"/>
              </w14:schemeClr>
            </w14:solidFill>
          </w14:textFill>
        </w:rPr>
        <w:t>供电比较正常，柴油发电机的启用次数不多，仅作为消防设备、应急照明、电梯等一、二级用电负荷提供备用电源，每月工作时间不超过4h，全年工作时间不超过48h，柴油发电机耗油率为0.228kg/kW·h，则项目柴油发电机工作时耗油量为</w:t>
      </w:r>
      <w:r>
        <w:rPr>
          <w:rFonts w:hint="eastAsia" w:cs="Times New Roman"/>
          <w:color w:val="0D0D0D" w:themeColor="text1" w:themeTint="F2"/>
          <w:szCs w:val="24"/>
          <w14:textFill>
            <w14:solidFill>
              <w14:schemeClr w14:val="tx1">
                <w14:lumMod w14:val="95000"/>
                <w14:lumOff w14:val="5000"/>
              </w14:schemeClr>
            </w14:solidFill>
          </w14:textFill>
        </w:rPr>
        <w:t>0.068</w:t>
      </w:r>
      <w:r>
        <w:rPr>
          <w:rFonts w:cs="Times New Roman"/>
          <w:color w:val="0D0D0D" w:themeColor="text1" w:themeTint="F2"/>
          <w:szCs w:val="24"/>
          <w14:textFill>
            <w14:solidFill>
              <w14:schemeClr w14:val="tx1">
                <w14:lumMod w14:val="95000"/>
                <w14:lumOff w14:val="5000"/>
              </w14:schemeClr>
            </w14:solidFill>
          </w14:textFill>
        </w:rPr>
        <w:t>t/h</w:t>
      </w:r>
      <w:r>
        <w:rPr>
          <w:rFonts w:hint="eastAsia" w:cs="Times New Roman"/>
          <w:color w:val="0D0D0D" w:themeColor="text1" w:themeTint="F2"/>
          <w:szCs w:val="24"/>
          <w14:textFill>
            <w14:solidFill>
              <w14:schemeClr w14:val="tx1">
                <w14:lumMod w14:val="95000"/>
                <w14:lumOff w14:val="5000"/>
              </w14:schemeClr>
            </w14:solidFill>
          </w14:textFill>
        </w:rPr>
        <w:t>，3.28</w:t>
      </w:r>
      <w:r>
        <w:rPr>
          <w:rFonts w:cs="Times New Roman"/>
          <w:color w:val="0D0D0D" w:themeColor="text1" w:themeTint="F2"/>
          <w:szCs w:val="24"/>
          <w14:textFill>
            <w14:solidFill>
              <w14:schemeClr w14:val="tx1">
                <w14:lumMod w14:val="95000"/>
                <w14:lumOff w14:val="5000"/>
              </w14:schemeClr>
            </w14:solidFill>
          </w14:textFill>
        </w:rPr>
        <w:t>t/a。</w:t>
      </w:r>
    </w:p>
    <w:p w14:paraId="6A1C6DED">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cs="Times New Roman"/>
          <w:color w:val="0D0D0D" w:themeColor="text1" w:themeTint="F2"/>
          <w:szCs w:val="24"/>
          <w14:textFill>
            <w14:solidFill>
              <w14:schemeClr w14:val="tx1">
                <w14:lumMod w14:val="95000"/>
                <w14:lumOff w14:val="5000"/>
              </w14:schemeClr>
            </w14:solidFill>
          </w14:textFill>
        </w:rPr>
        <w:t>柴油发电机燃油废气含有NOx、SO</w:t>
      </w:r>
      <w:r>
        <w:rPr>
          <w:rFonts w:cs="Times New Roman"/>
          <w:color w:val="0D0D0D" w:themeColor="text1" w:themeTint="F2"/>
          <w:szCs w:val="24"/>
          <w:vertAlign w:val="subscript"/>
          <w14:textFill>
            <w14:solidFill>
              <w14:schemeClr w14:val="tx1">
                <w14:lumMod w14:val="95000"/>
                <w14:lumOff w14:val="5000"/>
              </w14:schemeClr>
            </w14:solidFill>
          </w14:textFill>
        </w:rPr>
        <w:t>2</w:t>
      </w:r>
      <w:r>
        <w:rPr>
          <w:rFonts w:cs="Times New Roman"/>
          <w:color w:val="0D0D0D" w:themeColor="text1" w:themeTint="F2"/>
          <w:szCs w:val="24"/>
          <w14:textFill>
            <w14:solidFill>
              <w14:schemeClr w14:val="tx1">
                <w14:lumMod w14:val="95000"/>
                <w14:lumOff w14:val="5000"/>
              </w14:schemeClr>
            </w14:solidFill>
          </w14:textFill>
        </w:rPr>
        <w:t>、烟尘等大气污染物。参考《大气环境工程师实用手册》（王玉彬主编，中国环境科学出版社）以及《社会区域类环境影响评价》（国家环境保护总局环境影响评价工程师职业资格登记管理办公室编制，中国环境科学出版社）中燃油废气污染物的排放系数，废气污染物排放系数</w:t>
      </w:r>
      <w:r>
        <w:rPr>
          <w:rFonts w:hint="eastAsia" w:cs="Times New Roman"/>
          <w:color w:val="0D0D0D" w:themeColor="text1" w:themeTint="F2"/>
          <w:szCs w:val="24"/>
          <w14:textFill>
            <w14:solidFill>
              <w14:schemeClr w14:val="tx1">
                <w14:lumMod w14:val="95000"/>
                <w14:lumOff w14:val="5000"/>
              </w14:schemeClr>
            </w14:solidFill>
          </w14:textFill>
        </w:rPr>
        <w:t>详</w:t>
      </w:r>
      <w:r>
        <w:rPr>
          <w:rFonts w:cs="Times New Roman"/>
          <w:color w:val="0D0D0D" w:themeColor="text1" w:themeTint="F2"/>
          <w:szCs w:val="24"/>
          <w14:textFill>
            <w14:solidFill>
              <w14:schemeClr w14:val="tx1">
                <w14:lumMod w14:val="95000"/>
                <w14:lumOff w14:val="5000"/>
              </w14:schemeClr>
            </w14:solidFill>
          </w14:textFill>
        </w:rPr>
        <w:t>见表</w:t>
      </w:r>
      <w:r>
        <w:rPr>
          <w:rFonts w:hint="eastAsia" w:cs="Times New Roman"/>
          <w:color w:val="0D0D0D" w:themeColor="text1" w:themeTint="F2"/>
          <w:szCs w:val="24"/>
          <w14:textFill>
            <w14:solidFill>
              <w14:schemeClr w14:val="tx1">
                <w14:lumMod w14:val="95000"/>
                <w14:lumOff w14:val="5000"/>
              </w14:schemeClr>
            </w14:solidFill>
          </w14:textFill>
        </w:rPr>
        <w:t>3</w:t>
      </w:r>
      <w:r>
        <w:rPr>
          <w:rFonts w:cs="Times New Roman"/>
          <w:color w:val="0D0D0D" w:themeColor="text1" w:themeTint="F2"/>
          <w:szCs w:val="24"/>
          <w14:textFill>
            <w14:solidFill>
              <w14:schemeClr w14:val="tx1">
                <w14:lumMod w14:val="95000"/>
                <w14:lumOff w14:val="5000"/>
              </w14:schemeClr>
            </w14:solidFill>
          </w14:textFill>
        </w:rPr>
        <w:t>.3-</w:t>
      </w:r>
      <w:r>
        <w:rPr>
          <w:rFonts w:hint="eastAsia" w:cs="Times New Roman"/>
          <w:color w:val="0D0D0D" w:themeColor="text1" w:themeTint="F2"/>
          <w:szCs w:val="24"/>
          <w14:textFill>
            <w14:solidFill>
              <w14:schemeClr w14:val="tx1">
                <w14:lumMod w14:val="95000"/>
                <w14:lumOff w14:val="5000"/>
              </w14:schemeClr>
            </w14:solidFill>
          </w14:textFill>
        </w:rPr>
        <w:t>15</w:t>
      </w:r>
      <w:r>
        <w:rPr>
          <w:rFonts w:cs="Times New Roman"/>
          <w:color w:val="0D0D0D" w:themeColor="text1" w:themeTint="F2"/>
          <w:szCs w:val="24"/>
          <w14:textFill>
            <w14:solidFill>
              <w14:schemeClr w14:val="tx1">
                <w14:lumMod w14:val="95000"/>
                <w14:lumOff w14:val="5000"/>
              </w14:schemeClr>
            </w14:solidFill>
          </w14:textFill>
        </w:rPr>
        <w:t>，废气污染物</w:t>
      </w:r>
      <w:r>
        <w:rPr>
          <w:rFonts w:hint="eastAsia" w:cs="Times New Roman"/>
          <w:color w:val="0D0D0D" w:themeColor="text1" w:themeTint="F2"/>
          <w:szCs w:val="24"/>
          <w14:textFill>
            <w14:solidFill>
              <w14:schemeClr w14:val="tx1">
                <w14:lumMod w14:val="95000"/>
                <w14:lumOff w14:val="5000"/>
              </w14:schemeClr>
            </w14:solidFill>
          </w14:textFill>
        </w:rPr>
        <w:t>产排情况</w:t>
      </w:r>
      <w:r>
        <w:rPr>
          <w:rFonts w:cs="Times New Roman"/>
          <w:color w:val="0D0D0D" w:themeColor="text1" w:themeTint="F2"/>
          <w:szCs w:val="24"/>
          <w14:textFill>
            <w14:solidFill>
              <w14:schemeClr w14:val="tx1">
                <w14:lumMod w14:val="95000"/>
                <w14:lumOff w14:val="5000"/>
              </w14:schemeClr>
            </w14:solidFill>
          </w14:textFill>
        </w:rPr>
        <w:t>详见表</w:t>
      </w:r>
      <w:r>
        <w:rPr>
          <w:rFonts w:hint="eastAsia" w:cs="Times New Roman"/>
          <w:color w:val="0D0D0D" w:themeColor="text1" w:themeTint="F2"/>
          <w:szCs w:val="24"/>
          <w14:textFill>
            <w14:solidFill>
              <w14:schemeClr w14:val="tx1">
                <w14:lumMod w14:val="95000"/>
                <w14:lumOff w14:val="5000"/>
              </w14:schemeClr>
            </w14:solidFill>
          </w14:textFill>
        </w:rPr>
        <w:t>3</w:t>
      </w:r>
      <w:r>
        <w:rPr>
          <w:rFonts w:cs="Times New Roman"/>
          <w:color w:val="0D0D0D" w:themeColor="text1" w:themeTint="F2"/>
          <w:szCs w:val="24"/>
          <w14:textFill>
            <w14:solidFill>
              <w14:schemeClr w14:val="tx1">
                <w14:lumMod w14:val="95000"/>
                <w14:lumOff w14:val="5000"/>
              </w14:schemeClr>
            </w14:solidFill>
          </w14:textFill>
        </w:rPr>
        <w:t>.3-1</w:t>
      </w:r>
      <w:r>
        <w:rPr>
          <w:rFonts w:hint="eastAsia" w:cs="Times New Roman"/>
          <w:color w:val="0D0D0D" w:themeColor="text1" w:themeTint="F2"/>
          <w:szCs w:val="24"/>
          <w14:textFill>
            <w14:solidFill>
              <w14:schemeClr w14:val="tx1">
                <w14:lumMod w14:val="95000"/>
                <w14:lumOff w14:val="5000"/>
              </w14:schemeClr>
            </w14:solidFill>
          </w14:textFill>
        </w:rPr>
        <w:t>6</w:t>
      </w:r>
      <w:r>
        <w:rPr>
          <w:rFonts w:cs="Times New Roman"/>
          <w:color w:val="0D0D0D" w:themeColor="text1" w:themeTint="F2"/>
          <w:szCs w:val="24"/>
          <w14:textFill>
            <w14:solidFill>
              <w14:schemeClr w14:val="tx1">
                <w14:lumMod w14:val="95000"/>
                <w14:lumOff w14:val="5000"/>
              </w14:schemeClr>
            </w14:solidFill>
          </w14:textFill>
        </w:rPr>
        <w:t>。</w:t>
      </w:r>
    </w:p>
    <w:p w14:paraId="5FB1FFA0">
      <w:pPr>
        <w:pStyle w:val="11"/>
      </w:pPr>
      <w:r>
        <w:rPr>
          <w:rFonts w:hint="eastAsia"/>
        </w:rPr>
        <w:t xml:space="preserve"> </w:t>
      </w:r>
      <w:r>
        <w:t>燃油废气污染物排放系数一览表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8"/>
        <w:gridCol w:w="1070"/>
        <w:gridCol w:w="1006"/>
        <w:gridCol w:w="1096"/>
        <w:gridCol w:w="2512"/>
      </w:tblGrid>
      <w:tr w14:paraId="6CEE3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25" w:type="pct"/>
            <w:vAlign w:val="center"/>
          </w:tcPr>
          <w:p w14:paraId="4AA897DB">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cs="Times New Roman"/>
                <w:bCs/>
                <w:color w:val="0D0D0D" w:themeColor="text1" w:themeTint="F2"/>
                <w:kern w:val="0"/>
                <w:sz w:val="21"/>
                <w:szCs w:val="21"/>
                <w14:textFill>
                  <w14:solidFill>
                    <w14:schemeClr w14:val="tx1">
                      <w14:lumMod w14:val="95000"/>
                      <w14:lumOff w14:val="5000"/>
                    </w14:schemeClr>
                  </w14:solidFill>
                </w14:textFill>
              </w:rPr>
              <w:t>污染物</w:t>
            </w:r>
          </w:p>
        </w:tc>
        <w:tc>
          <w:tcPr>
            <w:tcW w:w="579" w:type="pct"/>
            <w:vAlign w:val="center"/>
          </w:tcPr>
          <w:p w14:paraId="40D69AA1">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cs="Times New Roman"/>
                <w:bCs/>
                <w:color w:val="0D0D0D" w:themeColor="text1" w:themeTint="F2"/>
                <w:kern w:val="0"/>
                <w:sz w:val="21"/>
                <w:szCs w:val="21"/>
                <w14:textFill>
                  <w14:solidFill>
                    <w14:schemeClr w14:val="tx1">
                      <w14:lumMod w14:val="95000"/>
                      <w14:lumOff w14:val="5000"/>
                    </w14:schemeClr>
                  </w14:solidFill>
                </w14:textFill>
              </w:rPr>
              <w:t>NO</w:t>
            </w:r>
            <w:r>
              <w:rPr>
                <w:rFonts w:cs="Times New Roman"/>
                <w:bCs/>
                <w:color w:val="0D0D0D" w:themeColor="text1" w:themeTint="F2"/>
                <w:kern w:val="0"/>
                <w:sz w:val="21"/>
                <w:szCs w:val="21"/>
                <w:vertAlign w:val="subscript"/>
                <w14:textFill>
                  <w14:solidFill>
                    <w14:schemeClr w14:val="tx1">
                      <w14:lumMod w14:val="95000"/>
                      <w14:lumOff w14:val="5000"/>
                    </w14:schemeClr>
                  </w14:solidFill>
                </w14:textFill>
              </w:rPr>
              <w:t>X</w:t>
            </w:r>
          </w:p>
        </w:tc>
        <w:tc>
          <w:tcPr>
            <w:tcW w:w="544" w:type="pct"/>
            <w:vAlign w:val="center"/>
          </w:tcPr>
          <w:p w14:paraId="03F6E5D0">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cs="Times New Roman"/>
                <w:bCs/>
                <w:color w:val="0D0D0D" w:themeColor="text1" w:themeTint="F2"/>
                <w:kern w:val="0"/>
                <w:sz w:val="21"/>
                <w:szCs w:val="21"/>
                <w14:textFill>
                  <w14:solidFill>
                    <w14:schemeClr w14:val="tx1">
                      <w14:lumMod w14:val="95000"/>
                      <w14:lumOff w14:val="5000"/>
                    </w14:schemeClr>
                  </w14:solidFill>
                </w14:textFill>
              </w:rPr>
              <w:t>SO</w:t>
            </w:r>
            <w:r>
              <w:rPr>
                <w:rFonts w:cs="Times New Roman"/>
                <w:bCs/>
                <w:color w:val="0D0D0D" w:themeColor="text1" w:themeTint="F2"/>
                <w:kern w:val="0"/>
                <w:sz w:val="21"/>
                <w:szCs w:val="21"/>
                <w:vertAlign w:val="subscript"/>
                <w14:textFill>
                  <w14:solidFill>
                    <w14:schemeClr w14:val="tx1">
                      <w14:lumMod w14:val="95000"/>
                      <w14:lumOff w14:val="5000"/>
                    </w14:schemeClr>
                  </w14:solidFill>
                </w14:textFill>
              </w:rPr>
              <w:t>2</w:t>
            </w:r>
          </w:p>
        </w:tc>
        <w:tc>
          <w:tcPr>
            <w:tcW w:w="593" w:type="pct"/>
            <w:vAlign w:val="center"/>
          </w:tcPr>
          <w:p w14:paraId="31DB0F71">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cs="Times New Roman"/>
                <w:bCs/>
                <w:color w:val="0D0D0D" w:themeColor="text1" w:themeTint="F2"/>
                <w:kern w:val="0"/>
                <w:sz w:val="21"/>
                <w:szCs w:val="21"/>
                <w14:textFill>
                  <w14:solidFill>
                    <w14:schemeClr w14:val="tx1">
                      <w14:lumMod w14:val="95000"/>
                      <w14:lumOff w14:val="5000"/>
                    </w14:schemeClr>
                  </w14:solidFill>
                </w14:textFill>
              </w:rPr>
              <w:t>烟尘</w:t>
            </w:r>
          </w:p>
        </w:tc>
        <w:tc>
          <w:tcPr>
            <w:tcW w:w="1359" w:type="pct"/>
            <w:vAlign w:val="center"/>
          </w:tcPr>
          <w:p w14:paraId="3BEC2257">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cs="Times New Roman"/>
                <w:bCs/>
                <w:color w:val="0D0D0D" w:themeColor="text1" w:themeTint="F2"/>
                <w:kern w:val="0"/>
                <w:sz w:val="21"/>
                <w:szCs w:val="21"/>
                <w14:textFill>
                  <w14:solidFill>
                    <w14:schemeClr w14:val="tx1">
                      <w14:lumMod w14:val="95000"/>
                      <w14:lumOff w14:val="5000"/>
                    </w14:schemeClr>
                  </w14:solidFill>
                </w14:textFill>
              </w:rPr>
              <w:t>烟气量</w:t>
            </w:r>
          </w:p>
        </w:tc>
      </w:tr>
      <w:tr w14:paraId="24EB1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25" w:type="pct"/>
            <w:vAlign w:val="center"/>
          </w:tcPr>
          <w:p w14:paraId="09D7DA2D">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cs="Times New Roman"/>
                <w:bCs/>
                <w:color w:val="0D0D0D" w:themeColor="text1" w:themeTint="F2"/>
                <w:kern w:val="0"/>
                <w:sz w:val="21"/>
                <w:szCs w:val="21"/>
                <w14:textFill>
                  <w14:solidFill>
                    <w14:schemeClr w14:val="tx1">
                      <w14:lumMod w14:val="95000"/>
                      <w14:lumOff w14:val="5000"/>
                    </w14:schemeClr>
                  </w14:solidFill>
                </w14:textFill>
              </w:rPr>
              <w:t>排放系数（kg/t油）</w:t>
            </w:r>
          </w:p>
        </w:tc>
        <w:tc>
          <w:tcPr>
            <w:tcW w:w="579" w:type="pct"/>
            <w:vAlign w:val="center"/>
          </w:tcPr>
          <w:p w14:paraId="38D9B1E9">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cs="Times New Roman"/>
                <w:bCs/>
                <w:color w:val="0D0D0D" w:themeColor="text1" w:themeTint="F2"/>
                <w:kern w:val="0"/>
                <w:sz w:val="21"/>
                <w:szCs w:val="21"/>
                <w14:textFill>
                  <w14:solidFill>
                    <w14:schemeClr w14:val="tx1">
                      <w14:lumMod w14:val="95000"/>
                      <w14:lumOff w14:val="5000"/>
                    </w14:schemeClr>
                  </w14:solidFill>
                </w14:textFill>
              </w:rPr>
              <w:t>2.92</w:t>
            </w:r>
          </w:p>
        </w:tc>
        <w:tc>
          <w:tcPr>
            <w:tcW w:w="544" w:type="pct"/>
            <w:vAlign w:val="center"/>
          </w:tcPr>
          <w:p w14:paraId="128B0F04">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cs="Times New Roman"/>
                <w:bCs/>
                <w:color w:val="0D0D0D" w:themeColor="text1" w:themeTint="F2"/>
                <w:kern w:val="0"/>
                <w:sz w:val="21"/>
                <w:szCs w:val="21"/>
                <w14:textFill>
                  <w14:solidFill>
                    <w14:schemeClr w14:val="tx1">
                      <w14:lumMod w14:val="95000"/>
                      <w14:lumOff w14:val="5000"/>
                    </w14:schemeClr>
                  </w14:solidFill>
                </w14:textFill>
              </w:rPr>
              <w:t>2.24</w:t>
            </w:r>
          </w:p>
        </w:tc>
        <w:tc>
          <w:tcPr>
            <w:tcW w:w="593" w:type="pct"/>
            <w:vAlign w:val="center"/>
          </w:tcPr>
          <w:p w14:paraId="7BCBB7FC">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cs="Times New Roman"/>
                <w:bCs/>
                <w:color w:val="0D0D0D" w:themeColor="text1" w:themeTint="F2"/>
                <w:kern w:val="0"/>
                <w:sz w:val="21"/>
                <w:szCs w:val="21"/>
                <w14:textFill>
                  <w14:solidFill>
                    <w14:schemeClr w14:val="tx1">
                      <w14:lumMod w14:val="95000"/>
                      <w14:lumOff w14:val="5000"/>
                    </w14:schemeClr>
                  </w14:solidFill>
                </w14:textFill>
              </w:rPr>
              <w:t>0.31</w:t>
            </w:r>
          </w:p>
        </w:tc>
        <w:tc>
          <w:tcPr>
            <w:tcW w:w="1359" w:type="pct"/>
            <w:vAlign w:val="center"/>
          </w:tcPr>
          <w:p w14:paraId="515E2CD7">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cs="Times New Roman"/>
                <w:bCs/>
                <w:color w:val="0D0D0D" w:themeColor="text1" w:themeTint="F2"/>
                <w:kern w:val="0"/>
                <w:sz w:val="21"/>
                <w:szCs w:val="21"/>
                <w14:textFill>
                  <w14:solidFill>
                    <w14:schemeClr w14:val="tx1">
                      <w14:lumMod w14:val="95000"/>
                      <w14:lumOff w14:val="5000"/>
                    </w14:schemeClr>
                  </w14:solidFill>
                </w14:textFill>
              </w:rPr>
              <w:t>2万m</w:t>
            </w:r>
            <w:r>
              <w:rPr>
                <w:rFonts w:cs="Times New Roman"/>
                <w:bCs/>
                <w:color w:val="0D0D0D" w:themeColor="text1" w:themeTint="F2"/>
                <w:kern w:val="0"/>
                <w:sz w:val="21"/>
                <w:szCs w:val="21"/>
                <w:vertAlign w:val="superscript"/>
                <w14:textFill>
                  <w14:solidFill>
                    <w14:schemeClr w14:val="tx1">
                      <w14:lumMod w14:val="95000"/>
                      <w14:lumOff w14:val="5000"/>
                    </w14:schemeClr>
                  </w14:solidFill>
                </w14:textFill>
              </w:rPr>
              <w:t>3</w:t>
            </w:r>
            <w:r>
              <w:rPr>
                <w:rFonts w:cs="Times New Roman"/>
                <w:bCs/>
                <w:color w:val="0D0D0D" w:themeColor="text1" w:themeTint="F2"/>
                <w:kern w:val="0"/>
                <w:sz w:val="21"/>
                <w:szCs w:val="21"/>
                <w14:textFill>
                  <w14:solidFill>
                    <w14:schemeClr w14:val="tx1">
                      <w14:lumMod w14:val="95000"/>
                      <w14:lumOff w14:val="5000"/>
                    </w14:schemeClr>
                  </w14:solidFill>
                </w14:textFill>
              </w:rPr>
              <w:t>/t柴油</w:t>
            </w:r>
          </w:p>
        </w:tc>
      </w:tr>
    </w:tbl>
    <w:p w14:paraId="6AAAB5C1">
      <w:pPr>
        <w:pStyle w:val="11"/>
      </w:pPr>
      <w:r>
        <w:rPr>
          <w:rFonts w:hint="eastAsia"/>
        </w:rPr>
        <w:t xml:space="preserve"> </w:t>
      </w:r>
      <w:r>
        <w:t>柴油发电机</w:t>
      </w:r>
      <w:r>
        <w:rPr>
          <w:rFonts w:hint="eastAsia"/>
        </w:rPr>
        <w:t>废气污染物</w:t>
      </w:r>
      <w:r>
        <w:t>产排情况一览表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6"/>
        <w:gridCol w:w="976"/>
        <w:gridCol w:w="846"/>
        <w:gridCol w:w="1195"/>
        <w:gridCol w:w="1010"/>
        <w:gridCol w:w="846"/>
        <w:gridCol w:w="1195"/>
        <w:gridCol w:w="1010"/>
        <w:gridCol w:w="1338"/>
      </w:tblGrid>
      <w:tr w14:paraId="72FF7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trPr>
        <w:tc>
          <w:tcPr>
            <w:tcW w:w="469" w:type="pct"/>
            <w:vMerge w:val="restart"/>
            <w:vAlign w:val="center"/>
          </w:tcPr>
          <w:p w14:paraId="320B94E4">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cs="Times New Roman"/>
                <w:bCs/>
                <w:color w:val="0D0D0D" w:themeColor="text1" w:themeTint="F2"/>
                <w:kern w:val="0"/>
                <w:sz w:val="21"/>
                <w:szCs w:val="21"/>
                <w14:textFill>
                  <w14:solidFill>
                    <w14:schemeClr w14:val="tx1">
                      <w14:lumMod w14:val="95000"/>
                      <w14:lumOff w14:val="5000"/>
                    </w14:schemeClr>
                  </w14:solidFill>
                </w14:textFill>
              </w:rPr>
              <w:t>污染源</w:t>
            </w:r>
          </w:p>
        </w:tc>
        <w:tc>
          <w:tcPr>
            <w:tcW w:w="550" w:type="pct"/>
            <w:vMerge w:val="restart"/>
            <w:vAlign w:val="center"/>
          </w:tcPr>
          <w:p w14:paraId="46067CA9">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cs="Times New Roman"/>
                <w:bCs/>
                <w:color w:val="0D0D0D" w:themeColor="text1" w:themeTint="F2"/>
                <w:kern w:val="0"/>
                <w:sz w:val="21"/>
                <w:szCs w:val="21"/>
                <w14:textFill>
                  <w14:solidFill>
                    <w14:schemeClr w14:val="tx1">
                      <w14:lumMod w14:val="95000"/>
                      <w14:lumOff w14:val="5000"/>
                    </w14:schemeClr>
                  </w14:solidFill>
                </w14:textFill>
              </w:rPr>
              <w:t>污染</w:t>
            </w:r>
          </w:p>
          <w:p w14:paraId="015BB843">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cs="Times New Roman"/>
                <w:bCs/>
                <w:color w:val="0D0D0D" w:themeColor="text1" w:themeTint="F2"/>
                <w:kern w:val="0"/>
                <w:sz w:val="21"/>
                <w:szCs w:val="21"/>
                <w14:textFill>
                  <w14:solidFill>
                    <w14:schemeClr w14:val="tx1">
                      <w14:lumMod w14:val="95000"/>
                      <w14:lumOff w14:val="5000"/>
                    </w14:schemeClr>
                  </w14:solidFill>
                </w14:textFill>
              </w:rPr>
              <w:t>因子</w:t>
            </w:r>
          </w:p>
        </w:tc>
        <w:tc>
          <w:tcPr>
            <w:tcW w:w="1507" w:type="pct"/>
            <w:gridSpan w:val="3"/>
            <w:vAlign w:val="center"/>
          </w:tcPr>
          <w:p w14:paraId="36B8961E">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cs="Times New Roman"/>
                <w:bCs/>
                <w:color w:val="0D0D0D" w:themeColor="text1" w:themeTint="F2"/>
                <w:kern w:val="0"/>
                <w:sz w:val="21"/>
                <w:szCs w:val="21"/>
                <w14:textFill>
                  <w14:solidFill>
                    <w14:schemeClr w14:val="tx1">
                      <w14:lumMod w14:val="95000"/>
                      <w14:lumOff w14:val="5000"/>
                    </w14:schemeClr>
                  </w14:solidFill>
                </w14:textFill>
              </w:rPr>
              <w:t>产生情况</w:t>
            </w:r>
          </w:p>
        </w:tc>
        <w:tc>
          <w:tcPr>
            <w:tcW w:w="1693" w:type="pct"/>
            <w:gridSpan w:val="3"/>
            <w:vAlign w:val="center"/>
          </w:tcPr>
          <w:p w14:paraId="6263C414">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cs="Times New Roman"/>
                <w:bCs/>
                <w:color w:val="0D0D0D" w:themeColor="text1" w:themeTint="F2"/>
                <w:kern w:val="0"/>
                <w:sz w:val="21"/>
                <w:szCs w:val="21"/>
                <w14:textFill>
                  <w14:solidFill>
                    <w14:schemeClr w14:val="tx1">
                      <w14:lumMod w14:val="95000"/>
                      <w14:lumOff w14:val="5000"/>
                    </w14:schemeClr>
                  </w14:solidFill>
                </w14:textFill>
              </w:rPr>
              <w:t>排放情况</w:t>
            </w:r>
          </w:p>
        </w:tc>
        <w:tc>
          <w:tcPr>
            <w:tcW w:w="781" w:type="pct"/>
            <w:vMerge w:val="restart"/>
            <w:vAlign w:val="center"/>
          </w:tcPr>
          <w:p w14:paraId="28662E00">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cs="Times New Roman"/>
                <w:bCs/>
                <w:color w:val="0D0D0D" w:themeColor="text1" w:themeTint="F2"/>
                <w:kern w:val="0"/>
                <w:sz w:val="21"/>
                <w:szCs w:val="21"/>
                <w14:textFill>
                  <w14:solidFill>
                    <w14:schemeClr w14:val="tx1">
                      <w14:lumMod w14:val="95000"/>
                      <w14:lumOff w14:val="5000"/>
                    </w14:schemeClr>
                  </w14:solidFill>
                </w14:textFill>
              </w:rPr>
              <w:t>排放去向</w:t>
            </w:r>
          </w:p>
        </w:tc>
      </w:tr>
      <w:tr w14:paraId="126C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69" w:type="pct"/>
            <w:vMerge w:val="continue"/>
            <w:vAlign w:val="center"/>
          </w:tcPr>
          <w:p w14:paraId="4E865C13">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p>
        </w:tc>
        <w:tc>
          <w:tcPr>
            <w:tcW w:w="550" w:type="pct"/>
            <w:vMerge w:val="continue"/>
            <w:vAlign w:val="center"/>
          </w:tcPr>
          <w:p w14:paraId="13871E25">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p>
        </w:tc>
        <w:tc>
          <w:tcPr>
            <w:tcW w:w="283" w:type="pct"/>
            <w:vAlign w:val="center"/>
          </w:tcPr>
          <w:p w14:paraId="419C31BB">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cs="Times New Roman"/>
                <w:bCs/>
                <w:color w:val="0D0D0D" w:themeColor="text1" w:themeTint="F2"/>
                <w:kern w:val="0"/>
                <w:sz w:val="21"/>
                <w:szCs w:val="21"/>
                <w14:textFill>
                  <w14:solidFill>
                    <w14:schemeClr w14:val="tx1">
                      <w14:lumMod w14:val="95000"/>
                      <w14:lumOff w14:val="5000"/>
                    </w14:schemeClr>
                  </w14:solidFill>
                </w14:textFill>
              </w:rPr>
              <w:t>产生量</w:t>
            </w:r>
          </w:p>
          <w:p w14:paraId="202CA6EE">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hint="eastAsia" w:cs="Times New Roman"/>
                <w:bCs/>
                <w:color w:val="0D0D0D" w:themeColor="text1" w:themeTint="F2"/>
                <w:kern w:val="0"/>
                <w:sz w:val="21"/>
                <w:szCs w:val="21"/>
                <w14:textFill>
                  <w14:solidFill>
                    <w14:schemeClr w14:val="tx1">
                      <w14:lumMod w14:val="95000"/>
                      <w14:lumOff w14:val="5000"/>
                    </w14:schemeClr>
                  </w14:solidFill>
                </w14:textFill>
              </w:rPr>
              <w:t>（</w:t>
            </w:r>
            <w:r>
              <w:rPr>
                <w:rFonts w:cs="Times New Roman"/>
                <w:bCs/>
                <w:color w:val="0D0D0D" w:themeColor="text1" w:themeTint="F2"/>
                <w:kern w:val="0"/>
                <w:sz w:val="21"/>
                <w:szCs w:val="21"/>
                <w14:textFill>
                  <w14:solidFill>
                    <w14:schemeClr w14:val="tx1">
                      <w14:lumMod w14:val="95000"/>
                      <w14:lumOff w14:val="5000"/>
                    </w14:schemeClr>
                  </w14:solidFill>
                </w14:textFill>
              </w:rPr>
              <w:t>t/a</w:t>
            </w:r>
            <w:r>
              <w:rPr>
                <w:rFonts w:hint="eastAsia" w:cs="Times New Roman"/>
                <w:bCs/>
                <w:color w:val="0D0D0D" w:themeColor="text1" w:themeTint="F2"/>
                <w:kern w:val="0"/>
                <w:sz w:val="21"/>
                <w:szCs w:val="21"/>
                <w14:textFill>
                  <w14:solidFill>
                    <w14:schemeClr w14:val="tx1">
                      <w14:lumMod w14:val="95000"/>
                      <w14:lumOff w14:val="5000"/>
                    </w14:schemeClr>
                  </w14:solidFill>
                </w14:textFill>
              </w:rPr>
              <w:t>）</w:t>
            </w:r>
          </w:p>
        </w:tc>
        <w:tc>
          <w:tcPr>
            <w:tcW w:w="664" w:type="pct"/>
            <w:vAlign w:val="center"/>
          </w:tcPr>
          <w:p w14:paraId="6C0CC3B0">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cs="Times New Roman"/>
                <w:bCs/>
                <w:color w:val="0D0D0D" w:themeColor="text1" w:themeTint="F2"/>
                <w:kern w:val="0"/>
                <w:sz w:val="21"/>
                <w:szCs w:val="21"/>
                <w14:textFill>
                  <w14:solidFill>
                    <w14:schemeClr w14:val="tx1">
                      <w14:lumMod w14:val="95000"/>
                      <w14:lumOff w14:val="5000"/>
                    </w14:schemeClr>
                  </w14:solidFill>
                </w14:textFill>
              </w:rPr>
              <w:t>浓度</w:t>
            </w:r>
          </w:p>
          <w:p w14:paraId="40BC1EDD">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hint="eastAsia" w:cs="Times New Roman"/>
                <w:bCs/>
                <w:color w:val="0D0D0D" w:themeColor="text1" w:themeTint="F2"/>
                <w:kern w:val="0"/>
                <w:sz w:val="21"/>
                <w:szCs w:val="21"/>
                <w14:textFill>
                  <w14:solidFill>
                    <w14:schemeClr w14:val="tx1">
                      <w14:lumMod w14:val="95000"/>
                      <w14:lumOff w14:val="5000"/>
                    </w14:schemeClr>
                  </w14:solidFill>
                </w14:textFill>
              </w:rPr>
              <w:t>（</w:t>
            </w:r>
            <w:r>
              <w:rPr>
                <w:rFonts w:cs="Times New Roman"/>
                <w:bCs/>
                <w:color w:val="0D0D0D" w:themeColor="text1" w:themeTint="F2"/>
                <w:kern w:val="0"/>
                <w:sz w:val="21"/>
                <w:szCs w:val="21"/>
                <w14:textFill>
                  <w14:solidFill>
                    <w14:schemeClr w14:val="tx1">
                      <w14:lumMod w14:val="95000"/>
                      <w14:lumOff w14:val="5000"/>
                    </w14:schemeClr>
                  </w14:solidFill>
                </w14:textFill>
              </w:rPr>
              <w:t>mg/m</w:t>
            </w:r>
            <w:r>
              <w:rPr>
                <w:rFonts w:cs="Times New Roman"/>
                <w:bCs/>
                <w:color w:val="0D0D0D" w:themeColor="text1" w:themeTint="F2"/>
                <w:kern w:val="0"/>
                <w:sz w:val="21"/>
                <w:szCs w:val="21"/>
                <w:vertAlign w:val="superscript"/>
                <w14:textFill>
                  <w14:solidFill>
                    <w14:schemeClr w14:val="tx1">
                      <w14:lumMod w14:val="95000"/>
                      <w14:lumOff w14:val="5000"/>
                    </w14:schemeClr>
                  </w14:solidFill>
                </w14:textFill>
              </w:rPr>
              <w:t>3</w:t>
            </w:r>
            <w:r>
              <w:rPr>
                <w:rFonts w:hint="eastAsia" w:cs="Times New Roman"/>
                <w:bCs/>
                <w:color w:val="0D0D0D" w:themeColor="text1" w:themeTint="F2"/>
                <w:kern w:val="0"/>
                <w:sz w:val="21"/>
                <w:szCs w:val="21"/>
                <w14:textFill>
                  <w14:solidFill>
                    <w14:schemeClr w14:val="tx1">
                      <w14:lumMod w14:val="95000"/>
                      <w14:lumOff w14:val="5000"/>
                    </w14:schemeClr>
                  </w14:solidFill>
                </w14:textFill>
              </w:rPr>
              <w:t>）</w:t>
            </w:r>
          </w:p>
        </w:tc>
        <w:tc>
          <w:tcPr>
            <w:tcW w:w="560" w:type="pct"/>
            <w:vAlign w:val="center"/>
          </w:tcPr>
          <w:p w14:paraId="0BF8DBBB">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cs="Times New Roman"/>
                <w:bCs/>
                <w:color w:val="0D0D0D" w:themeColor="text1" w:themeTint="F2"/>
                <w:kern w:val="0"/>
                <w:sz w:val="21"/>
                <w:szCs w:val="21"/>
                <w14:textFill>
                  <w14:solidFill>
                    <w14:schemeClr w14:val="tx1">
                      <w14:lumMod w14:val="95000"/>
                      <w14:lumOff w14:val="5000"/>
                    </w14:schemeClr>
                  </w14:solidFill>
                </w14:textFill>
              </w:rPr>
              <w:t>速率</w:t>
            </w:r>
          </w:p>
          <w:p w14:paraId="6512476F">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hint="eastAsia" w:cs="Times New Roman"/>
                <w:bCs/>
                <w:color w:val="0D0D0D" w:themeColor="text1" w:themeTint="F2"/>
                <w:kern w:val="0"/>
                <w:sz w:val="21"/>
                <w:szCs w:val="21"/>
                <w14:textFill>
                  <w14:solidFill>
                    <w14:schemeClr w14:val="tx1">
                      <w14:lumMod w14:val="95000"/>
                      <w14:lumOff w14:val="5000"/>
                    </w14:schemeClr>
                  </w14:solidFill>
                </w14:textFill>
              </w:rPr>
              <w:t>（</w:t>
            </w:r>
            <w:r>
              <w:rPr>
                <w:rFonts w:cs="Times New Roman"/>
                <w:bCs/>
                <w:color w:val="0D0D0D" w:themeColor="text1" w:themeTint="F2"/>
                <w:kern w:val="0"/>
                <w:sz w:val="21"/>
                <w:szCs w:val="21"/>
                <w14:textFill>
                  <w14:solidFill>
                    <w14:schemeClr w14:val="tx1">
                      <w14:lumMod w14:val="95000"/>
                      <w14:lumOff w14:val="5000"/>
                    </w14:schemeClr>
                  </w14:solidFill>
                </w14:textFill>
              </w:rPr>
              <w:t>kg/h</w:t>
            </w:r>
            <w:r>
              <w:rPr>
                <w:rFonts w:hint="eastAsia" w:cs="Times New Roman"/>
                <w:bCs/>
                <w:color w:val="0D0D0D" w:themeColor="text1" w:themeTint="F2"/>
                <w:kern w:val="0"/>
                <w:sz w:val="21"/>
                <w:szCs w:val="21"/>
                <w14:textFill>
                  <w14:solidFill>
                    <w14:schemeClr w14:val="tx1">
                      <w14:lumMod w14:val="95000"/>
                      <w14:lumOff w14:val="5000"/>
                    </w14:schemeClr>
                  </w14:solidFill>
                </w14:textFill>
              </w:rPr>
              <w:t>）</w:t>
            </w:r>
          </w:p>
        </w:tc>
        <w:tc>
          <w:tcPr>
            <w:tcW w:w="469" w:type="pct"/>
            <w:vAlign w:val="center"/>
          </w:tcPr>
          <w:p w14:paraId="094B5780">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cs="Times New Roman"/>
                <w:bCs/>
                <w:color w:val="0D0D0D" w:themeColor="text1" w:themeTint="F2"/>
                <w:kern w:val="0"/>
                <w:sz w:val="21"/>
                <w:szCs w:val="21"/>
                <w14:textFill>
                  <w14:solidFill>
                    <w14:schemeClr w14:val="tx1">
                      <w14:lumMod w14:val="95000"/>
                      <w14:lumOff w14:val="5000"/>
                    </w14:schemeClr>
                  </w14:solidFill>
                </w14:textFill>
              </w:rPr>
              <w:t>排放量</w:t>
            </w:r>
          </w:p>
          <w:p w14:paraId="2A688BBD">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hint="eastAsia" w:cs="Times New Roman"/>
                <w:bCs/>
                <w:color w:val="0D0D0D" w:themeColor="text1" w:themeTint="F2"/>
                <w:kern w:val="0"/>
                <w:sz w:val="21"/>
                <w:szCs w:val="21"/>
                <w14:textFill>
                  <w14:solidFill>
                    <w14:schemeClr w14:val="tx1">
                      <w14:lumMod w14:val="95000"/>
                      <w14:lumOff w14:val="5000"/>
                    </w14:schemeClr>
                  </w14:solidFill>
                </w14:textFill>
              </w:rPr>
              <w:t>（</w:t>
            </w:r>
            <w:r>
              <w:rPr>
                <w:rFonts w:cs="Times New Roman"/>
                <w:bCs/>
                <w:color w:val="0D0D0D" w:themeColor="text1" w:themeTint="F2"/>
                <w:kern w:val="0"/>
                <w:sz w:val="21"/>
                <w:szCs w:val="21"/>
                <w14:textFill>
                  <w14:solidFill>
                    <w14:schemeClr w14:val="tx1">
                      <w14:lumMod w14:val="95000"/>
                      <w14:lumOff w14:val="5000"/>
                    </w14:schemeClr>
                  </w14:solidFill>
                </w14:textFill>
              </w:rPr>
              <w:t>t/a</w:t>
            </w:r>
            <w:r>
              <w:rPr>
                <w:rFonts w:hint="eastAsia" w:cs="Times New Roman"/>
                <w:bCs/>
                <w:color w:val="0D0D0D" w:themeColor="text1" w:themeTint="F2"/>
                <w:kern w:val="0"/>
                <w:sz w:val="21"/>
                <w:szCs w:val="21"/>
                <w14:textFill>
                  <w14:solidFill>
                    <w14:schemeClr w14:val="tx1">
                      <w14:lumMod w14:val="95000"/>
                      <w14:lumOff w14:val="5000"/>
                    </w14:schemeClr>
                  </w14:solidFill>
                </w14:textFill>
              </w:rPr>
              <w:t>）</w:t>
            </w:r>
          </w:p>
        </w:tc>
        <w:tc>
          <w:tcPr>
            <w:tcW w:w="664" w:type="pct"/>
            <w:vAlign w:val="center"/>
          </w:tcPr>
          <w:p w14:paraId="07C59B05">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cs="Times New Roman"/>
                <w:bCs/>
                <w:color w:val="0D0D0D" w:themeColor="text1" w:themeTint="F2"/>
                <w:kern w:val="0"/>
                <w:sz w:val="21"/>
                <w:szCs w:val="21"/>
                <w14:textFill>
                  <w14:solidFill>
                    <w14:schemeClr w14:val="tx1">
                      <w14:lumMod w14:val="95000"/>
                      <w14:lumOff w14:val="5000"/>
                    </w14:schemeClr>
                  </w14:solidFill>
                </w14:textFill>
              </w:rPr>
              <w:t>浓度</w:t>
            </w:r>
          </w:p>
          <w:p w14:paraId="42D8BBA0">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hint="eastAsia" w:cs="Times New Roman"/>
                <w:bCs/>
                <w:color w:val="0D0D0D" w:themeColor="text1" w:themeTint="F2"/>
                <w:kern w:val="0"/>
                <w:sz w:val="21"/>
                <w:szCs w:val="21"/>
                <w14:textFill>
                  <w14:solidFill>
                    <w14:schemeClr w14:val="tx1">
                      <w14:lumMod w14:val="95000"/>
                      <w14:lumOff w14:val="5000"/>
                    </w14:schemeClr>
                  </w14:solidFill>
                </w14:textFill>
              </w:rPr>
              <w:t>（</w:t>
            </w:r>
            <w:r>
              <w:rPr>
                <w:rFonts w:cs="Times New Roman"/>
                <w:bCs/>
                <w:color w:val="0D0D0D" w:themeColor="text1" w:themeTint="F2"/>
                <w:kern w:val="0"/>
                <w:sz w:val="21"/>
                <w:szCs w:val="21"/>
                <w14:textFill>
                  <w14:solidFill>
                    <w14:schemeClr w14:val="tx1">
                      <w14:lumMod w14:val="95000"/>
                      <w14:lumOff w14:val="5000"/>
                    </w14:schemeClr>
                  </w14:solidFill>
                </w14:textFill>
              </w:rPr>
              <w:t>mg/m</w:t>
            </w:r>
            <w:r>
              <w:rPr>
                <w:rFonts w:cs="Times New Roman"/>
                <w:bCs/>
                <w:color w:val="0D0D0D" w:themeColor="text1" w:themeTint="F2"/>
                <w:kern w:val="0"/>
                <w:sz w:val="21"/>
                <w:szCs w:val="21"/>
                <w:vertAlign w:val="superscript"/>
                <w14:textFill>
                  <w14:solidFill>
                    <w14:schemeClr w14:val="tx1">
                      <w14:lumMod w14:val="95000"/>
                      <w14:lumOff w14:val="5000"/>
                    </w14:schemeClr>
                  </w14:solidFill>
                </w14:textFill>
              </w:rPr>
              <w:t>3</w:t>
            </w:r>
            <w:r>
              <w:rPr>
                <w:rFonts w:hint="eastAsia" w:cs="Times New Roman"/>
                <w:bCs/>
                <w:color w:val="0D0D0D" w:themeColor="text1" w:themeTint="F2"/>
                <w:kern w:val="0"/>
                <w:sz w:val="21"/>
                <w:szCs w:val="21"/>
                <w14:textFill>
                  <w14:solidFill>
                    <w14:schemeClr w14:val="tx1">
                      <w14:lumMod w14:val="95000"/>
                      <w14:lumOff w14:val="5000"/>
                    </w14:schemeClr>
                  </w14:solidFill>
                </w14:textFill>
              </w:rPr>
              <w:t>）</w:t>
            </w:r>
          </w:p>
        </w:tc>
        <w:tc>
          <w:tcPr>
            <w:tcW w:w="560" w:type="pct"/>
            <w:vAlign w:val="center"/>
          </w:tcPr>
          <w:p w14:paraId="0FA2B46E">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cs="Times New Roman"/>
                <w:bCs/>
                <w:color w:val="0D0D0D" w:themeColor="text1" w:themeTint="F2"/>
                <w:kern w:val="0"/>
                <w:sz w:val="21"/>
                <w:szCs w:val="21"/>
                <w14:textFill>
                  <w14:solidFill>
                    <w14:schemeClr w14:val="tx1">
                      <w14:lumMod w14:val="95000"/>
                      <w14:lumOff w14:val="5000"/>
                    </w14:schemeClr>
                  </w14:solidFill>
                </w14:textFill>
              </w:rPr>
              <w:t>速率</w:t>
            </w:r>
          </w:p>
          <w:p w14:paraId="6FF0A87D">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hint="eastAsia" w:cs="Times New Roman"/>
                <w:bCs/>
                <w:color w:val="0D0D0D" w:themeColor="text1" w:themeTint="F2"/>
                <w:kern w:val="0"/>
                <w:sz w:val="21"/>
                <w:szCs w:val="21"/>
                <w14:textFill>
                  <w14:solidFill>
                    <w14:schemeClr w14:val="tx1">
                      <w14:lumMod w14:val="95000"/>
                      <w14:lumOff w14:val="5000"/>
                    </w14:schemeClr>
                  </w14:solidFill>
                </w14:textFill>
              </w:rPr>
              <w:t>（</w:t>
            </w:r>
            <w:r>
              <w:rPr>
                <w:rFonts w:cs="Times New Roman"/>
                <w:bCs/>
                <w:color w:val="0D0D0D" w:themeColor="text1" w:themeTint="F2"/>
                <w:kern w:val="0"/>
                <w:sz w:val="21"/>
                <w:szCs w:val="21"/>
                <w14:textFill>
                  <w14:solidFill>
                    <w14:schemeClr w14:val="tx1">
                      <w14:lumMod w14:val="95000"/>
                      <w14:lumOff w14:val="5000"/>
                    </w14:schemeClr>
                  </w14:solidFill>
                </w14:textFill>
              </w:rPr>
              <w:t>kg/h</w:t>
            </w:r>
            <w:r>
              <w:rPr>
                <w:rFonts w:hint="eastAsia" w:cs="Times New Roman"/>
                <w:bCs/>
                <w:color w:val="0D0D0D" w:themeColor="text1" w:themeTint="F2"/>
                <w:kern w:val="0"/>
                <w:sz w:val="21"/>
                <w:szCs w:val="21"/>
                <w14:textFill>
                  <w14:solidFill>
                    <w14:schemeClr w14:val="tx1">
                      <w14:lumMod w14:val="95000"/>
                      <w14:lumOff w14:val="5000"/>
                    </w14:schemeClr>
                  </w14:solidFill>
                </w14:textFill>
              </w:rPr>
              <w:t>）</w:t>
            </w:r>
          </w:p>
        </w:tc>
        <w:tc>
          <w:tcPr>
            <w:tcW w:w="781" w:type="pct"/>
            <w:vMerge w:val="continue"/>
            <w:vAlign w:val="center"/>
          </w:tcPr>
          <w:p w14:paraId="7E7CBD04">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p>
        </w:tc>
      </w:tr>
      <w:tr w14:paraId="175F0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9" w:type="pct"/>
            <w:vMerge w:val="restart"/>
            <w:vAlign w:val="center"/>
          </w:tcPr>
          <w:p w14:paraId="29E46D96">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cs="Times New Roman"/>
                <w:bCs/>
                <w:color w:val="0D0D0D" w:themeColor="text1" w:themeTint="F2"/>
                <w:kern w:val="0"/>
                <w:sz w:val="21"/>
                <w:szCs w:val="21"/>
                <w14:textFill>
                  <w14:solidFill>
                    <w14:schemeClr w14:val="tx1">
                      <w14:lumMod w14:val="95000"/>
                      <w14:lumOff w14:val="5000"/>
                    </w14:schemeClr>
                  </w14:solidFill>
                </w14:textFill>
              </w:rPr>
              <w:t>柴油发电机</w:t>
            </w:r>
          </w:p>
        </w:tc>
        <w:tc>
          <w:tcPr>
            <w:tcW w:w="550" w:type="pct"/>
            <w:vAlign w:val="center"/>
          </w:tcPr>
          <w:p w14:paraId="3B4CDE7F">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cs="Times New Roman"/>
                <w:bCs/>
                <w:color w:val="0D0D0D" w:themeColor="text1" w:themeTint="F2"/>
                <w:kern w:val="0"/>
                <w:sz w:val="21"/>
                <w:szCs w:val="21"/>
                <w14:textFill>
                  <w14:solidFill>
                    <w14:schemeClr w14:val="tx1">
                      <w14:lumMod w14:val="95000"/>
                      <w14:lumOff w14:val="5000"/>
                    </w14:schemeClr>
                  </w14:solidFill>
                </w14:textFill>
              </w:rPr>
              <w:t>NOx</w:t>
            </w:r>
          </w:p>
        </w:tc>
        <w:tc>
          <w:tcPr>
            <w:tcW w:w="283" w:type="pct"/>
            <w:vAlign w:val="center"/>
          </w:tcPr>
          <w:p w14:paraId="0F008129">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hint="eastAsia" w:cs="Times New Roman"/>
                <w:bCs/>
                <w:color w:val="0D0D0D" w:themeColor="text1" w:themeTint="F2"/>
                <w:kern w:val="0"/>
                <w:sz w:val="21"/>
                <w:szCs w:val="21"/>
                <w14:textFill>
                  <w14:solidFill>
                    <w14:schemeClr w14:val="tx1">
                      <w14:lumMod w14:val="95000"/>
                      <w14:lumOff w14:val="5000"/>
                    </w14:schemeClr>
                  </w14:solidFill>
                </w14:textFill>
              </w:rPr>
              <w:t>0.010</w:t>
            </w:r>
          </w:p>
        </w:tc>
        <w:tc>
          <w:tcPr>
            <w:tcW w:w="664" w:type="pct"/>
            <w:vAlign w:val="center"/>
          </w:tcPr>
          <w:p w14:paraId="2167BF43">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hint="eastAsia" w:cs="Times New Roman"/>
                <w:bCs/>
                <w:color w:val="0D0D0D" w:themeColor="text1" w:themeTint="F2"/>
                <w:kern w:val="0"/>
                <w:sz w:val="21"/>
                <w:szCs w:val="21"/>
                <w14:textFill>
                  <w14:solidFill>
                    <w14:schemeClr w14:val="tx1">
                      <w14:lumMod w14:val="95000"/>
                      <w14:lumOff w14:val="5000"/>
                    </w14:schemeClr>
                  </w14:solidFill>
                </w14:textFill>
              </w:rPr>
              <w:t>152.4</w:t>
            </w:r>
          </w:p>
        </w:tc>
        <w:tc>
          <w:tcPr>
            <w:tcW w:w="560" w:type="pct"/>
            <w:vAlign w:val="center"/>
          </w:tcPr>
          <w:p w14:paraId="24213E1D">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hint="eastAsia" w:cs="Times New Roman"/>
                <w:bCs/>
                <w:color w:val="0D0D0D" w:themeColor="text1" w:themeTint="F2"/>
                <w:kern w:val="0"/>
                <w:sz w:val="21"/>
                <w:szCs w:val="21"/>
                <w14:textFill>
                  <w14:solidFill>
                    <w14:schemeClr w14:val="tx1">
                      <w14:lumMod w14:val="95000"/>
                      <w14:lumOff w14:val="5000"/>
                    </w14:schemeClr>
                  </w14:solidFill>
                </w14:textFill>
              </w:rPr>
              <w:t>0.2083</w:t>
            </w:r>
          </w:p>
        </w:tc>
        <w:tc>
          <w:tcPr>
            <w:tcW w:w="469" w:type="pct"/>
            <w:vAlign w:val="center"/>
          </w:tcPr>
          <w:p w14:paraId="2A58B108">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hint="eastAsia" w:cs="Times New Roman"/>
                <w:bCs/>
                <w:color w:val="0D0D0D" w:themeColor="text1" w:themeTint="F2"/>
                <w:kern w:val="0"/>
                <w:sz w:val="21"/>
                <w:szCs w:val="21"/>
                <w14:textFill>
                  <w14:solidFill>
                    <w14:schemeClr w14:val="tx1">
                      <w14:lumMod w14:val="95000"/>
                      <w14:lumOff w14:val="5000"/>
                    </w14:schemeClr>
                  </w14:solidFill>
                </w14:textFill>
              </w:rPr>
              <w:t>0.010</w:t>
            </w:r>
          </w:p>
        </w:tc>
        <w:tc>
          <w:tcPr>
            <w:tcW w:w="664" w:type="pct"/>
            <w:vAlign w:val="center"/>
          </w:tcPr>
          <w:p w14:paraId="278C5939">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hint="eastAsia" w:cs="Times New Roman"/>
                <w:bCs/>
                <w:color w:val="0D0D0D" w:themeColor="text1" w:themeTint="F2"/>
                <w:kern w:val="0"/>
                <w:sz w:val="21"/>
                <w:szCs w:val="21"/>
                <w14:textFill>
                  <w14:solidFill>
                    <w14:schemeClr w14:val="tx1">
                      <w14:lumMod w14:val="95000"/>
                      <w14:lumOff w14:val="5000"/>
                    </w14:schemeClr>
                  </w14:solidFill>
                </w14:textFill>
              </w:rPr>
              <w:t>152.4</w:t>
            </w:r>
          </w:p>
        </w:tc>
        <w:tc>
          <w:tcPr>
            <w:tcW w:w="560" w:type="pct"/>
            <w:vAlign w:val="center"/>
          </w:tcPr>
          <w:p w14:paraId="4E47A6F7">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hint="eastAsia" w:cs="Times New Roman"/>
                <w:bCs/>
                <w:color w:val="0D0D0D" w:themeColor="text1" w:themeTint="F2"/>
                <w:kern w:val="0"/>
                <w:sz w:val="21"/>
                <w:szCs w:val="21"/>
                <w14:textFill>
                  <w14:solidFill>
                    <w14:schemeClr w14:val="tx1">
                      <w14:lumMod w14:val="95000"/>
                      <w14:lumOff w14:val="5000"/>
                    </w14:schemeClr>
                  </w14:solidFill>
                </w14:textFill>
              </w:rPr>
              <w:t>0.2083</w:t>
            </w:r>
          </w:p>
        </w:tc>
        <w:tc>
          <w:tcPr>
            <w:tcW w:w="781" w:type="pct"/>
            <w:vMerge w:val="restart"/>
            <w:vAlign w:val="center"/>
          </w:tcPr>
          <w:p w14:paraId="2DDD219B">
            <w:pPr>
              <w:tabs>
                <w:tab w:val="left" w:pos="0"/>
                <w:tab w:val="left" w:pos="1820"/>
              </w:tabs>
              <w:spacing w:line="240" w:lineRule="auto"/>
              <w:rPr>
                <w:rFonts w:cs="Times New Roman"/>
                <w:bCs/>
                <w:color w:val="0D0D0D" w:themeColor="text1" w:themeTint="F2"/>
                <w:kern w:val="0"/>
                <w:sz w:val="21"/>
                <w:szCs w:val="21"/>
                <w14:textFill>
                  <w14:solidFill>
                    <w14:schemeClr w14:val="tx1">
                      <w14:lumMod w14:val="95000"/>
                      <w14:lumOff w14:val="5000"/>
                    </w14:schemeClr>
                  </w14:solidFill>
                </w14:textFill>
              </w:rPr>
            </w:pPr>
            <w:r>
              <w:rPr>
                <w:rFonts w:cs="Times New Roman"/>
                <w:bCs/>
                <w:color w:val="0D0D0D" w:themeColor="text1" w:themeTint="F2"/>
                <w:kern w:val="0"/>
                <w:sz w:val="21"/>
                <w:szCs w:val="21"/>
                <w14:textFill>
                  <w14:solidFill>
                    <w14:schemeClr w14:val="tx1">
                      <w14:lumMod w14:val="95000"/>
                      <w14:lumOff w14:val="5000"/>
                    </w14:schemeClr>
                  </w14:solidFill>
                </w14:textFill>
              </w:rPr>
              <w:t>专用排烟管道引至楼顶排放</w:t>
            </w:r>
          </w:p>
        </w:tc>
      </w:tr>
      <w:tr w14:paraId="705C5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9" w:type="pct"/>
            <w:vMerge w:val="continue"/>
            <w:vAlign w:val="center"/>
          </w:tcPr>
          <w:p w14:paraId="32FF890D">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p>
        </w:tc>
        <w:tc>
          <w:tcPr>
            <w:tcW w:w="550" w:type="pct"/>
            <w:vAlign w:val="center"/>
          </w:tcPr>
          <w:p w14:paraId="10397A7D">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cs="Times New Roman"/>
                <w:bCs/>
                <w:color w:val="0D0D0D" w:themeColor="text1" w:themeTint="F2"/>
                <w:kern w:val="0"/>
                <w:sz w:val="21"/>
                <w:szCs w:val="21"/>
                <w14:textFill>
                  <w14:solidFill>
                    <w14:schemeClr w14:val="tx1">
                      <w14:lumMod w14:val="95000"/>
                      <w14:lumOff w14:val="5000"/>
                    </w14:schemeClr>
                  </w14:solidFill>
                </w14:textFill>
              </w:rPr>
              <w:t>SO</w:t>
            </w:r>
            <w:r>
              <w:rPr>
                <w:rFonts w:cs="Times New Roman"/>
                <w:bCs/>
                <w:color w:val="0D0D0D" w:themeColor="text1" w:themeTint="F2"/>
                <w:kern w:val="0"/>
                <w:sz w:val="21"/>
                <w:szCs w:val="21"/>
                <w:vertAlign w:val="subscript"/>
                <w14:textFill>
                  <w14:solidFill>
                    <w14:schemeClr w14:val="tx1">
                      <w14:lumMod w14:val="95000"/>
                      <w14:lumOff w14:val="5000"/>
                    </w14:schemeClr>
                  </w14:solidFill>
                </w14:textFill>
              </w:rPr>
              <w:t>2</w:t>
            </w:r>
          </w:p>
        </w:tc>
        <w:tc>
          <w:tcPr>
            <w:tcW w:w="283" w:type="pct"/>
            <w:vAlign w:val="center"/>
          </w:tcPr>
          <w:p w14:paraId="081CBAD2">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hint="eastAsia" w:cs="Times New Roman"/>
                <w:bCs/>
                <w:color w:val="0D0D0D" w:themeColor="text1" w:themeTint="F2"/>
                <w:kern w:val="0"/>
                <w:sz w:val="21"/>
                <w:szCs w:val="21"/>
                <w14:textFill>
                  <w14:solidFill>
                    <w14:schemeClr w14:val="tx1">
                      <w14:lumMod w14:val="95000"/>
                      <w14:lumOff w14:val="5000"/>
                    </w14:schemeClr>
                  </w14:solidFill>
                </w14:textFill>
              </w:rPr>
              <w:t>0.007</w:t>
            </w:r>
          </w:p>
        </w:tc>
        <w:tc>
          <w:tcPr>
            <w:tcW w:w="664" w:type="pct"/>
            <w:vAlign w:val="center"/>
          </w:tcPr>
          <w:p w14:paraId="5137C09D">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hint="eastAsia" w:cs="Times New Roman"/>
                <w:bCs/>
                <w:color w:val="0D0D0D" w:themeColor="text1" w:themeTint="F2"/>
                <w:kern w:val="0"/>
                <w:sz w:val="21"/>
                <w:szCs w:val="21"/>
                <w14:textFill>
                  <w14:solidFill>
                    <w14:schemeClr w14:val="tx1">
                      <w14:lumMod w14:val="95000"/>
                      <w14:lumOff w14:val="5000"/>
                    </w14:schemeClr>
                  </w14:solidFill>
                </w14:textFill>
              </w:rPr>
              <w:t>106.7</w:t>
            </w:r>
          </w:p>
        </w:tc>
        <w:tc>
          <w:tcPr>
            <w:tcW w:w="560" w:type="pct"/>
            <w:vAlign w:val="center"/>
          </w:tcPr>
          <w:p w14:paraId="62E514F5">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hint="eastAsia" w:cs="Times New Roman"/>
                <w:bCs/>
                <w:color w:val="0D0D0D" w:themeColor="text1" w:themeTint="F2"/>
                <w:kern w:val="0"/>
                <w:sz w:val="21"/>
                <w:szCs w:val="21"/>
                <w14:textFill>
                  <w14:solidFill>
                    <w14:schemeClr w14:val="tx1">
                      <w14:lumMod w14:val="95000"/>
                      <w14:lumOff w14:val="5000"/>
                    </w14:schemeClr>
                  </w14:solidFill>
                </w14:textFill>
              </w:rPr>
              <w:t>0.1458</w:t>
            </w:r>
          </w:p>
        </w:tc>
        <w:tc>
          <w:tcPr>
            <w:tcW w:w="469" w:type="pct"/>
            <w:vAlign w:val="center"/>
          </w:tcPr>
          <w:p w14:paraId="0961F79D">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hint="eastAsia" w:cs="Times New Roman"/>
                <w:bCs/>
                <w:color w:val="0D0D0D" w:themeColor="text1" w:themeTint="F2"/>
                <w:kern w:val="0"/>
                <w:sz w:val="21"/>
                <w:szCs w:val="21"/>
                <w14:textFill>
                  <w14:solidFill>
                    <w14:schemeClr w14:val="tx1">
                      <w14:lumMod w14:val="95000"/>
                      <w14:lumOff w14:val="5000"/>
                    </w14:schemeClr>
                  </w14:solidFill>
                </w14:textFill>
              </w:rPr>
              <w:t>0.007</w:t>
            </w:r>
          </w:p>
        </w:tc>
        <w:tc>
          <w:tcPr>
            <w:tcW w:w="664" w:type="pct"/>
            <w:vAlign w:val="center"/>
          </w:tcPr>
          <w:p w14:paraId="0E64F823">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hint="eastAsia" w:cs="Times New Roman"/>
                <w:bCs/>
                <w:color w:val="0D0D0D" w:themeColor="text1" w:themeTint="F2"/>
                <w:kern w:val="0"/>
                <w:sz w:val="21"/>
                <w:szCs w:val="21"/>
                <w14:textFill>
                  <w14:solidFill>
                    <w14:schemeClr w14:val="tx1">
                      <w14:lumMod w14:val="95000"/>
                      <w14:lumOff w14:val="5000"/>
                    </w14:schemeClr>
                  </w14:solidFill>
                </w14:textFill>
              </w:rPr>
              <w:t>106.7</w:t>
            </w:r>
          </w:p>
        </w:tc>
        <w:tc>
          <w:tcPr>
            <w:tcW w:w="560" w:type="pct"/>
            <w:vAlign w:val="center"/>
          </w:tcPr>
          <w:p w14:paraId="52900FBC">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hint="eastAsia" w:cs="Times New Roman"/>
                <w:bCs/>
                <w:color w:val="0D0D0D" w:themeColor="text1" w:themeTint="F2"/>
                <w:kern w:val="0"/>
                <w:sz w:val="21"/>
                <w:szCs w:val="21"/>
                <w14:textFill>
                  <w14:solidFill>
                    <w14:schemeClr w14:val="tx1">
                      <w14:lumMod w14:val="95000"/>
                      <w14:lumOff w14:val="5000"/>
                    </w14:schemeClr>
                  </w14:solidFill>
                </w14:textFill>
              </w:rPr>
              <w:t>0.1458</w:t>
            </w:r>
          </w:p>
        </w:tc>
        <w:tc>
          <w:tcPr>
            <w:tcW w:w="781" w:type="pct"/>
            <w:vMerge w:val="continue"/>
            <w:vAlign w:val="center"/>
          </w:tcPr>
          <w:p w14:paraId="7BB881E6">
            <w:pPr>
              <w:adjustRightIn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r>
      <w:tr w14:paraId="6461D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9" w:type="pct"/>
            <w:vMerge w:val="continue"/>
            <w:vAlign w:val="center"/>
          </w:tcPr>
          <w:p w14:paraId="2165E5A4">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p>
        </w:tc>
        <w:tc>
          <w:tcPr>
            <w:tcW w:w="550" w:type="pct"/>
            <w:vAlign w:val="center"/>
          </w:tcPr>
          <w:p w14:paraId="5D2778F4">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cs="Times New Roman"/>
                <w:bCs/>
                <w:color w:val="0D0D0D" w:themeColor="text1" w:themeTint="F2"/>
                <w:kern w:val="0"/>
                <w:sz w:val="21"/>
                <w:szCs w:val="21"/>
                <w14:textFill>
                  <w14:solidFill>
                    <w14:schemeClr w14:val="tx1">
                      <w14:lumMod w14:val="95000"/>
                      <w14:lumOff w14:val="5000"/>
                    </w14:schemeClr>
                  </w14:solidFill>
                </w14:textFill>
              </w:rPr>
              <w:t>烟尘</w:t>
            </w:r>
          </w:p>
        </w:tc>
        <w:tc>
          <w:tcPr>
            <w:tcW w:w="283" w:type="pct"/>
            <w:vAlign w:val="center"/>
          </w:tcPr>
          <w:p w14:paraId="4E580135">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hint="eastAsia" w:cs="Times New Roman"/>
                <w:bCs/>
                <w:color w:val="0D0D0D" w:themeColor="text1" w:themeTint="F2"/>
                <w:kern w:val="0"/>
                <w:sz w:val="21"/>
                <w:szCs w:val="21"/>
                <w14:textFill>
                  <w14:solidFill>
                    <w14:schemeClr w14:val="tx1">
                      <w14:lumMod w14:val="95000"/>
                      <w14:lumOff w14:val="5000"/>
                    </w14:schemeClr>
                  </w14:solidFill>
                </w14:textFill>
              </w:rPr>
              <w:t>0.001</w:t>
            </w:r>
          </w:p>
        </w:tc>
        <w:tc>
          <w:tcPr>
            <w:tcW w:w="664" w:type="pct"/>
            <w:vAlign w:val="center"/>
          </w:tcPr>
          <w:p w14:paraId="21331C8E">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hint="eastAsia" w:cs="Times New Roman"/>
                <w:bCs/>
                <w:color w:val="0D0D0D" w:themeColor="text1" w:themeTint="F2"/>
                <w:kern w:val="0"/>
                <w:sz w:val="21"/>
                <w:szCs w:val="21"/>
                <w14:textFill>
                  <w14:solidFill>
                    <w14:schemeClr w14:val="tx1">
                      <w14:lumMod w14:val="95000"/>
                      <w14:lumOff w14:val="5000"/>
                    </w14:schemeClr>
                  </w14:solidFill>
                </w14:textFill>
              </w:rPr>
              <w:t>15.2</w:t>
            </w:r>
          </w:p>
        </w:tc>
        <w:tc>
          <w:tcPr>
            <w:tcW w:w="560" w:type="pct"/>
            <w:vAlign w:val="center"/>
          </w:tcPr>
          <w:p w14:paraId="40DB464F">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hint="eastAsia" w:cs="Times New Roman"/>
                <w:bCs/>
                <w:color w:val="0D0D0D" w:themeColor="text1" w:themeTint="F2"/>
                <w:kern w:val="0"/>
                <w:sz w:val="21"/>
                <w:szCs w:val="21"/>
                <w14:textFill>
                  <w14:solidFill>
                    <w14:schemeClr w14:val="tx1">
                      <w14:lumMod w14:val="95000"/>
                      <w14:lumOff w14:val="5000"/>
                    </w14:schemeClr>
                  </w14:solidFill>
                </w14:textFill>
              </w:rPr>
              <w:t>0.0208</w:t>
            </w:r>
          </w:p>
        </w:tc>
        <w:tc>
          <w:tcPr>
            <w:tcW w:w="469" w:type="pct"/>
            <w:vAlign w:val="center"/>
          </w:tcPr>
          <w:p w14:paraId="37250C8E">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hint="eastAsia" w:cs="Times New Roman"/>
                <w:bCs/>
                <w:color w:val="0D0D0D" w:themeColor="text1" w:themeTint="F2"/>
                <w:kern w:val="0"/>
                <w:sz w:val="21"/>
                <w:szCs w:val="21"/>
                <w14:textFill>
                  <w14:solidFill>
                    <w14:schemeClr w14:val="tx1">
                      <w14:lumMod w14:val="95000"/>
                      <w14:lumOff w14:val="5000"/>
                    </w14:schemeClr>
                  </w14:solidFill>
                </w14:textFill>
              </w:rPr>
              <w:t>0.001</w:t>
            </w:r>
          </w:p>
        </w:tc>
        <w:tc>
          <w:tcPr>
            <w:tcW w:w="664" w:type="pct"/>
            <w:vAlign w:val="center"/>
          </w:tcPr>
          <w:p w14:paraId="235F84D8">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hint="eastAsia" w:cs="Times New Roman"/>
                <w:bCs/>
                <w:color w:val="0D0D0D" w:themeColor="text1" w:themeTint="F2"/>
                <w:kern w:val="0"/>
                <w:sz w:val="21"/>
                <w:szCs w:val="21"/>
                <w14:textFill>
                  <w14:solidFill>
                    <w14:schemeClr w14:val="tx1">
                      <w14:lumMod w14:val="95000"/>
                      <w14:lumOff w14:val="5000"/>
                    </w14:schemeClr>
                  </w14:solidFill>
                </w14:textFill>
              </w:rPr>
              <w:t>15.2</w:t>
            </w:r>
          </w:p>
        </w:tc>
        <w:tc>
          <w:tcPr>
            <w:tcW w:w="560" w:type="pct"/>
            <w:vAlign w:val="center"/>
          </w:tcPr>
          <w:p w14:paraId="22782378">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hint="eastAsia" w:cs="Times New Roman"/>
                <w:bCs/>
                <w:color w:val="0D0D0D" w:themeColor="text1" w:themeTint="F2"/>
                <w:kern w:val="0"/>
                <w:sz w:val="21"/>
                <w:szCs w:val="21"/>
                <w14:textFill>
                  <w14:solidFill>
                    <w14:schemeClr w14:val="tx1">
                      <w14:lumMod w14:val="95000"/>
                      <w14:lumOff w14:val="5000"/>
                    </w14:schemeClr>
                  </w14:solidFill>
                </w14:textFill>
              </w:rPr>
              <w:t>0.0208</w:t>
            </w:r>
          </w:p>
        </w:tc>
        <w:tc>
          <w:tcPr>
            <w:tcW w:w="781" w:type="pct"/>
            <w:vMerge w:val="continue"/>
            <w:vAlign w:val="center"/>
          </w:tcPr>
          <w:p w14:paraId="75F573A1">
            <w:pPr>
              <w:adjustRightIn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r>
      <w:tr w14:paraId="7F5F5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9" w:type="pct"/>
            <w:vMerge w:val="continue"/>
            <w:vAlign w:val="center"/>
          </w:tcPr>
          <w:p w14:paraId="1913D94B">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p>
        </w:tc>
        <w:tc>
          <w:tcPr>
            <w:tcW w:w="550" w:type="pct"/>
            <w:vAlign w:val="center"/>
          </w:tcPr>
          <w:p w14:paraId="2983DE86">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cs="Times New Roman"/>
                <w:bCs/>
                <w:color w:val="0D0D0D" w:themeColor="text1" w:themeTint="F2"/>
                <w:kern w:val="0"/>
                <w:sz w:val="21"/>
                <w:szCs w:val="21"/>
                <w14:textFill>
                  <w14:solidFill>
                    <w14:schemeClr w14:val="tx1">
                      <w14:lumMod w14:val="95000"/>
                      <w14:lumOff w14:val="5000"/>
                    </w14:schemeClr>
                  </w14:solidFill>
                </w14:textFill>
              </w:rPr>
              <w:t>废气量</w:t>
            </w:r>
          </w:p>
        </w:tc>
        <w:tc>
          <w:tcPr>
            <w:tcW w:w="3200" w:type="pct"/>
            <w:gridSpan w:val="6"/>
            <w:vAlign w:val="center"/>
          </w:tcPr>
          <w:p w14:paraId="42FC9112">
            <w:pPr>
              <w:tabs>
                <w:tab w:val="left" w:pos="0"/>
                <w:tab w:val="left" w:pos="1820"/>
              </w:tabs>
              <w:spacing w:line="240" w:lineRule="auto"/>
              <w:jc w:val="center"/>
              <w:rPr>
                <w:rFonts w:cs="Times New Roman"/>
                <w:bCs/>
                <w:color w:val="0D0D0D" w:themeColor="text1" w:themeTint="F2"/>
                <w:kern w:val="0"/>
                <w:sz w:val="21"/>
                <w:szCs w:val="21"/>
                <w14:textFill>
                  <w14:solidFill>
                    <w14:schemeClr w14:val="tx1">
                      <w14:lumMod w14:val="95000"/>
                      <w14:lumOff w14:val="5000"/>
                    </w14:schemeClr>
                  </w14:solidFill>
                </w14:textFill>
              </w:rPr>
            </w:pPr>
            <w:r>
              <w:rPr>
                <w:rFonts w:hint="eastAsia" w:cs="Times New Roman"/>
                <w:bCs/>
                <w:color w:val="0D0D0D" w:themeColor="text1" w:themeTint="F2"/>
                <w:kern w:val="0"/>
                <w:sz w:val="21"/>
                <w:szCs w:val="21"/>
                <w14:textFill>
                  <w14:solidFill>
                    <w14:schemeClr w14:val="tx1">
                      <w14:lumMod w14:val="95000"/>
                      <w14:lumOff w14:val="5000"/>
                    </w14:schemeClr>
                  </w14:solidFill>
                </w14:textFill>
              </w:rPr>
              <w:t>6.56</w:t>
            </w:r>
            <w:r>
              <w:rPr>
                <w:rFonts w:cs="Times New Roman"/>
                <w:bCs/>
                <w:color w:val="0D0D0D" w:themeColor="text1" w:themeTint="F2"/>
                <w:kern w:val="0"/>
                <w:sz w:val="21"/>
                <w:szCs w:val="21"/>
                <w14:textFill>
                  <w14:solidFill>
                    <w14:schemeClr w14:val="tx1">
                      <w14:lumMod w14:val="95000"/>
                      <w14:lumOff w14:val="5000"/>
                    </w14:schemeClr>
                  </w14:solidFill>
                </w14:textFill>
              </w:rPr>
              <w:t>万m</w:t>
            </w:r>
            <w:r>
              <w:rPr>
                <w:rFonts w:cs="Times New Roman"/>
                <w:bCs/>
                <w:color w:val="0D0D0D" w:themeColor="text1" w:themeTint="F2"/>
                <w:kern w:val="0"/>
                <w:sz w:val="21"/>
                <w:szCs w:val="21"/>
                <w:vertAlign w:val="superscript"/>
                <w14:textFill>
                  <w14:solidFill>
                    <w14:schemeClr w14:val="tx1">
                      <w14:lumMod w14:val="95000"/>
                      <w14:lumOff w14:val="5000"/>
                    </w14:schemeClr>
                  </w14:solidFill>
                </w14:textFill>
              </w:rPr>
              <w:t>3</w:t>
            </w:r>
            <w:r>
              <w:rPr>
                <w:rFonts w:cs="Times New Roman"/>
                <w:bCs/>
                <w:color w:val="0D0D0D" w:themeColor="text1" w:themeTint="F2"/>
                <w:kern w:val="0"/>
                <w:sz w:val="21"/>
                <w:szCs w:val="21"/>
                <w14:textFill>
                  <w14:solidFill>
                    <w14:schemeClr w14:val="tx1">
                      <w14:lumMod w14:val="95000"/>
                      <w14:lumOff w14:val="5000"/>
                    </w14:schemeClr>
                  </w14:solidFill>
                </w14:textFill>
              </w:rPr>
              <w:t>/a</w:t>
            </w:r>
          </w:p>
        </w:tc>
        <w:tc>
          <w:tcPr>
            <w:tcW w:w="781" w:type="pct"/>
            <w:vMerge w:val="continue"/>
            <w:vAlign w:val="center"/>
          </w:tcPr>
          <w:p w14:paraId="6E5649EF">
            <w:pPr>
              <w:adjustRightIn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r>
    </w:tbl>
    <w:p w14:paraId="070CA0F3">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由上表可知，</w:t>
      </w:r>
      <w:r>
        <w:rPr>
          <w:rFonts w:cs="Times New Roman"/>
          <w:color w:val="0D0D0D" w:themeColor="text1" w:themeTint="F2"/>
          <w:szCs w:val="24"/>
          <w14:textFill>
            <w14:solidFill>
              <w14:schemeClr w14:val="tx1">
                <w14:lumMod w14:val="95000"/>
                <w14:lumOff w14:val="5000"/>
              </w14:schemeClr>
            </w14:solidFill>
          </w14:textFill>
        </w:rPr>
        <w:t>项目柴油发电机尾气</w:t>
      </w:r>
      <w:r>
        <w:rPr>
          <w:rFonts w:hint="eastAsia" w:cs="Times New Roman"/>
          <w:color w:val="0D0D0D" w:themeColor="text1" w:themeTint="F2"/>
          <w:szCs w:val="24"/>
          <w14:textFill>
            <w14:solidFill>
              <w14:schemeClr w14:val="tx1">
                <w14:lumMod w14:val="95000"/>
                <w14:lumOff w14:val="5000"/>
              </w14:schemeClr>
            </w14:solidFill>
          </w14:textFill>
        </w:rPr>
        <w:t>排放</w:t>
      </w:r>
      <w:r>
        <w:rPr>
          <w:rFonts w:cs="Times New Roman"/>
          <w:color w:val="0D0D0D" w:themeColor="text1" w:themeTint="F2"/>
          <w:szCs w:val="24"/>
          <w14:textFill>
            <w14:solidFill>
              <w14:schemeClr w14:val="tx1">
                <w14:lumMod w14:val="95000"/>
                <w14:lumOff w14:val="5000"/>
              </w14:schemeClr>
            </w14:solidFill>
          </w14:textFill>
        </w:rPr>
        <w:t>可满足《大气污染物综合排放标准》（GB16297-1996）中表2最高允许排放浓度限值。</w:t>
      </w:r>
    </w:p>
    <w:p w14:paraId="12570D29">
      <w:pPr>
        <w:ind w:firstLine="482" w:firstLineChars="200"/>
        <w:rPr>
          <w:rFonts w:cs="Times New Roman"/>
          <w:b/>
          <w:color w:val="0D0D0D" w:themeColor="text1" w:themeTint="F2"/>
          <w:szCs w:val="24"/>
          <w14:textFill>
            <w14:solidFill>
              <w14:schemeClr w14:val="tx1">
                <w14:lumMod w14:val="95000"/>
                <w14:lumOff w14:val="5000"/>
              </w14:schemeClr>
            </w14:solidFill>
          </w14:textFill>
        </w:rPr>
      </w:pPr>
      <w:r>
        <w:rPr>
          <w:rFonts w:hint="eastAsia" w:cs="Times New Roman"/>
          <w:b/>
          <w:color w:val="0D0D0D" w:themeColor="text1" w:themeTint="F2"/>
          <w:szCs w:val="24"/>
          <w14:textFill>
            <w14:solidFill>
              <w14:schemeClr w14:val="tx1">
                <w14:lumMod w14:val="95000"/>
                <w14:lumOff w14:val="5000"/>
              </w14:schemeClr>
            </w14:solidFill>
          </w14:textFill>
        </w:rPr>
        <w:t>（14）交通运输移动源废气</w:t>
      </w:r>
    </w:p>
    <w:p w14:paraId="72A4B526">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交通移动运输源废气主要是原辅材料及产品车辆行驶排放的尾气，主要污染物为NOx、CO及非甲烷总烃和烟尘等，其中NOx和CO排放浓度较高。机动车废气污染物主要来自曲轴箱漏气、燃料系统挥发和排气筒的排放，而大部分非甲烷总烃和几乎全部的NOx及CO都来源于排气管。CO是燃料在机内不完全燃烧的产物，主要取决于空燃比和各种汽缸燃料分配的</w:t>
      </w:r>
      <w:r>
        <w:rPr>
          <w:rFonts w:hint="eastAsia" w:cs="Times New Roman"/>
          <w:color w:val="0D0D0D" w:themeColor="text1" w:themeTint="F2"/>
          <w:szCs w:val="24"/>
          <w:lang w:eastAsia="zh-CN"/>
          <w14:textFill>
            <w14:solidFill>
              <w14:schemeClr w14:val="tx1">
                <w14:lumMod w14:val="95000"/>
                <w14:lumOff w14:val="5000"/>
              </w14:schemeClr>
            </w14:solidFill>
          </w14:textFill>
        </w:rPr>
        <w:t>均匀</w:t>
      </w:r>
      <w:r>
        <w:rPr>
          <w:rFonts w:hint="eastAsia" w:cs="Times New Roman"/>
          <w:color w:val="0D0D0D" w:themeColor="text1" w:themeTint="F2"/>
          <w:szCs w:val="24"/>
          <w14:textFill>
            <w14:solidFill>
              <w14:schemeClr w14:val="tx1">
                <w14:lumMod w14:val="95000"/>
                <w14:lumOff w14:val="5000"/>
              </w14:schemeClr>
            </w14:solidFill>
          </w14:textFill>
        </w:rPr>
        <w:t>性。NOx产生于过量空气中的氧气和氮气在高温高压的气缸内。非甲烷总烃产生于汽缸壁面淬冷效应和混合气不完全燃烧。</w:t>
      </w:r>
    </w:p>
    <w:p w14:paraId="36C63CDC">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cs="Times New Roman"/>
          <w:color w:val="0D0D0D" w:themeColor="text1" w:themeTint="F2"/>
          <w:szCs w:val="24"/>
          <w14:textFill>
            <w14:solidFill>
              <w14:schemeClr w14:val="tx1">
                <w14:lumMod w14:val="95000"/>
                <w14:lumOff w14:val="5000"/>
              </w14:schemeClr>
            </w14:solidFill>
          </w14:textFill>
        </w:rPr>
        <w:t>根据项目主要原辅材料消耗情况，每年需要运输进入</w:t>
      </w:r>
      <w:r>
        <w:rPr>
          <w:rFonts w:hint="eastAsia" w:cs="Times New Roman"/>
          <w:color w:val="0D0D0D" w:themeColor="text1" w:themeTint="F2"/>
          <w:szCs w:val="24"/>
          <w14:textFill>
            <w14:solidFill>
              <w14:schemeClr w14:val="tx1">
                <w14:lumMod w14:val="95000"/>
                <w14:lumOff w14:val="5000"/>
              </w14:schemeClr>
            </w14:solidFill>
          </w14:textFill>
        </w:rPr>
        <w:t>厂内</w:t>
      </w:r>
      <w:r>
        <w:rPr>
          <w:rFonts w:cs="Times New Roman"/>
          <w:color w:val="0D0D0D" w:themeColor="text1" w:themeTint="F2"/>
          <w:szCs w:val="24"/>
          <w14:textFill>
            <w14:solidFill>
              <w14:schemeClr w14:val="tx1">
                <w14:lumMod w14:val="95000"/>
                <w14:lumOff w14:val="5000"/>
              </w14:schemeClr>
            </w14:solidFill>
          </w14:textFill>
        </w:rPr>
        <w:t>的物料</w:t>
      </w:r>
      <w:r>
        <w:rPr>
          <w:rFonts w:hint="eastAsia" w:cs="Times New Roman"/>
          <w:color w:val="0D0D0D" w:themeColor="text1" w:themeTint="F2"/>
          <w:szCs w:val="24"/>
          <w14:textFill>
            <w14:solidFill>
              <w14:schemeClr w14:val="tx1">
                <w14:lumMod w14:val="95000"/>
                <w14:lumOff w14:val="5000"/>
              </w14:schemeClr>
            </w14:solidFill>
          </w14:textFill>
        </w:rPr>
        <w:t>量分别</w:t>
      </w:r>
      <w:r>
        <w:rPr>
          <w:rFonts w:cs="Times New Roman"/>
          <w:color w:val="0D0D0D" w:themeColor="text1" w:themeTint="F2"/>
          <w:szCs w:val="24"/>
          <w14:textFill>
            <w14:solidFill>
              <w14:schemeClr w14:val="tx1">
                <w14:lumMod w14:val="95000"/>
                <w14:lumOff w14:val="5000"/>
              </w14:schemeClr>
            </w14:solidFill>
          </w14:textFill>
        </w:rPr>
        <w:t>为</w:t>
      </w:r>
      <w:r>
        <w:rPr>
          <w:rFonts w:hint="eastAsia" w:cs="Times New Roman"/>
          <w:color w:val="0D0D0D" w:themeColor="text1" w:themeTint="F2"/>
          <w:szCs w:val="24"/>
          <w14:textFill>
            <w14:solidFill>
              <w14:schemeClr w14:val="tx1">
                <w14:lumMod w14:val="95000"/>
                <w14:lumOff w14:val="5000"/>
              </w14:schemeClr>
            </w14:solidFill>
          </w14:textFill>
        </w:rPr>
        <w:t>废弃油脂412700</w:t>
      </w:r>
      <w:r>
        <w:rPr>
          <w:rFonts w:cs="Times New Roman"/>
          <w:color w:val="0D0D0D" w:themeColor="text1" w:themeTint="F2"/>
          <w:szCs w:val="24"/>
          <w14:textFill>
            <w14:solidFill>
              <w14:schemeClr w14:val="tx1">
                <w14:lumMod w14:val="95000"/>
                <w14:lumOff w14:val="5000"/>
              </w14:schemeClr>
            </w14:solidFill>
          </w14:textFill>
        </w:rPr>
        <w:t>t/a</w:t>
      </w:r>
      <w:r>
        <w:rPr>
          <w:rFonts w:hint="eastAsia" w:cs="Times New Roman"/>
          <w:color w:val="0D0D0D" w:themeColor="text1" w:themeTint="F2"/>
          <w:szCs w:val="24"/>
          <w14:textFill>
            <w14:solidFill>
              <w14:schemeClr w14:val="tx1">
                <w14:lumMod w14:val="95000"/>
                <w14:lumOff w14:val="5000"/>
              </w14:schemeClr>
            </w14:solidFill>
          </w14:textFill>
        </w:rPr>
        <w:t>、甲醇36000</w:t>
      </w:r>
      <w:r>
        <w:rPr>
          <w:rFonts w:cs="Times New Roman"/>
          <w:color w:val="0D0D0D" w:themeColor="text1" w:themeTint="F2"/>
          <w:szCs w:val="24"/>
          <w14:textFill>
            <w14:solidFill>
              <w14:schemeClr w14:val="tx1">
                <w14:lumMod w14:val="95000"/>
                <w14:lumOff w14:val="5000"/>
              </w14:schemeClr>
            </w14:solidFill>
          </w14:textFill>
        </w:rPr>
        <w:t>t/a</w:t>
      </w:r>
      <w:r>
        <w:rPr>
          <w:rFonts w:hint="eastAsia" w:cs="Times New Roman"/>
          <w:color w:val="0D0D0D" w:themeColor="text1" w:themeTint="F2"/>
          <w:szCs w:val="24"/>
          <w14:textFill>
            <w14:solidFill>
              <w14:schemeClr w14:val="tx1">
                <w14:lumMod w14:val="95000"/>
                <w14:lumOff w14:val="5000"/>
              </w14:schemeClr>
            </w14:solidFill>
          </w14:textFill>
        </w:rPr>
        <w:t>，合计448700</w:t>
      </w:r>
      <w:r>
        <w:rPr>
          <w:rFonts w:cs="Times New Roman"/>
          <w:color w:val="0D0D0D" w:themeColor="text1" w:themeTint="F2"/>
          <w:szCs w:val="24"/>
          <w14:textFill>
            <w14:solidFill>
              <w14:schemeClr w14:val="tx1">
                <w14:lumMod w14:val="95000"/>
                <w14:lumOff w14:val="5000"/>
              </w14:schemeClr>
            </w14:solidFill>
          </w14:textFill>
        </w:rPr>
        <w:t>t/a</w:t>
      </w:r>
      <w:r>
        <w:rPr>
          <w:rFonts w:hint="eastAsia" w:cs="Times New Roman"/>
          <w:color w:val="0D0D0D" w:themeColor="text1" w:themeTint="F2"/>
          <w:szCs w:val="24"/>
          <w14:textFill>
            <w14:solidFill>
              <w14:schemeClr w14:val="tx1">
                <w14:lumMod w14:val="95000"/>
                <w14:lumOff w14:val="5000"/>
              </w14:schemeClr>
            </w14:solidFill>
          </w14:textFill>
        </w:rPr>
        <w:t>。</w:t>
      </w:r>
      <w:r>
        <w:rPr>
          <w:rFonts w:cs="Times New Roman"/>
          <w:color w:val="0D0D0D" w:themeColor="text1" w:themeTint="F2"/>
          <w:szCs w:val="24"/>
          <w14:textFill>
            <w14:solidFill>
              <w14:schemeClr w14:val="tx1">
                <w14:lumMod w14:val="95000"/>
                <w14:lumOff w14:val="5000"/>
              </w14:schemeClr>
            </w14:solidFill>
          </w14:textFill>
        </w:rPr>
        <w:t>原辅料拟采用30t的</w:t>
      </w:r>
      <w:r>
        <w:rPr>
          <w:rFonts w:hint="eastAsia" w:cs="Times New Roman"/>
          <w:color w:val="0D0D0D" w:themeColor="text1" w:themeTint="F2"/>
          <w:szCs w:val="24"/>
          <w14:textFill>
            <w14:solidFill>
              <w14:schemeClr w14:val="tx1">
                <w14:lumMod w14:val="95000"/>
                <w14:lumOff w14:val="5000"/>
              </w14:schemeClr>
            </w14:solidFill>
          </w14:textFill>
        </w:rPr>
        <w:t>罐车</w:t>
      </w:r>
      <w:r>
        <w:rPr>
          <w:rFonts w:cs="Times New Roman"/>
          <w:color w:val="0D0D0D" w:themeColor="text1" w:themeTint="F2"/>
          <w:szCs w:val="24"/>
          <w14:textFill>
            <w14:solidFill>
              <w14:schemeClr w14:val="tx1">
                <w14:lumMod w14:val="95000"/>
                <w14:lumOff w14:val="5000"/>
              </w14:schemeClr>
            </w14:solidFill>
          </w14:textFill>
        </w:rPr>
        <w:t>运输，则运输次数为</w:t>
      </w:r>
      <w:r>
        <w:rPr>
          <w:rFonts w:hint="eastAsia" w:cs="Times New Roman"/>
          <w:color w:val="0D0D0D" w:themeColor="text1" w:themeTint="F2"/>
          <w:szCs w:val="24"/>
          <w14:textFill>
            <w14:solidFill>
              <w14:schemeClr w14:val="tx1">
                <w14:lumMod w14:val="95000"/>
                <w14:lumOff w14:val="5000"/>
              </w14:schemeClr>
            </w14:solidFill>
          </w14:textFill>
        </w:rPr>
        <w:t>14957</w:t>
      </w:r>
      <w:r>
        <w:rPr>
          <w:rFonts w:cs="Times New Roman"/>
          <w:color w:val="0D0D0D" w:themeColor="text1" w:themeTint="F2"/>
          <w:szCs w:val="24"/>
          <w14:textFill>
            <w14:solidFill>
              <w14:schemeClr w14:val="tx1">
                <w14:lumMod w14:val="95000"/>
                <w14:lumOff w14:val="5000"/>
              </w14:schemeClr>
            </w14:solidFill>
          </w14:textFill>
        </w:rPr>
        <w:t>趟/年，约</w:t>
      </w:r>
      <w:r>
        <w:rPr>
          <w:rFonts w:hint="eastAsia" w:cs="Times New Roman"/>
          <w:color w:val="0D0D0D" w:themeColor="text1" w:themeTint="F2"/>
          <w:szCs w:val="24"/>
          <w14:textFill>
            <w14:solidFill>
              <w14:schemeClr w14:val="tx1">
                <w14:lumMod w14:val="95000"/>
                <w14:lumOff w14:val="5000"/>
              </w14:schemeClr>
            </w14:solidFill>
          </w14:textFill>
        </w:rPr>
        <w:t>50</w:t>
      </w:r>
      <w:r>
        <w:rPr>
          <w:rFonts w:cs="Times New Roman"/>
          <w:color w:val="0D0D0D" w:themeColor="text1" w:themeTint="F2"/>
          <w:szCs w:val="24"/>
          <w14:textFill>
            <w14:solidFill>
              <w14:schemeClr w14:val="tx1">
                <w14:lumMod w14:val="95000"/>
                <w14:lumOff w14:val="5000"/>
              </w14:schemeClr>
            </w14:solidFill>
          </w14:textFill>
        </w:rPr>
        <w:t>趟/</w:t>
      </w:r>
      <w:r>
        <w:rPr>
          <w:rFonts w:hint="eastAsia" w:cs="Times New Roman"/>
          <w:color w:val="0D0D0D" w:themeColor="text1" w:themeTint="F2"/>
          <w:szCs w:val="24"/>
          <w14:textFill>
            <w14:solidFill>
              <w14:schemeClr w14:val="tx1">
                <w14:lumMod w14:val="95000"/>
                <w14:lumOff w14:val="5000"/>
              </w14:schemeClr>
            </w14:solidFill>
          </w14:textFill>
        </w:rPr>
        <w:t>天。项目</w:t>
      </w:r>
      <w:r>
        <w:rPr>
          <w:rFonts w:cs="Times New Roman"/>
          <w:color w:val="0D0D0D" w:themeColor="text1" w:themeTint="F2"/>
          <w:szCs w:val="24"/>
          <w14:textFill>
            <w14:solidFill>
              <w14:schemeClr w14:val="tx1">
                <w14:lumMod w14:val="95000"/>
                <w14:lumOff w14:val="5000"/>
              </w14:schemeClr>
            </w14:solidFill>
          </w14:textFill>
        </w:rPr>
        <w:t>需</w:t>
      </w:r>
      <w:r>
        <w:rPr>
          <w:rFonts w:hint="eastAsia" w:cs="Times New Roman"/>
          <w:color w:val="0D0D0D" w:themeColor="text1" w:themeTint="F2"/>
          <w:szCs w:val="24"/>
          <w14:textFill>
            <w14:solidFill>
              <w14:schemeClr w14:val="tx1">
                <w14:lumMod w14:val="95000"/>
                <w14:lumOff w14:val="5000"/>
              </w14:schemeClr>
            </w14:solidFill>
          </w14:textFill>
        </w:rPr>
        <w:t>输出产品量分别</w:t>
      </w:r>
      <w:r>
        <w:rPr>
          <w:rFonts w:cs="Times New Roman"/>
          <w:color w:val="0D0D0D" w:themeColor="text1" w:themeTint="F2"/>
          <w:szCs w:val="24"/>
          <w14:textFill>
            <w14:solidFill>
              <w14:schemeClr w14:val="tx1">
                <w14:lumMod w14:val="95000"/>
                <w14:lumOff w14:val="5000"/>
              </w14:schemeClr>
            </w14:solidFill>
          </w14:textFill>
        </w:rPr>
        <w:t>为</w:t>
      </w:r>
      <w:r>
        <w:rPr>
          <w:rFonts w:hint="eastAsia" w:cs="Times New Roman"/>
          <w:color w:val="0D0D0D" w:themeColor="text1" w:themeTint="F2"/>
          <w:szCs w:val="24"/>
          <w14:textFill>
            <w14:solidFill>
              <w14:schemeClr w14:val="tx1">
                <w14:lumMod w14:val="95000"/>
                <w14:lumOff w14:val="5000"/>
              </w14:schemeClr>
            </w14:solidFill>
          </w14:textFill>
        </w:rPr>
        <w:t>精甘油</w:t>
      </w:r>
      <w:r>
        <w:rPr>
          <w:rFonts w:cs="Times New Roman"/>
          <w:color w:val="0D0D0D" w:themeColor="text1" w:themeTint="F2"/>
          <w:szCs w:val="24"/>
          <w14:textFill>
            <w14:solidFill>
              <w14:schemeClr w14:val="tx1">
                <w14:lumMod w14:val="95000"/>
                <w14:lumOff w14:val="5000"/>
              </w14:schemeClr>
            </w14:solidFill>
          </w14:textFill>
        </w:rPr>
        <w:t>1</w:t>
      </w:r>
      <w:r>
        <w:rPr>
          <w:rFonts w:hint="eastAsia" w:cs="Times New Roman"/>
          <w:color w:val="0D0D0D" w:themeColor="text1" w:themeTint="F2"/>
          <w:szCs w:val="24"/>
          <w14:textFill>
            <w14:solidFill>
              <w14:schemeClr w14:val="tx1">
                <w14:lumMod w14:val="95000"/>
                <w14:lumOff w14:val="5000"/>
              </w14:schemeClr>
            </w14:solidFill>
          </w14:textFill>
        </w:rPr>
        <w:t>0</w:t>
      </w:r>
      <w:r>
        <w:rPr>
          <w:rFonts w:cs="Times New Roman"/>
          <w:color w:val="0D0D0D" w:themeColor="text1" w:themeTint="F2"/>
          <w:szCs w:val="24"/>
          <w14:textFill>
            <w14:solidFill>
              <w14:schemeClr w14:val="tx1">
                <w14:lumMod w14:val="95000"/>
                <w14:lumOff w14:val="5000"/>
              </w14:schemeClr>
            </w14:solidFill>
          </w14:textFill>
        </w:rPr>
        <w:t>000</w:t>
      </w:r>
      <w:r>
        <w:rPr>
          <w:rFonts w:hint="eastAsia" w:cs="Times New Roman"/>
          <w:color w:val="0D0D0D" w:themeColor="text1" w:themeTint="F2"/>
          <w:szCs w:val="24"/>
          <w14:textFill>
            <w14:solidFill>
              <w14:schemeClr w14:val="tx1">
                <w14:lumMod w14:val="95000"/>
                <w14:lumOff w14:val="5000"/>
              </w14:schemeClr>
            </w14:solidFill>
          </w14:textFill>
        </w:rPr>
        <w:t>t</w:t>
      </w:r>
      <w:r>
        <w:rPr>
          <w:rFonts w:cs="Times New Roman"/>
          <w:color w:val="0D0D0D" w:themeColor="text1" w:themeTint="F2"/>
          <w:szCs w:val="24"/>
          <w14:textFill>
            <w14:solidFill>
              <w14:schemeClr w14:val="tx1">
                <w14:lumMod w14:val="95000"/>
                <w14:lumOff w14:val="5000"/>
              </w14:schemeClr>
            </w14:solidFill>
          </w14:textFill>
        </w:rPr>
        <w:t>/a</w:t>
      </w:r>
      <w:r>
        <w:rPr>
          <w:rFonts w:hint="eastAsia" w:cs="Times New Roman"/>
          <w:color w:val="0D0D0D" w:themeColor="text1" w:themeTint="F2"/>
          <w:szCs w:val="24"/>
          <w14:textFill>
            <w14:solidFill>
              <w14:schemeClr w14:val="tx1">
                <w14:lumMod w14:val="95000"/>
                <w14:lumOff w14:val="5000"/>
              </w14:schemeClr>
            </w14:solidFill>
          </w14:textFill>
        </w:rPr>
        <w:t>和重质脂肪酸</w:t>
      </w:r>
      <w:r>
        <w:rPr>
          <w:rFonts w:cs="Times New Roman"/>
          <w:color w:val="0D0D0D" w:themeColor="text1" w:themeTint="F2"/>
          <w:szCs w:val="24"/>
          <w14:textFill>
            <w14:solidFill>
              <w14:schemeClr w14:val="tx1">
                <w14:lumMod w14:val="95000"/>
                <w14:lumOff w14:val="5000"/>
              </w14:schemeClr>
            </w14:solidFill>
          </w14:textFill>
        </w:rPr>
        <w:t>1</w:t>
      </w:r>
      <w:r>
        <w:rPr>
          <w:rFonts w:hint="eastAsia" w:cs="Times New Roman"/>
          <w:color w:val="0D0D0D" w:themeColor="text1" w:themeTint="F2"/>
          <w:szCs w:val="24"/>
          <w14:textFill>
            <w14:solidFill>
              <w14:schemeClr w14:val="tx1">
                <w14:lumMod w14:val="95000"/>
                <w14:lumOff w14:val="5000"/>
              </w14:schemeClr>
            </w14:solidFill>
          </w14:textFill>
        </w:rPr>
        <w:t>2</w:t>
      </w:r>
      <w:r>
        <w:rPr>
          <w:rFonts w:cs="Times New Roman"/>
          <w:color w:val="0D0D0D" w:themeColor="text1" w:themeTint="F2"/>
          <w:szCs w:val="24"/>
          <w14:textFill>
            <w14:solidFill>
              <w14:schemeClr w14:val="tx1">
                <w14:lumMod w14:val="95000"/>
                <w14:lumOff w14:val="5000"/>
              </w14:schemeClr>
            </w14:solidFill>
          </w14:textFill>
        </w:rPr>
        <w:t>000t/a，</w:t>
      </w:r>
      <w:r>
        <w:rPr>
          <w:rFonts w:hint="eastAsia" w:cs="Times New Roman"/>
          <w:color w:val="0D0D0D" w:themeColor="text1" w:themeTint="F2"/>
          <w:szCs w:val="24"/>
          <w14:textFill>
            <w14:solidFill>
              <w14:schemeClr w14:val="tx1">
                <w14:lumMod w14:val="95000"/>
                <w14:lumOff w14:val="5000"/>
              </w14:schemeClr>
            </w14:solidFill>
          </w14:textFill>
        </w:rPr>
        <w:t>合计22000t</w:t>
      </w:r>
      <w:r>
        <w:rPr>
          <w:rFonts w:cs="Times New Roman"/>
          <w:color w:val="0D0D0D" w:themeColor="text1" w:themeTint="F2"/>
          <w:szCs w:val="24"/>
          <w14:textFill>
            <w14:solidFill>
              <w14:schemeClr w14:val="tx1">
                <w14:lumMod w14:val="95000"/>
                <w14:lumOff w14:val="5000"/>
              </w14:schemeClr>
            </w14:solidFill>
          </w14:textFill>
        </w:rPr>
        <w:t>/a。</w:t>
      </w:r>
      <w:r>
        <w:rPr>
          <w:rFonts w:hint="eastAsia" w:cs="Times New Roman"/>
          <w:color w:val="0D0D0D" w:themeColor="text1" w:themeTint="F2"/>
          <w:szCs w:val="24"/>
          <w14:textFill>
            <w14:solidFill>
              <w14:schemeClr w14:val="tx1">
                <w14:lumMod w14:val="95000"/>
                <w14:lumOff w14:val="5000"/>
              </w14:schemeClr>
            </w14:solidFill>
          </w14:textFill>
        </w:rPr>
        <w:t>产品</w:t>
      </w:r>
      <w:r>
        <w:rPr>
          <w:rFonts w:cs="Times New Roman"/>
          <w:color w:val="0D0D0D" w:themeColor="text1" w:themeTint="F2"/>
          <w:szCs w:val="24"/>
          <w14:textFill>
            <w14:solidFill>
              <w14:schemeClr w14:val="tx1">
                <w14:lumMod w14:val="95000"/>
                <w14:lumOff w14:val="5000"/>
              </w14:schemeClr>
            </w14:solidFill>
          </w14:textFill>
        </w:rPr>
        <w:t>拟采用30t的</w:t>
      </w:r>
      <w:r>
        <w:rPr>
          <w:rFonts w:hint="eastAsia" w:cs="Times New Roman"/>
          <w:color w:val="0D0D0D" w:themeColor="text1" w:themeTint="F2"/>
          <w:szCs w:val="24"/>
          <w14:textFill>
            <w14:solidFill>
              <w14:schemeClr w14:val="tx1">
                <w14:lumMod w14:val="95000"/>
                <w14:lumOff w14:val="5000"/>
              </w14:schemeClr>
            </w14:solidFill>
          </w14:textFill>
        </w:rPr>
        <w:t>罐车</w:t>
      </w:r>
      <w:r>
        <w:rPr>
          <w:rFonts w:cs="Times New Roman"/>
          <w:color w:val="0D0D0D" w:themeColor="text1" w:themeTint="F2"/>
          <w:szCs w:val="24"/>
          <w14:textFill>
            <w14:solidFill>
              <w14:schemeClr w14:val="tx1">
                <w14:lumMod w14:val="95000"/>
                <w14:lumOff w14:val="5000"/>
              </w14:schemeClr>
            </w14:solidFill>
          </w14:textFill>
        </w:rPr>
        <w:t>运输，则运输次数为</w:t>
      </w:r>
      <w:r>
        <w:rPr>
          <w:rFonts w:hint="eastAsia" w:cs="Times New Roman"/>
          <w:color w:val="0D0D0D" w:themeColor="text1" w:themeTint="F2"/>
          <w:szCs w:val="24"/>
          <w14:textFill>
            <w14:solidFill>
              <w14:schemeClr w14:val="tx1">
                <w14:lumMod w14:val="95000"/>
                <w14:lumOff w14:val="5000"/>
              </w14:schemeClr>
            </w14:solidFill>
          </w14:textFill>
        </w:rPr>
        <w:t>734</w:t>
      </w:r>
      <w:r>
        <w:rPr>
          <w:rFonts w:cs="Times New Roman"/>
          <w:color w:val="0D0D0D" w:themeColor="text1" w:themeTint="F2"/>
          <w:szCs w:val="24"/>
          <w14:textFill>
            <w14:solidFill>
              <w14:schemeClr w14:val="tx1">
                <w14:lumMod w14:val="95000"/>
                <w14:lumOff w14:val="5000"/>
              </w14:schemeClr>
            </w14:solidFill>
          </w14:textFill>
        </w:rPr>
        <w:t>趟/年，约</w:t>
      </w:r>
      <w:r>
        <w:rPr>
          <w:rFonts w:hint="eastAsia" w:cs="Times New Roman"/>
          <w:color w:val="0D0D0D" w:themeColor="text1" w:themeTint="F2"/>
          <w:szCs w:val="24"/>
          <w14:textFill>
            <w14:solidFill>
              <w14:schemeClr w14:val="tx1">
                <w14:lumMod w14:val="95000"/>
                <w14:lumOff w14:val="5000"/>
              </w14:schemeClr>
            </w14:solidFill>
          </w14:textFill>
        </w:rPr>
        <w:t>3</w:t>
      </w:r>
      <w:r>
        <w:rPr>
          <w:rFonts w:cs="Times New Roman"/>
          <w:color w:val="0D0D0D" w:themeColor="text1" w:themeTint="F2"/>
          <w:szCs w:val="24"/>
          <w14:textFill>
            <w14:solidFill>
              <w14:schemeClr w14:val="tx1">
                <w14:lumMod w14:val="95000"/>
                <w14:lumOff w14:val="5000"/>
              </w14:schemeClr>
            </w14:solidFill>
          </w14:textFill>
        </w:rPr>
        <w:t>趟/</w:t>
      </w:r>
      <w:r>
        <w:rPr>
          <w:rFonts w:hint="eastAsia" w:cs="Times New Roman"/>
          <w:color w:val="0D0D0D" w:themeColor="text1" w:themeTint="F2"/>
          <w:szCs w:val="24"/>
          <w14:textFill>
            <w14:solidFill>
              <w14:schemeClr w14:val="tx1">
                <w14:lumMod w14:val="95000"/>
                <w14:lumOff w14:val="5000"/>
              </w14:schemeClr>
            </w14:solidFill>
          </w14:textFill>
        </w:rPr>
        <w:t>天</w:t>
      </w:r>
      <w:r>
        <w:rPr>
          <w:rFonts w:cs="Times New Roman"/>
          <w:color w:val="0D0D0D" w:themeColor="text1" w:themeTint="F2"/>
          <w:szCs w:val="24"/>
          <w14:textFill>
            <w14:solidFill>
              <w14:schemeClr w14:val="tx1">
                <w14:lumMod w14:val="95000"/>
                <w14:lumOff w14:val="5000"/>
              </w14:schemeClr>
            </w14:solidFill>
          </w14:textFill>
        </w:rPr>
        <w:t>。项目</w:t>
      </w:r>
      <w:r>
        <w:rPr>
          <w:rFonts w:hint="eastAsia" w:cs="Times New Roman"/>
          <w:color w:val="0D0D0D" w:themeColor="text1" w:themeTint="F2"/>
          <w:szCs w:val="24"/>
          <w14:textFill>
            <w14:solidFill>
              <w14:schemeClr w14:val="tx1">
                <w14:lumMod w14:val="95000"/>
                <w14:lumOff w14:val="5000"/>
              </w14:schemeClr>
            </w14:solidFill>
          </w14:textFill>
        </w:rPr>
        <w:t>厂外</w:t>
      </w:r>
      <w:r>
        <w:rPr>
          <w:rFonts w:cs="Times New Roman"/>
          <w:color w:val="0D0D0D" w:themeColor="text1" w:themeTint="F2"/>
          <w:szCs w:val="24"/>
          <w14:textFill>
            <w14:solidFill>
              <w14:schemeClr w14:val="tx1">
                <w14:lumMod w14:val="95000"/>
                <w14:lumOff w14:val="5000"/>
              </w14:schemeClr>
            </w14:solidFill>
          </w14:textFill>
        </w:rPr>
        <w:t>运输全部依托园区市政道路，无需自建入厂道路。</w:t>
      </w:r>
    </w:p>
    <w:p w14:paraId="6E19A09B">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交通移动运输源废气的排放量与车流量、车速、不同车型的耗油量及排放系数有一定的关系。汽车尾气的排放源强一般可以按下式计算</w:t>
      </w:r>
      <w:r>
        <w:rPr>
          <w:rFonts w:cs="Times New Roman"/>
          <w:color w:val="0D0D0D" w:themeColor="text1" w:themeTint="F2"/>
          <w:szCs w:val="24"/>
          <w14:textFill>
            <w14:solidFill>
              <w14:schemeClr w14:val="tx1">
                <w14:lumMod w14:val="95000"/>
                <w14:lumOff w14:val="5000"/>
              </w14:schemeClr>
            </w14:solidFill>
          </w14:textFill>
        </w:rPr>
        <w:t>：</w:t>
      </w:r>
    </w:p>
    <w:p w14:paraId="68334E98">
      <w:pPr>
        <w:pStyle w:val="2"/>
        <w:ind w:firstLine="210"/>
        <w:rPr>
          <w:color w:val="0D0D0D" w:themeColor="text1" w:themeTint="F2"/>
          <w14:textFill>
            <w14:solidFill>
              <w14:schemeClr w14:val="tx1">
                <w14:lumMod w14:val="95000"/>
                <w14:lumOff w14:val="5000"/>
              </w14:schemeClr>
            </w14:solidFill>
          </w14:textFill>
        </w:rPr>
      </w:pPr>
      <m:oMathPara>
        <m:oMath>
          <m:sSub>
            <m:sSubPr>
              <m:ctrlPr>
                <w:rPr>
                  <w:rFonts w:ascii="Cambria Math" w:hAnsi="Cambria Math"/>
                  <w:i/>
                  <w:color w:val="0D0D0D" w:themeColor="text1" w:themeTint="F2"/>
                  <w:sz w:val="21"/>
                  <w14:textFill>
                    <w14:solidFill>
                      <w14:schemeClr w14:val="tx1">
                        <w14:lumMod w14:val="95000"/>
                        <w14:lumOff w14:val="5000"/>
                      </w14:schemeClr>
                    </w14:solidFill>
                  </w14:textFill>
                </w:rPr>
              </m:ctrlPr>
            </m:sSubPr>
            <m:e>
              <m:r>
                <m:rPr/>
                <w:rPr>
                  <w:rFonts w:ascii="Cambria Math" w:hAnsi="Cambria Math"/>
                  <w:color w:val="0D0D0D" w:themeColor="text1" w:themeTint="F2"/>
                  <w14:textFill>
                    <w14:solidFill>
                      <w14:schemeClr w14:val="tx1">
                        <w14:lumMod w14:val="95000"/>
                        <w14:lumOff w14:val="5000"/>
                      </w14:schemeClr>
                    </w14:solidFill>
                  </w14:textFill>
                </w:rPr>
                <m:t>Q</m:t>
              </m:r>
              <m:ctrlPr>
                <w:rPr>
                  <w:rFonts w:ascii="Cambria Math" w:hAnsi="Cambria Math"/>
                  <w:i/>
                  <w:color w:val="0D0D0D" w:themeColor="text1" w:themeTint="F2"/>
                  <w:sz w:val="21"/>
                  <w14:textFill>
                    <w14:solidFill>
                      <w14:schemeClr w14:val="tx1">
                        <w14:lumMod w14:val="95000"/>
                        <w14:lumOff w14:val="5000"/>
                      </w14:schemeClr>
                    </w14:solidFill>
                  </w14:textFill>
                </w:rPr>
              </m:ctrlPr>
            </m:e>
            <m:sub>
              <m:r>
                <m:rPr/>
                <w:rPr>
                  <w:rFonts w:ascii="Cambria Math" w:hAnsi="Cambria Math"/>
                  <w:color w:val="0D0D0D" w:themeColor="text1" w:themeTint="F2"/>
                  <w14:textFill>
                    <w14:solidFill>
                      <w14:schemeClr w14:val="tx1">
                        <w14:lumMod w14:val="95000"/>
                        <w14:lumOff w14:val="5000"/>
                      </w14:schemeClr>
                    </w14:solidFill>
                  </w14:textFill>
                </w:rPr>
                <m:t>j</m:t>
              </m:r>
              <m:ctrlPr>
                <w:rPr>
                  <w:rFonts w:ascii="Cambria Math" w:hAnsi="Cambria Math"/>
                  <w:i/>
                  <w:color w:val="0D0D0D" w:themeColor="text1" w:themeTint="F2"/>
                  <w:sz w:val="21"/>
                  <w14:textFill>
                    <w14:solidFill>
                      <w14:schemeClr w14:val="tx1">
                        <w14:lumMod w14:val="95000"/>
                        <w14:lumOff w14:val="5000"/>
                      </w14:schemeClr>
                    </w14:solidFill>
                  </w14:textFill>
                </w:rPr>
              </m:ctrlPr>
            </m:sub>
          </m:sSub>
          <m:r>
            <m:rPr/>
            <w:rPr>
              <w:rFonts w:ascii="Cambria Math" w:hAnsi="Cambria Math"/>
              <w:color w:val="0D0D0D" w:themeColor="text1" w:themeTint="F2"/>
              <w14:textFill>
                <w14:solidFill>
                  <w14:schemeClr w14:val="tx1">
                    <w14:lumMod w14:val="95000"/>
                    <w14:lumOff w14:val="5000"/>
                  </w14:schemeClr>
                </w14:solidFill>
              </w14:textFill>
            </w:rPr>
            <m:t>=</m:t>
          </m:r>
          <m:nary>
            <m:naryPr>
              <m:chr m:val="∑"/>
              <m:limLoc m:val="undOvr"/>
              <m:ctrlPr>
                <w:rPr>
                  <w:rFonts w:ascii="Cambria Math" w:hAnsi="Cambria Math"/>
                  <w:i/>
                  <w:color w:val="0D0D0D" w:themeColor="text1" w:themeTint="F2"/>
                  <w14:textFill>
                    <w14:solidFill>
                      <w14:schemeClr w14:val="tx1">
                        <w14:lumMod w14:val="95000"/>
                        <w14:lumOff w14:val="5000"/>
                      </w14:schemeClr>
                    </w14:solidFill>
                  </w14:textFill>
                </w:rPr>
              </m:ctrlPr>
            </m:naryPr>
            <m:sub>
              <m:r>
                <m:rPr/>
                <w:rPr>
                  <w:rFonts w:ascii="Cambria Math" w:hAnsi="Cambria Math"/>
                  <w:color w:val="0D0D0D" w:themeColor="text1" w:themeTint="F2"/>
                  <w14:textFill>
                    <w14:solidFill>
                      <w14:schemeClr w14:val="tx1">
                        <w14:lumMod w14:val="95000"/>
                        <w14:lumOff w14:val="5000"/>
                      </w14:schemeClr>
                    </w14:solidFill>
                  </w14:textFill>
                </w:rPr>
                <m:t>i=1</m:t>
              </m:r>
              <m:ctrlPr>
                <w:rPr>
                  <w:rFonts w:ascii="Cambria Math" w:hAnsi="Cambria Math"/>
                  <w:i/>
                  <w:color w:val="0D0D0D" w:themeColor="text1" w:themeTint="F2"/>
                  <w14:textFill>
                    <w14:solidFill>
                      <w14:schemeClr w14:val="tx1">
                        <w14:lumMod w14:val="95000"/>
                        <w14:lumOff w14:val="5000"/>
                      </w14:schemeClr>
                    </w14:solidFill>
                  </w14:textFill>
                </w:rPr>
              </m:ctrlPr>
            </m:sub>
            <m:sup>
              <m:r>
                <m:rPr/>
                <w:rPr>
                  <w:rFonts w:ascii="Cambria Math" w:hAnsi="Cambria Math"/>
                  <w:color w:val="0D0D0D" w:themeColor="text1" w:themeTint="F2"/>
                  <w14:textFill>
                    <w14:solidFill>
                      <w14:schemeClr w14:val="tx1">
                        <w14:lumMod w14:val="95000"/>
                        <w14:lumOff w14:val="5000"/>
                      </w14:schemeClr>
                    </w14:solidFill>
                  </w14:textFill>
                </w:rPr>
                <m:t>k</m:t>
              </m:r>
              <m:ctrlPr>
                <w:rPr>
                  <w:rFonts w:ascii="Cambria Math" w:hAnsi="Cambria Math"/>
                  <w:i/>
                  <w:color w:val="0D0D0D" w:themeColor="text1" w:themeTint="F2"/>
                  <w14:textFill>
                    <w14:solidFill>
                      <w14:schemeClr w14:val="tx1">
                        <w14:lumMod w14:val="95000"/>
                        <w14:lumOff w14:val="5000"/>
                      </w14:schemeClr>
                    </w14:solidFill>
                  </w14:textFill>
                </w:rPr>
              </m:ctrlPr>
            </m:sup>
            <m:e>
              <m:f>
                <m:fPr>
                  <m:ctrlPr>
                    <w:rPr>
                      <w:rFonts w:ascii="Cambria Math" w:hAnsi="Cambria Math"/>
                      <w:i/>
                      <w:color w:val="0D0D0D" w:themeColor="text1" w:themeTint="F2"/>
                      <w14:textFill>
                        <w14:solidFill>
                          <w14:schemeClr w14:val="tx1">
                            <w14:lumMod w14:val="95000"/>
                            <w14:lumOff w14:val="5000"/>
                          </w14:schemeClr>
                        </w14:solidFill>
                      </w14:textFill>
                    </w:rPr>
                  </m:ctrlPr>
                </m:fPr>
                <m:num>
                  <m:sSub>
                    <m:sSubPr>
                      <m:ctrlPr>
                        <w:rPr>
                          <w:rFonts w:ascii="Cambria Math" w:hAnsi="Cambria Math"/>
                          <w:i/>
                          <w:color w:val="0D0D0D" w:themeColor="text1" w:themeTint="F2"/>
                          <w:sz w:val="21"/>
                          <w14:textFill>
                            <w14:solidFill>
                              <w14:schemeClr w14:val="tx1">
                                <w14:lumMod w14:val="95000"/>
                                <w14:lumOff w14:val="5000"/>
                              </w14:schemeClr>
                            </w14:solidFill>
                          </w14:textFill>
                        </w:rPr>
                      </m:ctrlPr>
                    </m:sSubPr>
                    <m:e>
                      <m:r>
                        <m:rPr/>
                        <w:rPr>
                          <w:rFonts w:ascii="Cambria Math" w:hAnsi="Cambria Math"/>
                          <w:color w:val="0D0D0D" w:themeColor="text1" w:themeTint="F2"/>
                          <w14:textFill>
                            <w14:solidFill>
                              <w14:schemeClr w14:val="tx1">
                                <w14:lumMod w14:val="95000"/>
                                <w14:lumOff w14:val="5000"/>
                              </w14:schemeClr>
                            </w14:solidFill>
                          </w14:textFill>
                        </w:rPr>
                        <m:t>A</m:t>
                      </m:r>
                      <m:ctrlPr>
                        <w:rPr>
                          <w:rFonts w:ascii="Cambria Math" w:hAnsi="Cambria Math"/>
                          <w:i/>
                          <w:color w:val="0D0D0D" w:themeColor="text1" w:themeTint="F2"/>
                          <w:sz w:val="21"/>
                          <w14:textFill>
                            <w14:solidFill>
                              <w14:schemeClr w14:val="tx1">
                                <w14:lumMod w14:val="95000"/>
                                <w14:lumOff w14:val="5000"/>
                              </w14:schemeClr>
                            </w14:solidFill>
                          </w14:textFill>
                        </w:rPr>
                      </m:ctrlPr>
                    </m:e>
                    <m:sub>
                      <m:r>
                        <m:rPr/>
                        <w:rPr>
                          <w:rFonts w:ascii="Cambria Math" w:hAnsi="Cambria Math"/>
                          <w:color w:val="0D0D0D" w:themeColor="text1" w:themeTint="F2"/>
                          <w14:textFill>
                            <w14:solidFill>
                              <w14:schemeClr w14:val="tx1">
                                <w14:lumMod w14:val="95000"/>
                                <w14:lumOff w14:val="5000"/>
                              </w14:schemeClr>
                            </w14:solidFill>
                          </w14:textFill>
                        </w:rPr>
                        <m:t>i</m:t>
                      </m:r>
                      <m:ctrlPr>
                        <w:rPr>
                          <w:rFonts w:ascii="Cambria Math" w:hAnsi="Cambria Math"/>
                          <w:i/>
                          <w:color w:val="0D0D0D" w:themeColor="text1" w:themeTint="F2"/>
                          <w:sz w:val="21"/>
                          <w14:textFill>
                            <w14:solidFill>
                              <w14:schemeClr w14:val="tx1">
                                <w14:lumMod w14:val="95000"/>
                                <w14:lumOff w14:val="5000"/>
                              </w14:schemeClr>
                            </w14:solidFill>
                          </w14:textFill>
                        </w:rPr>
                      </m:ctrlPr>
                    </m:sub>
                  </m:sSub>
                  <m:sSub>
                    <m:sSubPr>
                      <m:ctrlPr>
                        <w:rPr>
                          <w:rFonts w:ascii="Cambria Math" w:hAnsi="Cambria Math"/>
                          <w:i/>
                          <w:color w:val="0D0D0D" w:themeColor="text1" w:themeTint="F2"/>
                          <w:sz w:val="21"/>
                          <w14:textFill>
                            <w14:solidFill>
                              <w14:schemeClr w14:val="tx1">
                                <w14:lumMod w14:val="95000"/>
                                <w14:lumOff w14:val="5000"/>
                              </w14:schemeClr>
                            </w14:solidFill>
                          </w14:textFill>
                        </w:rPr>
                      </m:ctrlPr>
                    </m:sSubPr>
                    <m:e>
                      <m:r>
                        <m:rPr/>
                        <w:rPr>
                          <w:rFonts w:ascii="Cambria Math" w:hAnsi="Cambria Math"/>
                          <w:color w:val="0D0D0D" w:themeColor="text1" w:themeTint="F2"/>
                          <w14:textFill>
                            <w14:solidFill>
                              <w14:schemeClr w14:val="tx1">
                                <w14:lumMod w14:val="95000"/>
                                <w14:lumOff w14:val="5000"/>
                              </w14:schemeClr>
                            </w14:solidFill>
                          </w14:textFill>
                        </w:rPr>
                        <m:t>E</m:t>
                      </m:r>
                      <m:ctrlPr>
                        <w:rPr>
                          <w:rFonts w:ascii="Cambria Math" w:hAnsi="Cambria Math"/>
                          <w:i/>
                          <w:color w:val="0D0D0D" w:themeColor="text1" w:themeTint="F2"/>
                          <w:sz w:val="21"/>
                          <w14:textFill>
                            <w14:solidFill>
                              <w14:schemeClr w14:val="tx1">
                                <w14:lumMod w14:val="95000"/>
                                <w14:lumOff w14:val="5000"/>
                              </w14:schemeClr>
                            </w14:solidFill>
                          </w14:textFill>
                        </w:rPr>
                      </m:ctrlPr>
                    </m:e>
                    <m:sub>
                      <m:r>
                        <m:rPr/>
                        <w:rPr>
                          <w:rFonts w:ascii="Cambria Math" w:hAnsi="Cambria Math"/>
                          <w:color w:val="0D0D0D" w:themeColor="text1" w:themeTint="F2"/>
                          <w14:textFill>
                            <w14:solidFill>
                              <w14:schemeClr w14:val="tx1">
                                <w14:lumMod w14:val="95000"/>
                                <w14:lumOff w14:val="5000"/>
                              </w14:schemeClr>
                            </w14:solidFill>
                          </w14:textFill>
                        </w:rPr>
                        <m:t>ij</m:t>
                      </m:r>
                      <m:ctrlPr>
                        <w:rPr>
                          <w:rFonts w:ascii="Cambria Math" w:hAnsi="Cambria Math"/>
                          <w:i/>
                          <w:color w:val="0D0D0D" w:themeColor="text1" w:themeTint="F2"/>
                          <w:sz w:val="21"/>
                          <w14:textFill>
                            <w14:solidFill>
                              <w14:schemeClr w14:val="tx1">
                                <w14:lumMod w14:val="95000"/>
                                <w14:lumOff w14:val="5000"/>
                              </w14:schemeClr>
                            </w14:solidFill>
                          </w14:textFill>
                        </w:rPr>
                      </m:ctrlPr>
                    </m:sub>
                  </m:sSub>
                  <m:ctrlPr>
                    <w:rPr>
                      <w:rFonts w:ascii="Cambria Math" w:hAnsi="Cambria Math"/>
                      <w:i/>
                      <w:color w:val="0D0D0D" w:themeColor="text1" w:themeTint="F2"/>
                      <w14:textFill>
                        <w14:solidFill>
                          <w14:schemeClr w14:val="tx1">
                            <w14:lumMod w14:val="95000"/>
                            <w14:lumOff w14:val="5000"/>
                          </w14:schemeClr>
                        </w14:solidFill>
                      </w14:textFill>
                    </w:rPr>
                  </m:ctrlPr>
                </m:num>
                <m:den>
                  <m:r>
                    <m:rPr/>
                    <w:rPr>
                      <w:rFonts w:ascii="Cambria Math" w:hAnsi="Cambria Math"/>
                      <w:color w:val="0D0D0D" w:themeColor="text1" w:themeTint="F2"/>
                      <w14:textFill>
                        <w14:solidFill>
                          <w14:schemeClr w14:val="tx1">
                            <w14:lumMod w14:val="95000"/>
                            <w14:lumOff w14:val="5000"/>
                          </w14:schemeClr>
                        </w14:solidFill>
                      </w14:textFill>
                    </w:rPr>
                    <m:t>3600</m:t>
                  </m:r>
                  <m:ctrlPr>
                    <w:rPr>
                      <w:rFonts w:ascii="Cambria Math" w:hAnsi="Cambria Math"/>
                      <w:i/>
                      <w:color w:val="0D0D0D" w:themeColor="text1" w:themeTint="F2"/>
                      <w14:textFill>
                        <w14:solidFill>
                          <w14:schemeClr w14:val="tx1">
                            <w14:lumMod w14:val="95000"/>
                            <w14:lumOff w14:val="5000"/>
                          </w14:schemeClr>
                        </w14:solidFill>
                      </w14:textFill>
                    </w:rPr>
                  </m:ctrlPr>
                </m:den>
              </m:f>
              <m:ctrlPr>
                <w:rPr>
                  <w:rFonts w:ascii="Cambria Math" w:hAnsi="Cambria Math"/>
                  <w:i/>
                  <w:color w:val="0D0D0D" w:themeColor="text1" w:themeTint="F2"/>
                  <w14:textFill>
                    <w14:solidFill>
                      <w14:schemeClr w14:val="tx1">
                        <w14:lumMod w14:val="95000"/>
                        <w14:lumOff w14:val="5000"/>
                      </w14:schemeClr>
                    </w14:solidFill>
                  </w14:textFill>
                </w:rPr>
              </m:ctrlPr>
            </m:e>
          </m:nary>
        </m:oMath>
      </m:oMathPara>
    </w:p>
    <w:p w14:paraId="0C3296EE">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cs="Times New Roman"/>
          <w:color w:val="0D0D0D" w:themeColor="text1" w:themeTint="F2"/>
          <w:szCs w:val="24"/>
          <w14:textFill>
            <w14:solidFill>
              <w14:schemeClr w14:val="tx1">
                <w14:lumMod w14:val="95000"/>
                <w14:lumOff w14:val="5000"/>
              </w14:schemeClr>
            </w14:solidFill>
          </w14:textFill>
        </w:rPr>
        <w:t>式中：</w:t>
      </w:r>
    </w:p>
    <w:p w14:paraId="135B19D4">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cs="Times New Roman"/>
          <w:color w:val="0D0D0D" w:themeColor="text1" w:themeTint="F2"/>
          <w:szCs w:val="24"/>
          <w14:textFill>
            <w14:solidFill>
              <w14:schemeClr w14:val="tx1">
                <w14:lumMod w14:val="95000"/>
                <w14:lumOff w14:val="5000"/>
              </w14:schemeClr>
            </w14:solidFill>
          </w14:textFill>
        </w:rPr>
        <w:t>Q</w:t>
      </w:r>
      <w:r>
        <w:rPr>
          <w:rFonts w:cs="Times New Roman"/>
          <w:color w:val="0D0D0D" w:themeColor="text1" w:themeTint="F2"/>
          <w:szCs w:val="24"/>
          <w:vertAlign w:val="subscript"/>
          <w14:textFill>
            <w14:solidFill>
              <w14:schemeClr w14:val="tx1">
                <w14:lumMod w14:val="95000"/>
                <w14:lumOff w14:val="5000"/>
              </w14:schemeClr>
            </w14:solidFill>
          </w14:textFill>
        </w:rPr>
        <w:t>j</w:t>
      </w:r>
      <w:r>
        <w:rPr>
          <w:rFonts w:cs="Times New Roman"/>
          <w:color w:val="0D0D0D" w:themeColor="text1" w:themeTint="F2"/>
          <w:szCs w:val="24"/>
          <w14:textFill>
            <w14:solidFill>
              <w14:schemeClr w14:val="tx1">
                <w14:lumMod w14:val="95000"/>
                <w14:lumOff w14:val="5000"/>
              </w14:schemeClr>
            </w14:solidFill>
          </w14:textFill>
        </w:rPr>
        <w:t>—j类气态污染物排放强度，mg/s</w:t>
      </w:r>
      <w:r>
        <w:rPr>
          <w:rFonts w:hint="eastAsia" w:cs="Times New Roman"/>
          <w:color w:val="0D0D0D" w:themeColor="text1" w:themeTint="F2"/>
          <w:szCs w:val="24"/>
          <w14:textFill>
            <w14:solidFill>
              <w14:schemeClr w14:val="tx1">
                <w14:lumMod w14:val="95000"/>
                <w14:lumOff w14:val="5000"/>
              </w14:schemeClr>
            </w14:solidFill>
          </w14:textFill>
        </w:rPr>
        <w:t>·</w:t>
      </w:r>
      <w:r>
        <w:rPr>
          <w:rFonts w:cs="Times New Roman"/>
          <w:color w:val="0D0D0D" w:themeColor="text1" w:themeTint="F2"/>
          <w:szCs w:val="24"/>
          <w14:textFill>
            <w14:solidFill>
              <w14:schemeClr w14:val="tx1">
                <w14:lumMod w14:val="95000"/>
                <w14:lumOff w14:val="5000"/>
              </w14:schemeClr>
            </w14:solidFill>
          </w14:textFill>
        </w:rPr>
        <w:t>m；</w:t>
      </w:r>
    </w:p>
    <w:p w14:paraId="28FA901E">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cs="Times New Roman"/>
          <w:color w:val="0D0D0D" w:themeColor="text1" w:themeTint="F2"/>
          <w:szCs w:val="24"/>
          <w14:textFill>
            <w14:solidFill>
              <w14:schemeClr w14:val="tx1">
                <w14:lumMod w14:val="95000"/>
                <w14:lumOff w14:val="5000"/>
              </w14:schemeClr>
            </w14:solidFill>
          </w14:textFill>
        </w:rPr>
        <w:t>Ai—</w:t>
      </w:r>
      <w:r>
        <w:rPr>
          <w:rFonts w:hint="eastAsia" w:cs="Times New Roman"/>
          <w:color w:val="0D0D0D" w:themeColor="text1" w:themeTint="F2"/>
          <w:szCs w:val="24"/>
          <w14:textFill>
            <w14:solidFill>
              <w14:schemeClr w14:val="tx1">
                <w14:lumMod w14:val="95000"/>
                <w14:lumOff w14:val="5000"/>
              </w14:schemeClr>
            </w14:solidFill>
          </w14:textFill>
        </w:rPr>
        <w:t>表示汽车分类，分为大型车、中型车、小型车，项目为大型车</w:t>
      </w:r>
      <w:r>
        <w:rPr>
          <w:rFonts w:cs="Times New Roman"/>
          <w:color w:val="0D0D0D" w:themeColor="text1" w:themeTint="F2"/>
          <w:szCs w:val="24"/>
          <w14:textFill>
            <w14:solidFill>
              <w14:schemeClr w14:val="tx1">
                <w14:lumMod w14:val="95000"/>
                <w14:lumOff w14:val="5000"/>
              </w14:schemeClr>
            </w14:solidFill>
          </w14:textFill>
        </w:rPr>
        <w:t>；</w:t>
      </w:r>
    </w:p>
    <w:p w14:paraId="2F7787EC">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cs="Times New Roman"/>
          <w:color w:val="0D0D0D" w:themeColor="text1" w:themeTint="F2"/>
          <w:szCs w:val="24"/>
          <w14:textFill>
            <w14:solidFill>
              <w14:schemeClr w14:val="tx1">
                <w14:lumMod w14:val="95000"/>
                <w14:lumOff w14:val="5000"/>
              </w14:schemeClr>
            </w14:solidFill>
          </w14:textFill>
        </w:rPr>
        <w:t>Eij—</w:t>
      </w:r>
      <w:r>
        <w:rPr>
          <w:rFonts w:hint="eastAsia" w:cs="Times New Roman"/>
          <w:color w:val="0D0D0D" w:themeColor="text1" w:themeTint="F2"/>
          <w:szCs w:val="24"/>
          <w14:textFill>
            <w14:solidFill>
              <w14:schemeClr w14:val="tx1">
                <w14:lumMod w14:val="95000"/>
                <w14:lumOff w14:val="5000"/>
              </w14:schemeClr>
            </w14:solidFill>
          </w14:textFill>
        </w:rPr>
        <w:t>表示i类车辆j种污染物的单车排放因子，参照</w:t>
      </w:r>
      <w:r>
        <w:rPr>
          <w:rFonts w:cs="Times New Roman"/>
          <w:color w:val="0D0D0D" w:themeColor="text1" w:themeTint="F2"/>
          <w:szCs w:val="24"/>
          <w14:textFill>
            <w14:solidFill>
              <w14:schemeClr w14:val="tx1">
                <w14:lumMod w14:val="95000"/>
                <w14:lumOff w14:val="5000"/>
              </w14:schemeClr>
            </w14:solidFill>
          </w14:textFill>
        </w:rPr>
        <w:t>《重型柴油车污染物排放限值及测量方法（中国第六阶段）》（GB18352.6-2016）及《轻型汽车污染物排放限值及测量方法（中国第六阶段）》</w:t>
      </w:r>
      <w:r>
        <w:rPr>
          <w:rFonts w:hint="eastAsia" w:cs="Times New Roman"/>
          <w:color w:val="0D0D0D" w:themeColor="text1" w:themeTint="F2"/>
          <w:szCs w:val="24"/>
          <w14:textFill>
            <w14:solidFill>
              <w14:schemeClr w14:val="tx1">
                <w14:lumMod w14:val="95000"/>
                <w14:lumOff w14:val="5000"/>
              </w14:schemeClr>
            </w14:solidFill>
          </w14:textFill>
        </w:rPr>
        <w:t>（</w:t>
      </w:r>
      <w:r>
        <w:rPr>
          <w:rFonts w:cs="Times New Roman"/>
          <w:color w:val="0D0D0D" w:themeColor="text1" w:themeTint="F2"/>
          <w:szCs w:val="24"/>
          <w14:textFill>
            <w14:solidFill>
              <w14:schemeClr w14:val="tx1">
                <w14:lumMod w14:val="95000"/>
                <w14:lumOff w14:val="5000"/>
              </w14:schemeClr>
            </w14:solidFill>
          </w14:textFill>
        </w:rPr>
        <w:t>GB18352.2-2016</w:t>
      </w:r>
      <w:r>
        <w:rPr>
          <w:rFonts w:hint="eastAsia" w:cs="Times New Roman"/>
          <w:color w:val="0D0D0D" w:themeColor="text1" w:themeTint="F2"/>
          <w:szCs w:val="24"/>
          <w14:textFill>
            <w14:solidFill>
              <w14:schemeClr w14:val="tx1">
                <w14:lumMod w14:val="95000"/>
                <w14:lumOff w14:val="5000"/>
              </w14:schemeClr>
            </w14:solidFill>
          </w14:textFill>
        </w:rPr>
        <w:t>）</w:t>
      </w:r>
      <w:r>
        <w:rPr>
          <w:rFonts w:cs="Times New Roman"/>
          <w:color w:val="0D0D0D" w:themeColor="text1" w:themeTint="F2"/>
          <w:szCs w:val="24"/>
          <w14:textFill>
            <w14:solidFill>
              <w14:schemeClr w14:val="tx1">
                <w14:lumMod w14:val="95000"/>
                <w14:lumOff w14:val="5000"/>
              </w14:schemeClr>
            </w14:solidFill>
          </w14:textFill>
        </w:rPr>
        <w:t>推荐的参数中型车和大型车，车速取60km/h，mg/辆·m。E</w:t>
      </w:r>
      <w:r>
        <w:rPr>
          <w:rFonts w:hint="eastAsia" w:cs="Times New Roman"/>
          <w:color w:val="0D0D0D" w:themeColor="text1" w:themeTint="F2"/>
          <w:szCs w:val="24"/>
          <w:vertAlign w:val="subscript"/>
          <w14:textFill>
            <w14:solidFill>
              <w14:schemeClr w14:val="tx1">
                <w14:lumMod w14:val="95000"/>
                <w14:lumOff w14:val="5000"/>
              </w14:schemeClr>
            </w14:solidFill>
          </w14:textFill>
        </w:rPr>
        <w:t>CO</w:t>
      </w:r>
      <w:r>
        <w:rPr>
          <w:rFonts w:hint="eastAsia" w:cs="Times New Roman"/>
          <w:color w:val="0D0D0D" w:themeColor="text1" w:themeTint="F2"/>
          <w:szCs w:val="24"/>
          <w14:textFill>
            <w14:solidFill>
              <w14:schemeClr w14:val="tx1">
                <w14:lumMod w14:val="95000"/>
                <w14:lumOff w14:val="5000"/>
              </w14:schemeClr>
            </w14:solidFill>
          </w14:textFill>
        </w:rPr>
        <w:t>取</w:t>
      </w:r>
      <w:r>
        <w:rPr>
          <w:rFonts w:cs="Times New Roman"/>
          <w:color w:val="0D0D0D" w:themeColor="text1" w:themeTint="F2"/>
          <w:szCs w:val="24"/>
          <w14:textFill>
            <w14:solidFill>
              <w14:schemeClr w14:val="tx1">
                <w14:lumMod w14:val="95000"/>
                <w14:lumOff w14:val="5000"/>
              </w14:schemeClr>
            </w14:solidFill>
          </w14:textFill>
        </w:rPr>
        <w:t>1.00，E</w:t>
      </w:r>
      <w:r>
        <w:rPr>
          <w:rFonts w:cs="Times New Roman"/>
          <w:color w:val="0D0D0D" w:themeColor="text1" w:themeTint="F2"/>
          <w:szCs w:val="24"/>
          <w:vertAlign w:val="subscript"/>
          <w14:textFill>
            <w14:solidFill>
              <w14:schemeClr w14:val="tx1">
                <w14:lumMod w14:val="95000"/>
                <w14:lumOff w14:val="5000"/>
              </w14:schemeClr>
            </w14:solidFill>
          </w14:textFill>
        </w:rPr>
        <w:t>NOx</w:t>
      </w:r>
      <w:r>
        <w:rPr>
          <w:rFonts w:cs="Times New Roman"/>
          <w:color w:val="0D0D0D" w:themeColor="text1" w:themeTint="F2"/>
          <w:szCs w:val="24"/>
          <w14:textFill>
            <w14:solidFill>
              <w14:schemeClr w14:val="tx1">
                <w14:lumMod w14:val="95000"/>
                <w14:lumOff w14:val="5000"/>
              </w14:schemeClr>
            </w14:solidFill>
          </w14:textFill>
        </w:rPr>
        <w:t>取0.082。</w:t>
      </w:r>
    </w:p>
    <w:p w14:paraId="0D9583BC">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cs="Times New Roman"/>
          <w:color w:val="0D0D0D" w:themeColor="text1" w:themeTint="F2"/>
          <w:szCs w:val="24"/>
          <w14:textFill>
            <w14:solidFill>
              <w14:schemeClr w14:val="tx1">
                <w14:lumMod w14:val="95000"/>
                <w14:lumOff w14:val="5000"/>
              </w14:schemeClr>
            </w14:solidFill>
          </w14:textFill>
        </w:rPr>
        <w:t>运输车辆尾气污染物排放量</w:t>
      </w:r>
      <w:r>
        <w:rPr>
          <w:rFonts w:hint="eastAsia" w:cs="Times New Roman"/>
          <w:color w:val="0D0D0D" w:themeColor="text1" w:themeTint="F2"/>
          <w:szCs w:val="24"/>
          <w14:textFill>
            <w14:solidFill>
              <w14:schemeClr w14:val="tx1">
                <w14:lumMod w14:val="95000"/>
                <w14:lumOff w14:val="5000"/>
              </w14:schemeClr>
            </w14:solidFill>
          </w14:textFill>
        </w:rPr>
        <w:t>详见表3.3-17，该部分排放量不计入项目污染物排放总量。</w:t>
      </w:r>
    </w:p>
    <w:p w14:paraId="565D3764">
      <w:pPr>
        <w:pStyle w:val="11"/>
      </w:pPr>
      <w:r>
        <w:rPr>
          <w:rFonts w:hint="eastAsia"/>
        </w:rPr>
        <w:t xml:space="preserve"> 交通运输移动源废气源强核算表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0"/>
        <w:gridCol w:w="1699"/>
        <w:gridCol w:w="5423"/>
      </w:tblGrid>
      <w:tr w14:paraId="36C01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7" w:type="pct"/>
            <w:vAlign w:val="center"/>
          </w:tcPr>
          <w:p w14:paraId="5DEB41EA">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污染源</w:t>
            </w:r>
          </w:p>
        </w:tc>
        <w:tc>
          <w:tcPr>
            <w:tcW w:w="919" w:type="pct"/>
            <w:vAlign w:val="center"/>
          </w:tcPr>
          <w:p w14:paraId="254C9676">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污染物</w:t>
            </w:r>
          </w:p>
        </w:tc>
        <w:tc>
          <w:tcPr>
            <w:tcW w:w="2934" w:type="pct"/>
            <w:vAlign w:val="center"/>
          </w:tcPr>
          <w:p w14:paraId="0634E84A">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排放源强（</w:t>
            </w:r>
            <w:r>
              <w:rPr>
                <w:rFonts w:cs="Times New Roman"/>
                <w:color w:val="0D0D0D" w:themeColor="text1" w:themeTint="F2"/>
                <w:szCs w:val="24"/>
                <w14:textFill>
                  <w14:solidFill>
                    <w14:schemeClr w14:val="tx1">
                      <w14:lumMod w14:val="95000"/>
                      <w14:lumOff w14:val="5000"/>
                    </w14:schemeClr>
                  </w14:solidFill>
                </w14:textFill>
              </w:rPr>
              <w:t>mg/s</w:t>
            </w:r>
            <w:r>
              <w:rPr>
                <w:rFonts w:hint="eastAsia" w:cs="Times New Roman"/>
                <w:color w:val="0D0D0D" w:themeColor="text1" w:themeTint="F2"/>
                <w:szCs w:val="24"/>
                <w14:textFill>
                  <w14:solidFill>
                    <w14:schemeClr w14:val="tx1">
                      <w14:lumMod w14:val="95000"/>
                      <w14:lumOff w14:val="5000"/>
                    </w14:schemeClr>
                  </w14:solidFill>
                </w14:textFill>
              </w:rPr>
              <w:t>·</w:t>
            </w:r>
            <w:r>
              <w:rPr>
                <w:rFonts w:cs="Times New Roman"/>
                <w:color w:val="0D0D0D" w:themeColor="text1" w:themeTint="F2"/>
                <w:szCs w:val="24"/>
                <w14:textFill>
                  <w14:solidFill>
                    <w14:schemeClr w14:val="tx1">
                      <w14:lumMod w14:val="95000"/>
                      <w14:lumOff w14:val="5000"/>
                    </w14:schemeClr>
                  </w14:solidFill>
                </w14:textFill>
              </w:rPr>
              <w:t>m</w:t>
            </w:r>
            <w:r>
              <w:rPr>
                <w:rFonts w:hint="eastAsia" w:cs="Times New Roman"/>
                <w:color w:val="0D0D0D" w:themeColor="text1" w:themeTint="F2"/>
                <w:sz w:val="21"/>
                <w:szCs w:val="21"/>
                <w14:textFill>
                  <w14:solidFill>
                    <w14:schemeClr w14:val="tx1">
                      <w14:lumMod w14:val="95000"/>
                      <w14:lumOff w14:val="5000"/>
                    </w14:schemeClr>
                  </w14:solidFill>
                </w14:textFill>
              </w:rPr>
              <w:t>）</w:t>
            </w:r>
          </w:p>
        </w:tc>
      </w:tr>
      <w:tr w14:paraId="3F381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7" w:type="pct"/>
            <w:vMerge w:val="restart"/>
            <w:vAlign w:val="center"/>
          </w:tcPr>
          <w:p w14:paraId="01C98262">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运输车辆</w:t>
            </w:r>
          </w:p>
        </w:tc>
        <w:tc>
          <w:tcPr>
            <w:tcW w:w="919" w:type="pct"/>
            <w:vAlign w:val="center"/>
          </w:tcPr>
          <w:p w14:paraId="2A9B92D0">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CO</w:t>
            </w:r>
          </w:p>
        </w:tc>
        <w:tc>
          <w:tcPr>
            <w:tcW w:w="2934" w:type="pct"/>
            <w:vAlign w:val="center"/>
          </w:tcPr>
          <w:p w14:paraId="2D5C0BA9">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0.00112</w:t>
            </w:r>
          </w:p>
        </w:tc>
      </w:tr>
      <w:tr w14:paraId="64D11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7" w:type="pct"/>
            <w:vMerge w:val="continue"/>
            <w:vAlign w:val="center"/>
          </w:tcPr>
          <w:p w14:paraId="65067982">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919" w:type="pct"/>
            <w:vAlign w:val="center"/>
          </w:tcPr>
          <w:p w14:paraId="447052E8">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NOx</w:t>
            </w:r>
          </w:p>
        </w:tc>
        <w:tc>
          <w:tcPr>
            <w:tcW w:w="2934" w:type="pct"/>
            <w:vAlign w:val="center"/>
          </w:tcPr>
          <w:p w14:paraId="24297097">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0.000092</w:t>
            </w:r>
          </w:p>
        </w:tc>
      </w:tr>
    </w:tbl>
    <w:p w14:paraId="40CC65D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项目废气污染物产排情况详见表3.3-18。</w:t>
      </w:r>
    </w:p>
    <w:p w14:paraId="37398125">
      <w:pPr>
        <w:rPr>
          <w:color w:val="0D0D0D" w:themeColor="text1" w:themeTint="F2"/>
          <w14:textFill>
            <w14:solidFill>
              <w14:schemeClr w14:val="tx1">
                <w14:lumMod w14:val="95000"/>
                <w14:lumOff w14:val="5000"/>
              </w14:schemeClr>
            </w14:solidFill>
          </w14:textFill>
        </w:rPr>
        <w:sectPr>
          <w:pgSz w:w="11906" w:h="16838"/>
          <w:pgMar w:top="1440" w:right="1440" w:bottom="1440" w:left="1440" w:header="851" w:footer="992" w:gutter="0"/>
          <w:cols w:space="425" w:num="1"/>
          <w:docGrid w:type="lines" w:linePitch="312" w:charSpace="0"/>
        </w:sectPr>
      </w:pPr>
    </w:p>
    <w:p w14:paraId="62331CF8">
      <w:pPr>
        <w:pStyle w:val="11"/>
      </w:pPr>
      <w:r>
        <w:rPr>
          <w:rFonts w:hint="eastAsia"/>
        </w:rPr>
        <w:t xml:space="preserve"> 废气源强核算一览表</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47"/>
        <w:gridCol w:w="710"/>
        <w:gridCol w:w="1281"/>
        <w:gridCol w:w="1278"/>
        <w:gridCol w:w="995"/>
        <w:gridCol w:w="995"/>
        <w:gridCol w:w="998"/>
        <w:gridCol w:w="1563"/>
        <w:gridCol w:w="568"/>
        <w:gridCol w:w="713"/>
        <w:gridCol w:w="993"/>
        <w:gridCol w:w="995"/>
        <w:gridCol w:w="713"/>
        <w:gridCol w:w="570"/>
        <w:gridCol w:w="761"/>
      </w:tblGrid>
      <w:tr w14:paraId="1C025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blHeader/>
          <w:jc w:val="center"/>
        </w:trPr>
        <w:tc>
          <w:tcPr>
            <w:tcW w:w="303" w:type="pct"/>
            <w:vMerge w:val="restart"/>
            <w:vAlign w:val="center"/>
          </w:tcPr>
          <w:p w14:paraId="791AAD1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4" w:type="pct"/>
            <w:vMerge w:val="restart"/>
            <w:vAlign w:val="center"/>
          </w:tcPr>
          <w:p w14:paraId="0F6FB21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Merge w:val="restart"/>
            <w:vAlign w:val="center"/>
          </w:tcPr>
          <w:p w14:paraId="4B0ECDC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Merge w:val="restart"/>
            <w:vAlign w:val="center"/>
          </w:tcPr>
          <w:p w14:paraId="11F92D7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1069" w:type="pct"/>
            <w:gridSpan w:val="3"/>
            <w:vAlign w:val="center"/>
          </w:tcPr>
          <w:p w14:paraId="1F516CAC">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1017" w:type="pct"/>
            <w:gridSpan w:val="3"/>
            <w:vAlign w:val="center"/>
          </w:tcPr>
          <w:p w14:paraId="11C2B87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966" w:type="pct"/>
            <w:gridSpan w:val="3"/>
            <w:vAlign w:val="center"/>
          </w:tcPr>
          <w:p w14:paraId="762A4BC5">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Merge w:val="restart"/>
            <w:vAlign w:val="center"/>
          </w:tcPr>
          <w:p w14:paraId="4FA9AF6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Merge w:val="restart"/>
            <w:vAlign w:val="center"/>
          </w:tcPr>
          <w:p w14:paraId="3BBB503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136B1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blHeader/>
          <w:jc w:val="center"/>
        </w:trPr>
        <w:tc>
          <w:tcPr>
            <w:tcW w:w="303" w:type="pct"/>
            <w:vMerge w:val="continue"/>
            <w:vAlign w:val="center"/>
          </w:tcPr>
          <w:p w14:paraId="212E857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4" w:type="pct"/>
            <w:vMerge w:val="continue"/>
            <w:vAlign w:val="center"/>
          </w:tcPr>
          <w:p w14:paraId="10C212C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Merge w:val="continue"/>
            <w:vAlign w:val="center"/>
          </w:tcPr>
          <w:p w14:paraId="0056FDC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Merge w:val="continue"/>
            <w:vAlign w:val="center"/>
          </w:tcPr>
          <w:p w14:paraId="2452E94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1BCC19C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0006502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0D3E7025">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Align w:val="center"/>
          </w:tcPr>
          <w:p w14:paraId="2F60EBD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3444B20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4A6D8D4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67D1D07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3715405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455272D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Merge w:val="continue"/>
            <w:vAlign w:val="center"/>
          </w:tcPr>
          <w:p w14:paraId="070D950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Merge w:val="continue"/>
            <w:vAlign w:val="center"/>
          </w:tcPr>
          <w:p w14:paraId="2F19FF7C">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21BE8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03" w:type="pct"/>
            <w:vMerge w:val="restart"/>
            <w:vAlign w:val="center"/>
          </w:tcPr>
          <w:p w14:paraId="0DE1DFE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4" w:type="pct"/>
            <w:vMerge w:val="restart"/>
            <w:vAlign w:val="center"/>
          </w:tcPr>
          <w:p w14:paraId="2D57865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Align w:val="center"/>
          </w:tcPr>
          <w:p w14:paraId="11CAC21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Merge w:val="restart"/>
            <w:vAlign w:val="center"/>
          </w:tcPr>
          <w:p w14:paraId="2A85464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55E4C0D1">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43C5FB46">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1D45951B">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Merge w:val="restart"/>
            <w:vAlign w:val="center"/>
          </w:tcPr>
          <w:p w14:paraId="1175FD23">
            <w:pPr>
              <w:adjustRightInd w:val="0"/>
              <w:snapToGrid w:val="0"/>
              <w:spacing w:line="240" w:lineRule="auto"/>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Merge w:val="restart"/>
            <w:vAlign w:val="center"/>
          </w:tcPr>
          <w:p w14:paraId="767CD06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2D53CB1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02A3433F">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4C576E1A">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5127A759">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Merge w:val="restart"/>
            <w:vAlign w:val="center"/>
          </w:tcPr>
          <w:p w14:paraId="794BF23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Merge w:val="restart"/>
            <w:vAlign w:val="center"/>
          </w:tcPr>
          <w:p w14:paraId="719950D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10E48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03" w:type="pct"/>
            <w:vMerge w:val="continue"/>
            <w:vAlign w:val="center"/>
          </w:tcPr>
          <w:p w14:paraId="153540A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4" w:type="pct"/>
            <w:vMerge w:val="continue"/>
            <w:vAlign w:val="center"/>
          </w:tcPr>
          <w:p w14:paraId="36FE84F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Align w:val="center"/>
          </w:tcPr>
          <w:p w14:paraId="5D409F7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Merge w:val="continue"/>
            <w:vAlign w:val="center"/>
          </w:tcPr>
          <w:p w14:paraId="1332BC5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1C6F8E0D">
            <w:pPr>
              <w:adjustRightInd w:val="0"/>
              <w:snapToGrid w:val="0"/>
              <w:spacing w:line="240" w:lineRule="auto"/>
              <w:jc w:val="center"/>
              <w:textAlignment w:val="center"/>
              <w:rPr>
                <w:rFonts w:cs="Times New Roman"/>
                <w:color w:val="0D0D0D" w:themeColor="text1" w:themeTint="F2"/>
                <w:kern w:val="0"/>
                <w:sz w:val="21"/>
                <w:szCs w:val="21"/>
                <w:u w:val="single"/>
                <w:lang w:bidi="ar"/>
                <w14:textFill>
                  <w14:solidFill>
                    <w14:schemeClr w14:val="tx1">
                      <w14:lumMod w14:val="95000"/>
                      <w14:lumOff w14:val="5000"/>
                    </w14:schemeClr>
                  </w14:solidFill>
                </w14:textFill>
              </w:rPr>
            </w:pPr>
          </w:p>
        </w:tc>
        <w:tc>
          <w:tcPr>
            <w:tcW w:w="356" w:type="pct"/>
            <w:vAlign w:val="center"/>
          </w:tcPr>
          <w:p w14:paraId="7EA950A6">
            <w:pPr>
              <w:adjustRightInd w:val="0"/>
              <w:snapToGrid w:val="0"/>
              <w:spacing w:line="240" w:lineRule="auto"/>
              <w:jc w:val="center"/>
              <w:textAlignment w:val="center"/>
              <w:rPr>
                <w:rFonts w:cs="Times New Roman"/>
                <w:color w:val="0D0D0D" w:themeColor="text1" w:themeTint="F2"/>
                <w:kern w:val="0"/>
                <w:sz w:val="21"/>
                <w:szCs w:val="21"/>
                <w:u w:val="single"/>
                <w:lang w:bidi="ar"/>
                <w14:textFill>
                  <w14:solidFill>
                    <w14:schemeClr w14:val="tx1">
                      <w14:lumMod w14:val="95000"/>
                      <w14:lumOff w14:val="5000"/>
                    </w14:schemeClr>
                  </w14:solidFill>
                </w14:textFill>
              </w:rPr>
            </w:pPr>
          </w:p>
        </w:tc>
        <w:tc>
          <w:tcPr>
            <w:tcW w:w="357" w:type="pct"/>
            <w:vAlign w:val="center"/>
          </w:tcPr>
          <w:p w14:paraId="4087FEE5">
            <w:pPr>
              <w:adjustRightInd w:val="0"/>
              <w:snapToGrid w:val="0"/>
              <w:spacing w:line="240" w:lineRule="auto"/>
              <w:jc w:val="center"/>
              <w:textAlignment w:val="center"/>
              <w:rPr>
                <w:rFonts w:cs="Times New Roman"/>
                <w:color w:val="0D0D0D" w:themeColor="text1" w:themeTint="F2"/>
                <w:kern w:val="0"/>
                <w:sz w:val="21"/>
                <w:szCs w:val="21"/>
                <w:u w:val="single"/>
                <w:lang w:bidi="ar"/>
                <w14:textFill>
                  <w14:solidFill>
                    <w14:schemeClr w14:val="tx1">
                      <w14:lumMod w14:val="95000"/>
                      <w14:lumOff w14:val="5000"/>
                    </w14:schemeClr>
                  </w14:solidFill>
                </w14:textFill>
              </w:rPr>
            </w:pPr>
          </w:p>
        </w:tc>
        <w:tc>
          <w:tcPr>
            <w:tcW w:w="559" w:type="pct"/>
            <w:vMerge w:val="continue"/>
            <w:vAlign w:val="center"/>
          </w:tcPr>
          <w:p w14:paraId="3C4A6425">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Merge w:val="continue"/>
            <w:vAlign w:val="center"/>
          </w:tcPr>
          <w:p w14:paraId="0CF0A7D3">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07630EF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7E41CDE1">
            <w:pPr>
              <w:adjustRightInd w:val="0"/>
              <w:snapToGrid w:val="0"/>
              <w:spacing w:line="240" w:lineRule="auto"/>
              <w:jc w:val="center"/>
              <w:textAlignment w:val="center"/>
              <w:rPr>
                <w:rFonts w:cs="Times New Roman"/>
                <w:color w:val="0D0D0D" w:themeColor="text1" w:themeTint="F2"/>
                <w:kern w:val="0"/>
                <w:sz w:val="21"/>
                <w:szCs w:val="21"/>
                <w:u w:val="single"/>
                <w:lang w:bidi="ar"/>
                <w14:textFill>
                  <w14:solidFill>
                    <w14:schemeClr w14:val="tx1">
                      <w14:lumMod w14:val="95000"/>
                      <w14:lumOff w14:val="5000"/>
                    </w14:schemeClr>
                  </w14:solidFill>
                </w14:textFill>
              </w:rPr>
            </w:pPr>
          </w:p>
        </w:tc>
        <w:tc>
          <w:tcPr>
            <w:tcW w:w="356" w:type="pct"/>
            <w:vAlign w:val="center"/>
          </w:tcPr>
          <w:p w14:paraId="3D841AC3">
            <w:pPr>
              <w:adjustRightInd w:val="0"/>
              <w:snapToGrid w:val="0"/>
              <w:spacing w:line="240" w:lineRule="auto"/>
              <w:jc w:val="center"/>
              <w:textAlignment w:val="center"/>
              <w:rPr>
                <w:rFonts w:cs="Times New Roman"/>
                <w:color w:val="0D0D0D" w:themeColor="text1" w:themeTint="F2"/>
                <w:kern w:val="0"/>
                <w:sz w:val="21"/>
                <w:szCs w:val="21"/>
                <w:u w:val="single"/>
                <w:lang w:bidi="ar"/>
                <w14:textFill>
                  <w14:solidFill>
                    <w14:schemeClr w14:val="tx1">
                      <w14:lumMod w14:val="95000"/>
                      <w14:lumOff w14:val="5000"/>
                    </w14:schemeClr>
                  </w14:solidFill>
                </w14:textFill>
              </w:rPr>
            </w:pPr>
          </w:p>
        </w:tc>
        <w:tc>
          <w:tcPr>
            <w:tcW w:w="255" w:type="pct"/>
            <w:vAlign w:val="center"/>
          </w:tcPr>
          <w:p w14:paraId="10038595">
            <w:pPr>
              <w:adjustRightInd w:val="0"/>
              <w:snapToGrid w:val="0"/>
              <w:spacing w:line="240" w:lineRule="auto"/>
              <w:jc w:val="center"/>
              <w:textAlignment w:val="center"/>
              <w:rPr>
                <w:rFonts w:cs="Times New Roman"/>
                <w:color w:val="0D0D0D" w:themeColor="text1" w:themeTint="F2"/>
                <w:kern w:val="0"/>
                <w:sz w:val="21"/>
                <w:szCs w:val="21"/>
                <w:u w:val="single"/>
                <w:lang w:bidi="ar"/>
                <w14:textFill>
                  <w14:solidFill>
                    <w14:schemeClr w14:val="tx1">
                      <w14:lumMod w14:val="95000"/>
                      <w14:lumOff w14:val="5000"/>
                    </w14:schemeClr>
                  </w14:solidFill>
                </w14:textFill>
              </w:rPr>
            </w:pPr>
          </w:p>
        </w:tc>
        <w:tc>
          <w:tcPr>
            <w:tcW w:w="204" w:type="pct"/>
            <w:vMerge w:val="continue"/>
            <w:vAlign w:val="center"/>
          </w:tcPr>
          <w:p w14:paraId="7228575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Merge w:val="continue"/>
            <w:vAlign w:val="center"/>
          </w:tcPr>
          <w:p w14:paraId="10AB262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06C2F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03" w:type="pct"/>
            <w:vMerge w:val="continue"/>
            <w:vAlign w:val="center"/>
          </w:tcPr>
          <w:p w14:paraId="24FD21B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4" w:type="pct"/>
            <w:vMerge w:val="continue"/>
            <w:vAlign w:val="center"/>
          </w:tcPr>
          <w:p w14:paraId="1E03C2E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Align w:val="center"/>
          </w:tcPr>
          <w:p w14:paraId="1159B63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Merge w:val="continue"/>
            <w:vAlign w:val="center"/>
          </w:tcPr>
          <w:p w14:paraId="39B05E0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3E152583">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4C4CF80B">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3FD49596">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Merge w:val="continue"/>
            <w:vAlign w:val="center"/>
          </w:tcPr>
          <w:p w14:paraId="597B824B">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Merge w:val="continue"/>
            <w:vAlign w:val="center"/>
          </w:tcPr>
          <w:p w14:paraId="7242592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7663FCB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74E2217C">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222B96BF">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7D42EB3C">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Merge w:val="continue"/>
            <w:vAlign w:val="center"/>
          </w:tcPr>
          <w:p w14:paraId="0B47527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Merge w:val="continue"/>
            <w:vAlign w:val="center"/>
          </w:tcPr>
          <w:p w14:paraId="4A324D0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4C55F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03" w:type="pct"/>
            <w:vMerge w:val="restart"/>
            <w:vAlign w:val="center"/>
          </w:tcPr>
          <w:p w14:paraId="01BEB3CC">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4" w:type="pct"/>
            <w:vMerge w:val="restart"/>
            <w:vAlign w:val="center"/>
          </w:tcPr>
          <w:p w14:paraId="0C043D1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Align w:val="center"/>
          </w:tcPr>
          <w:p w14:paraId="19A7E2F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Merge w:val="restart"/>
            <w:vAlign w:val="center"/>
          </w:tcPr>
          <w:p w14:paraId="58B9E44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6E772CE1">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6D0194FE">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70BDCBC8">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Merge w:val="restart"/>
            <w:vAlign w:val="center"/>
          </w:tcPr>
          <w:p w14:paraId="3C3FAD12">
            <w:pPr>
              <w:adjustRightInd w:val="0"/>
              <w:snapToGrid w:val="0"/>
              <w:spacing w:line="240" w:lineRule="auto"/>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Merge w:val="restart"/>
            <w:vAlign w:val="center"/>
          </w:tcPr>
          <w:p w14:paraId="71DF574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2024A43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38BCFFBD">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45ABD81E">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6C8EC44C">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Merge w:val="restart"/>
            <w:vAlign w:val="center"/>
          </w:tcPr>
          <w:p w14:paraId="3C0D89C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Merge w:val="restart"/>
            <w:vAlign w:val="center"/>
          </w:tcPr>
          <w:p w14:paraId="6E6C506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03C9D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03" w:type="pct"/>
            <w:vMerge w:val="continue"/>
            <w:vAlign w:val="center"/>
          </w:tcPr>
          <w:p w14:paraId="18BD1CE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4" w:type="pct"/>
            <w:vMerge w:val="continue"/>
            <w:vAlign w:val="center"/>
          </w:tcPr>
          <w:p w14:paraId="2A0A5D4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Align w:val="center"/>
          </w:tcPr>
          <w:p w14:paraId="6AA834D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Merge w:val="continue"/>
            <w:vAlign w:val="center"/>
          </w:tcPr>
          <w:p w14:paraId="52001F1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69B52F95">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66EF67DB">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097018A6">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Merge w:val="continue"/>
            <w:vAlign w:val="center"/>
          </w:tcPr>
          <w:p w14:paraId="2C6E54D9">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Merge w:val="continue"/>
            <w:vAlign w:val="center"/>
          </w:tcPr>
          <w:p w14:paraId="1FB9D9A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37E0C1A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4472DF0B">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05E370A2">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01649CD8">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Merge w:val="continue"/>
            <w:vAlign w:val="center"/>
          </w:tcPr>
          <w:p w14:paraId="0BE1C17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Merge w:val="continue"/>
            <w:vAlign w:val="center"/>
          </w:tcPr>
          <w:p w14:paraId="6EC7D88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4E1B1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03" w:type="pct"/>
            <w:vMerge w:val="continue"/>
            <w:vAlign w:val="center"/>
          </w:tcPr>
          <w:p w14:paraId="712CF70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4" w:type="pct"/>
            <w:vMerge w:val="continue"/>
            <w:vAlign w:val="center"/>
          </w:tcPr>
          <w:p w14:paraId="650E37C3">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Align w:val="center"/>
          </w:tcPr>
          <w:p w14:paraId="6D7E1AD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Merge w:val="continue"/>
            <w:vAlign w:val="center"/>
          </w:tcPr>
          <w:p w14:paraId="19D9872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49218D66">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273A536E">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039F607B">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Merge w:val="continue"/>
            <w:vAlign w:val="center"/>
          </w:tcPr>
          <w:p w14:paraId="14450708">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Merge w:val="continue"/>
            <w:vAlign w:val="center"/>
          </w:tcPr>
          <w:p w14:paraId="372B882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1C1366F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2F61AB95">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51004028">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11AA0DE2">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Merge w:val="continue"/>
            <w:vAlign w:val="center"/>
          </w:tcPr>
          <w:p w14:paraId="43E3584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Merge w:val="continue"/>
            <w:vAlign w:val="center"/>
          </w:tcPr>
          <w:p w14:paraId="03BEE9C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573A3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03" w:type="pct"/>
            <w:vMerge w:val="restart"/>
            <w:vAlign w:val="center"/>
          </w:tcPr>
          <w:p w14:paraId="21F4810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4" w:type="pct"/>
            <w:vMerge w:val="restart"/>
            <w:vAlign w:val="center"/>
          </w:tcPr>
          <w:p w14:paraId="3C06872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Align w:val="center"/>
          </w:tcPr>
          <w:p w14:paraId="617B404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Align w:val="center"/>
          </w:tcPr>
          <w:p w14:paraId="505CBEB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110DB97E">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5691DB0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348CADF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Merge w:val="restart"/>
            <w:vAlign w:val="center"/>
          </w:tcPr>
          <w:p w14:paraId="13FA40A3">
            <w:pPr>
              <w:adjustRightInd w:val="0"/>
              <w:snapToGrid w:val="0"/>
              <w:spacing w:line="240" w:lineRule="auto"/>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028E5C4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2A769F9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23D5BD4D">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59CC021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02794BB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Merge w:val="restart"/>
            <w:vAlign w:val="center"/>
          </w:tcPr>
          <w:p w14:paraId="025B05D3">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Merge w:val="restart"/>
            <w:vAlign w:val="center"/>
          </w:tcPr>
          <w:p w14:paraId="78FB2EA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1818A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03" w:type="pct"/>
            <w:vMerge w:val="continue"/>
            <w:vAlign w:val="center"/>
          </w:tcPr>
          <w:p w14:paraId="29D53AAC">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4" w:type="pct"/>
            <w:vMerge w:val="continue"/>
            <w:vAlign w:val="center"/>
          </w:tcPr>
          <w:p w14:paraId="7438A5F5">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Align w:val="center"/>
          </w:tcPr>
          <w:p w14:paraId="3C43A12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Align w:val="center"/>
          </w:tcPr>
          <w:p w14:paraId="098A972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24D5BDA3">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36D8E37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399B307C">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Merge w:val="continue"/>
            <w:vAlign w:val="center"/>
          </w:tcPr>
          <w:p w14:paraId="119FE03D">
            <w:pPr>
              <w:adjustRightInd w:val="0"/>
              <w:snapToGrid w:val="0"/>
              <w:spacing w:line="240" w:lineRule="auto"/>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3D6A39C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2F389623">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28E491AF">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63B5BFA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4E86B57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Merge w:val="continue"/>
            <w:vAlign w:val="center"/>
          </w:tcPr>
          <w:p w14:paraId="20ECBF3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Merge w:val="continue"/>
            <w:vAlign w:val="center"/>
          </w:tcPr>
          <w:p w14:paraId="356FABA5">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42CC1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03" w:type="pct"/>
            <w:vMerge w:val="continue"/>
            <w:vAlign w:val="center"/>
          </w:tcPr>
          <w:p w14:paraId="20536D75">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4" w:type="pct"/>
            <w:vMerge w:val="continue"/>
            <w:vAlign w:val="center"/>
          </w:tcPr>
          <w:p w14:paraId="3B9ADB8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Align w:val="center"/>
          </w:tcPr>
          <w:p w14:paraId="3EE3879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Align w:val="center"/>
          </w:tcPr>
          <w:p w14:paraId="39D6117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6467BE24">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7AF65DB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5876323C">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Merge w:val="restart"/>
            <w:vAlign w:val="center"/>
          </w:tcPr>
          <w:p w14:paraId="49721245">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3833BF2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343A0095">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303528CD">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026AFDB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5D933223">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Merge w:val="continue"/>
            <w:vAlign w:val="center"/>
          </w:tcPr>
          <w:p w14:paraId="72F7437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Merge w:val="restart"/>
            <w:vAlign w:val="center"/>
          </w:tcPr>
          <w:p w14:paraId="12E3A8B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190BD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03" w:type="pct"/>
            <w:vMerge w:val="continue"/>
            <w:vAlign w:val="center"/>
          </w:tcPr>
          <w:p w14:paraId="3161959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4" w:type="pct"/>
            <w:vMerge w:val="continue"/>
            <w:vAlign w:val="center"/>
          </w:tcPr>
          <w:p w14:paraId="07B3CD9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Align w:val="center"/>
          </w:tcPr>
          <w:p w14:paraId="17E2111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Align w:val="center"/>
          </w:tcPr>
          <w:p w14:paraId="56B74C6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50FB7844">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5A41A8E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23F9D52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Merge w:val="continue"/>
            <w:vAlign w:val="center"/>
          </w:tcPr>
          <w:p w14:paraId="4273F3B8">
            <w:pPr>
              <w:adjustRightInd w:val="0"/>
              <w:snapToGrid w:val="0"/>
              <w:spacing w:line="240" w:lineRule="auto"/>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7559A18C">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0A97718C">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6EEBBABC">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6467A4F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772FD26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Merge w:val="continue"/>
            <w:vAlign w:val="center"/>
          </w:tcPr>
          <w:p w14:paraId="00A8526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Merge w:val="continue"/>
            <w:vAlign w:val="center"/>
          </w:tcPr>
          <w:p w14:paraId="546DF2E3">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7975D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03" w:type="pct"/>
            <w:vMerge w:val="restart"/>
            <w:vAlign w:val="center"/>
          </w:tcPr>
          <w:p w14:paraId="313813E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4" w:type="pct"/>
            <w:vMerge w:val="restart"/>
            <w:vAlign w:val="center"/>
          </w:tcPr>
          <w:p w14:paraId="4F5F34B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Merge w:val="restart"/>
            <w:vAlign w:val="center"/>
          </w:tcPr>
          <w:p w14:paraId="12754C9C">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Merge w:val="restart"/>
            <w:vAlign w:val="center"/>
          </w:tcPr>
          <w:p w14:paraId="3908BC23">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1F265EC9">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1E0F173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43FA7CC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Align w:val="center"/>
          </w:tcPr>
          <w:p w14:paraId="7B9202C2">
            <w:pPr>
              <w:adjustRightInd w:val="0"/>
              <w:snapToGrid w:val="0"/>
              <w:spacing w:line="240" w:lineRule="auto"/>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2B80C13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058134D3">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48D42DF6">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0EF40FC3">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440D53B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Merge w:val="restart"/>
            <w:vAlign w:val="center"/>
          </w:tcPr>
          <w:p w14:paraId="4E50EC25">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Align w:val="center"/>
          </w:tcPr>
          <w:p w14:paraId="1180136C">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487AB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03" w:type="pct"/>
            <w:vMerge w:val="continue"/>
            <w:vAlign w:val="center"/>
          </w:tcPr>
          <w:p w14:paraId="392A5A4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4" w:type="pct"/>
            <w:vMerge w:val="continue"/>
            <w:vAlign w:val="center"/>
          </w:tcPr>
          <w:p w14:paraId="28D719DC">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Merge w:val="continue"/>
            <w:vAlign w:val="center"/>
          </w:tcPr>
          <w:p w14:paraId="5F07D74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Merge w:val="continue"/>
            <w:vAlign w:val="center"/>
          </w:tcPr>
          <w:p w14:paraId="4AD9934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17F4139D">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09A13B7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09720385">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Align w:val="center"/>
          </w:tcPr>
          <w:p w14:paraId="75FDB1E5">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209EA15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009F757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006A5CA8">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0B71474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13C7BD7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Merge w:val="continue"/>
            <w:vAlign w:val="center"/>
          </w:tcPr>
          <w:p w14:paraId="70BBC9C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Align w:val="center"/>
          </w:tcPr>
          <w:p w14:paraId="6F37BDD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6723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03" w:type="pct"/>
            <w:vMerge w:val="restart"/>
            <w:vAlign w:val="center"/>
          </w:tcPr>
          <w:p w14:paraId="59ED1AB3">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4" w:type="pct"/>
            <w:vMerge w:val="restart"/>
            <w:vAlign w:val="center"/>
          </w:tcPr>
          <w:p w14:paraId="7826204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Merge w:val="restart"/>
            <w:vAlign w:val="center"/>
          </w:tcPr>
          <w:p w14:paraId="69B199DC">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Merge w:val="restart"/>
            <w:vAlign w:val="center"/>
          </w:tcPr>
          <w:p w14:paraId="5D688B2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0EB019AA">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14D539D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5318D7F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Align w:val="center"/>
          </w:tcPr>
          <w:p w14:paraId="7B21863A">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5027501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0F374C5C">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57791107">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5A8F2EC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420378F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Merge w:val="restart"/>
            <w:vAlign w:val="center"/>
          </w:tcPr>
          <w:p w14:paraId="1A4382C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Align w:val="center"/>
          </w:tcPr>
          <w:p w14:paraId="2AFDD6B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0175A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03" w:type="pct"/>
            <w:vMerge w:val="continue"/>
            <w:vAlign w:val="center"/>
          </w:tcPr>
          <w:p w14:paraId="429BC64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4" w:type="pct"/>
            <w:vMerge w:val="continue"/>
            <w:vAlign w:val="center"/>
          </w:tcPr>
          <w:p w14:paraId="6D136EA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Merge w:val="continue"/>
            <w:vAlign w:val="center"/>
          </w:tcPr>
          <w:p w14:paraId="1D89187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Merge w:val="continue"/>
            <w:vAlign w:val="center"/>
          </w:tcPr>
          <w:p w14:paraId="2F7B992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33AFD299">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7B2F187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58CA61C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Align w:val="center"/>
          </w:tcPr>
          <w:p w14:paraId="6714D864">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25BE65C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1453108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51AEF732">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404E0A5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0CEE6E0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Merge w:val="continue"/>
            <w:vAlign w:val="center"/>
          </w:tcPr>
          <w:p w14:paraId="32003A5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Align w:val="center"/>
          </w:tcPr>
          <w:p w14:paraId="4DCB0B1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2EE00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03" w:type="pct"/>
            <w:vMerge w:val="restart"/>
            <w:vAlign w:val="center"/>
          </w:tcPr>
          <w:p w14:paraId="483FB5F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4" w:type="pct"/>
            <w:vMerge w:val="restart"/>
            <w:vAlign w:val="center"/>
          </w:tcPr>
          <w:p w14:paraId="4F350C6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Align w:val="center"/>
          </w:tcPr>
          <w:p w14:paraId="412A1B1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Align w:val="center"/>
          </w:tcPr>
          <w:p w14:paraId="075F3B3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6B6FADB4">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3667D4D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485D1F1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Align w:val="center"/>
          </w:tcPr>
          <w:p w14:paraId="377E66CF">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073AE88C">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79F7F21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380E3A49">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14DEE0B5">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455F3F9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Merge w:val="restart"/>
            <w:vAlign w:val="center"/>
          </w:tcPr>
          <w:p w14:paraId="72177AC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Align w:val="center"/>
          </w:tcPr>
          <w:p w14:paraId="09CD952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7C7A6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03" w:type="pct"/>
            <w:vMerge w:val="continue"/>
            <w:vAlign w:val="center"/>
          </w:tcPr>
          <w:p w14:paraId="6975771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4" w:type="pct"/>
            <w:vMerge w:val="continue"/>
            <w:vAlign w:val="center"/>
          </w:tcPr>
          <w:p w14:paraId="5A66213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Align w:val="center"/>
          </w:tcPr>
          <w:p w14:paraId="1B152AD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Align w:val="center"/>
          </w:tcPr>
          <w:p w14:paraId="1619A7F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714C8B9C">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2094CF5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07E222C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Align w:val="center"/>
          </w:tcPr>
          <w:p w14:paraId="095D09A8">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514831F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59B0E86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72D1A3CB">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6F8588CC">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70DDE33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Merge w:val="continue"/>
            <w:vAlign w:val="center"/>
          </w:tcPr>
          <w:p w14:paraId="0B6348A5">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Align w:val="center"/>
          </w:tcPr>
          <w:p w14:paraId="7AE69F4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02A2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03" w:type="pct"/>
            <w:vMerge w:val="restart"/>
            <w:vAlign w:val="center"/>
          </w:tcPr>
          <w:p w14:paraId="13710155">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4" w:type="pct"/>
            <w:vMerge w:val="restart"/>
            <w:vAlign w:val="center"/>
          </w:tcPr>
          <w:p w14:paraId="714CCE8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Align w:val="center"/>
          </w:tcPr>
          <w:p w14:paraId="2A9CEBA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Align w:val="center"/>
          </w:tcPr>
          <w:p w14:paraId="610996B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47E8195D">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2E21DCA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641BB52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Align w:val="center"/>
          </w:tcPr>
          <w:p w14:paraId="1601B758">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5AE36F7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62378FB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0891C391">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5B0841D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66D3408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Merge w:val="restart"/>
            <w:vAlign w:val="center"/>
          </w:tcPr>
          <w:p w14:paraId="515F704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Align w:val="center"/>
          </w:tcPr>
          <w:p w14:paraId="5564447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0E3A3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03" w:type="pct"/>
            <w:vMerge w:val="continue"/>
            <w:vAlign w:val="center"/>
          </w:tcPr>
          <w:p w14:paraId="1D5CBB9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4" w:type="pct"/>
            <w:vMerge w:val="continue"/>
            <w:vAlign w:val="center"/>
          </w:tcPr>
          <w:p w14:paraId="09967FA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Align w:val="center"/>
          </w:tcPr>
          <w:p w14:paraId="6DAD038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Align w:val="center"/>
          </w:tcPr>
          <w:p w14:paraId="216D89F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0253AC6B">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5F0A41DC">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278D8F95">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Align w:val="center"/>
          </w:tcPr>
          <w:p w14:paraId="7CCA1EDE">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710F1F6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6C33F2C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1FF69A96">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5295269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3EF53363">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Merge w:val="continue"/>
            <w:vAlign w:val="center"/>
          </w:tcPr>
          <w:p w14:paraId="5FC124F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Align w:val="center"/>
          </w:tcPr>
          <w:p w14:paraId="0FB42D4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6F618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03" w:type="pct"/>
            <w:vAlign w:val="center"/>
          </w:tcPr>
          <w:p w14:paraId="57338C4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4" w:type="pct"/>
            <w:vAlign w:val="center"/>
          </w:tcPr>
          <w:p w14:paraId="6F9A478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Align w:val="center"/>
          </w:tcPr>
          <w:p w14:paraId="0CB6F2E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Align w:val="center"/>
          </w:tcPr>
          <w:p w14:paraId="6191D1F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32321F6B">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47EC286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49D7042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Align w:val="center"/>
          </w:tcPr>
          <w:p w14:paraId="58C66AD6">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4EFD6F7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6BA99B9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64C1EF20">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7EFF9CB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2F2C804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Align w:val="center"/>
          </w:tcPr>
          <w:p w14:paraId="5943308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Align w:val="center"/>
          </w:tcPr>
          <w:p w14:paraId="01A9EFC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005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03" w:type="pct"/>
            <w:vMerge w:val="restart"/>
            <w:vAlign w:val="center"/>
          </w:tcPr>
          <w:p w14:paraId="6799713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4" w:type="pct"/>
            <w:vMerge w:val="restart"/>
            <w:vAlign w:val="center"/>
          </w:tcPr>
          <w:p w14:paraId="049A6F6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Merge w:val="restart"/>
            <w:vAlign w:val="center"/>
          </w:tcPr>
          <w:p w14:paraId="33B0A36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Merge w:val="restart"/>
            <w:vAlign w:val="center"/>
          </w:tcPr>
          <w:p w14:paraId="1A78755D">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1A3B424F">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6E6B9C26">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31525AA3">
            <w:pPr>
              <w:adjustRightInd w:val="0"/>
              <w:snapToGrid w:val="0"/>
              <w:spacing w:line="240" w:lineRule="auto"/>
              <w:jc w:val="center"/>
              <w:textAlignment w:val="center"/>
              <w:rPr>
                <w:rFonts w:cs="Times New Roman"/>
                <w:snapToGrid w:val="0"/>
                <w:color w:val="0D0D0D" w:themeColor="text1" w:themeTint="F2"/>
                <w:kern w:val="0"/>
                <w:sz w:val="21"/>
                <w:szCs w:val="21"/>
                <w:u w:val="single"/>
                <w14:textFill>
                  <w14:solidFill>
                    <w14:schemeClr w14:val="tx1">
                      <w14:lumMod w14:val="95000"/>
                      <w14:lumOff w14:val="5000"/>
                    </w14:schemeClr>
                  </w14:solidFill>
                </w14:textFill>
              </w:rPr>
            </w:pPr>
          </w:p>
        </w:tc>
        <w:tc>
          <w:tcPr>
            <w:tcW w:w="559" w:type="pct"/>
            <w:vAlign w:val="center"/>
          </w:tcPr>
          <w:p w14:paraId="3F6BEA5E">
            <w:pPr>
              <w:spacing w:line="240" w:lineRule="auto"/>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2A0AF91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02035C4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55F8A121">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3E4A60CF">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4670AC4E">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Merge w:val="restart"/>
            <w:vAlign w:val="center"/>
          </w:tcPr>
          <w:p w14:paraId="6B8F14A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Align w:val="center"/>
          </w:tcPr>
          <w:p w14:paraId="6B17850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626B4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03" w:type="pct"/>
            <w:vMerge w:val="continue"/>
            <w:vAlign w:val="center"/>
          </w:tcPr>
          <w:p w14:paraId="5C6DD98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4" w:type="pct"/>
            <w:vMerge w:val="continue"/>
            <w:vAlign w:val="center"/>
          </w:tcPr>
          <w:p w14:paraId="7D401C6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Merge w:val="continue"/>
            <w:vAlign w:val="center"/>
          </w:tcPr>
          <w:p w14:paraId="1F8EF21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Merge w:val="continue"/>
            <w:vAlign w:val="center"/>
          </w:tcPr>
          <w:p w14:paraId="49EA1F4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35BE5569">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61DF7196">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54157C87">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Align w:val="center"/>
          </w:tcPr>
          <w:p w14:paraId="57573C9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48BCDFEC">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10E743D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13235B0A">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4E685BBC">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1494119E">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Merge w:val="continue"/>
            <w:vAlign w:val="center"/>
          </w:tcPr>
          <w:p w14:paraId="0F74977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Align w:val="center"/>
          </w:tcPr>
          <w:p w14:paraId="06E38B7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4164A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03" w:type="pct"/>
            <w:vMerge w:val="continue"/>
            <w:vAlign w:val="center"/>
          </w:tcPr>
          <w:p w14:paraId="48131AE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4" w:type="pct"/>
            <w:vMerge w:val="continue"/>
            <w:vAlign w:val="center"/>
          </w:tcPr>
          <w:p w14:paraId="1FFCF1C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Merge w:val="restart"/>
            <w:vAlign w:val="center"/>
          </w:tcPr>
          <w:p w14:paraId="45D5416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Merge w:val="restart"/>
            <w:vAlign w:val="center"/>
          </w:tcPr>
          <w:p w14:paraId="213AF6E5">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6E1E66F0">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1F5FE46C">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3CCAD7FB">
            <w:pPr>
              <w:spacing w:line="240" w:lineRule="auto"/>
              <w:jc w:val="center"/>
              <w:textAlignment w:val="center"/>
              <w:rPr>
                <w:rFonts w:cs="Times New Roman"/>
                <w:snapToGrid w:val="0"/>
                <w:color w:val="0D0D0D" w:themeColor="text1" w:themeTint="F2"/>
                <w:kern w:val="0"/>
                <w:sz w:val="21"/>
                <w:szCs w:val="21"/>
                <w:u w:val="single"/>
                <w14:textFill>
                  <w14:solidFill>
                    <w14:schemeClr w14:val="tx1">
                      <w14:lumMod w14:val="95000"/>
                      <w14:lumOff w14:val="5000"/>
                    </w14:schemeClr>
                  </w14:solidFill>
                </w14:textFill>
              </w:rPr>
            </w:pPr>
          </w:p>
        </w:tc>
        <w:tc>
          <w:tcPr>
            <w:tcW w:w="559" w:type="pct"/>
            <w:vAlign w:val="center"/>
          </w:tcPr>
          <w:p w14:paraId="4CCC7C5E">
            <w:pPr>
              <w:spacing w:line="240" w:lineRule="auto"/>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5BCC073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3D3E172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120C3B1F">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7A44CDF4">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3C9E0499">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Merge w:val="continue"/>
            <w:vAlign w:val="center"/>
          </w:tcPr>
          <w:p w14:paraId="15233E45">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Align w:val="center"/>
          </w:tcPr>
          <w:p w14:paraId="0418AAF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3DC41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03" w:type="pct"/>
            <w:vMerge w:val="continue"/>
            <w:vAlign w:val="center"/>
          </w:tcPr>
          <w:p w14:paraId="4DA1AC6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4" w:type="pct"/>
            <w:vMerge w:val="continue"/>
            <w:vAlign w:val="center"/>
          </w:tcPr>
          <w:p w14:paraId="4E603DE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Merge w:val="continue"/>
            <w:vAlign w:val="center"/>
          </w:tcPr>
          <w:p w14:paraId="5D33366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Merge w:val="continue"/>
            <w:vAlign w:val="center"/>
          </w:tcPr>
          <w:p w14:paraId="10BC1BA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1B7E0C58">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4DAC5FAA">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68DED279">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Align w:val="center"/>
          </w:tcPr>
          <w:p w14:paraId="473D645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19404005">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50E4B97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71AACB4F">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40469CCC">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6FFA04C4">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Merge w:val="continue"/>
            <w:vAlign w:val="center"/>
          </w:tcPr>
          <w:p w14:paraId="6595B80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Align w:val="center"/>
          </w:tcPr>
          <w:p w14:paraId="3BC2DDC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10AC8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03" w:type="pct"/>
            <w:vMerge w:val="continue"/>
            <w:vAlign w:val="center"/>
          </w:tcPr>
          <w:p w14:paraId="1F11607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4" w:type="pct"/>
            <w:vMerge w:val="continue"/>
            <w:vAlign w:val="center"/>
          </w:tcPr>
          <w:p w14:paraId="78AE743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Merge w:val="restart"/>
            <w:vAlign w:val="center"/>
          </w:tcPr>
          <w:p w14:paraId="57AE658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Merge w:val="restart"/>
            <w:vAlign w:val="center"/>
          </w:tcPr>
          <w:p w14:paraId="5879172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3879EE5D">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38BA2C4B">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59421029">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Align w:val="center"/>
          </w:tcPr>
          <w:p w14:paraId="5672E9B5">
            <w:pPr>
              <w:spacing w:line="240" w:lineRule="auto"/>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117CA56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75E2931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1032EE45">
            <w:pPr>
              <w:adjustRightInd w:val="0"/>
              <w:snapToGrid w:val="0"/>
              <w:spacing w:line="240" w:lineRule="auto"/>
              <w:jc w:val="center"/>
              <w:textAlignment w:val="center"/>
              <w:rPr>
                <w:rFonts w:cs="Times New Roman"/>
                <w:color w:val="0D0D0D" w:themeColor="text1" w:themeTint="F2"/>
                <w:kern w:val="0"/>
                <w:sz w:val="21"/>
                <w:szCs w:val="21"/>
                <w:u w:val="single"/>
                <w:lang w:bidi="ar"/>
                <w14:textFill>
                  <w14:solidFill>
                    <w14:schemeClr w14:val="tx1">
                      <w14:lumMod w14:val="95000"/>
                      <w14:lumOff w14:val="5000"/>
                    </w14:schemeClr>
                  </w14:solidFill>
                </w14:textFill>
              </w:rPr>
            </w:pPr>
          </w:p>
        </w:tc>
        <w:tc>
          <w:tcPr>
            <w:tcW w:w="356" w:type="pct"/>
            <w:vAlign w:val="center"/>
          </w:tcPr>
          <w:p w14:paraId="0CEB9706">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450D7F5F">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Merge w:val="continue"/>
            <w:vAlign w:val="center"/>
          </w:tcPr>
          <w:p w14:paraId="31DC303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Align w:val="center"/>
          </w:tcPr>
          <w:p w14:paraId="67325325">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29629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03" w:type="pct"/>
            <w:vMerge w:val="continue"/>
            <w:vAlign w:val="center"/>
          </w:tcPr>
          <w:p w14:paraId="2CDD698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4" w:type="pct"/>
            <w:vMerge w:val="continue"/>
            <w:vAlign w:val="center"/>
          </w:tcPr>
          <w:p w14:paraId="45260EE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Merge w:val="continue"/>
            <w:vAlign w:val="center"/>
          </w:tcPr>
          <w:p w14:paraId="60156F0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Merge w:val="continue"/>
            <w:vAlign w:val="center"/>
          </w:tcPr>
          <w:p w14:paraId="31506C1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754F18A0">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76709866">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58937F02">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Align w:val="center"/>
          </w:tcPr>
          <w:p w14:paraId="2D7C569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16133AD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7AC555B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7F7576B6">
            <w:pPr>
              <w:adjustRightInd w:val="0"/>
              <w:snapToGrid w:val="0"/>
              <w:spacing w:line="240" w:lineRule="auto"/>
              <w:jc w:val="center"/>
              <w:textAlignment w:val="center"/>
              <w:rPr>
                <w:rFonts w:cs="Times New Roman"/>
                <w:color w:val="0D0D0D" w:themeColor="text1" w:themeTint="F2"/>
                <w:kern w:val="0"/>
                <w:sz w:val="21"/>
                <w:szCs w:val="21"/>
                <w:u w:val="single"/>
                <w:lang w:bidi="ar"/>
                <w14:textFill>
                  <w14:solidFill>
                    <w14:schemeClr w14:val="tx1">
                      <w14:lumMod w14:val="95000"/>
                      <w14:lumOff w14:val="5000"/>
                    </w14:schemeClr>
                  </w14:solidFill>
                </w14:textFill>
              </w:rPr>
            </w:pPr>
          </w:p>
        </w:tc>
        <w:tc>
          <w:tcPr>
            <w:tcW w:w="356" w:type="pct"/>
            <w:vAlign w:val="center"/>
          </w:tcPr>
          <w:p w14:paraId="5858176E">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4687C5C8">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Merge w:val="continue"/>
            <w:vAlign w:val="center"/>
          </w:tcPr>
          <w:p w14:paraId="61BB55E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Align w:val="center"/>
          </w:tcPr>
          <w:p w14:paraId="6ADC883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4468F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57" w:type="pct"/>
            <w:gridSpan w:val="2"/>
            <w:vMerge w:val="restart"/>
            <w:vAlign w:val="center"/>
          </w:tcPr>
          <w:p w14:paraId="29DECC3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Merge w:val="restart"/>
            <w:vAlign w:val="center"/>
          </w:tcPr>
          <w:p w14:paraId="634D122D">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Align w:val="center"/>
          </w:tcPr>
          <w:p w14:paraId="1EBF2B08">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26E28DDA">
            <w:pPr>
              <w:adjustRightInd w:val="0"/>
              <w:snapToGrid w:val="0"/>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356" w:type="pct"/>
            <w:vAlign w:val="center"/>
          </w:tcPr>
          <w:p w14:paraId="5C68A3A8">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355B5E77">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Align w:val="center"/>
          </w:tcPr>
          <w:p w14:paraId="0D43CD6E">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7D2CB266">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36C4F129">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3C648058">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769C90A0">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6F65301A">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Align w:val="center"/>
          </w:tcPr>
          <w:p w14:paraId="17F3378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Align w:val="center"/>
          </w:tcPr>
          <w:p w14:paraId="68A6070A">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6E8A1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57" w:type="pct"/>
            <w:gridSpan w:val="2"/>
            <w:vMerge w:val="continue"/>
            <w:vAlign w:val="center"/>
          </w:tcPr>
          <w:p w14:paraId="091A103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Merge w:val="continue"/>
            <w:vAlign w:val="center"/>
          </w:tcPr>
          <w:p w14:paraId="47ED2316">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Align w:val="center"/>
          </w:tcPr>
          <w:p w14:paraId="6F67EEA9">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013BCA46">
            <w:pPr>
              <w:adjustRightInd w:val="0"/>
              <w:snapToGrid w:val="0"/>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356" w:type="pct"/>
            <w:vAlign w:val="center"/>
          </w:tcPr>
          <w:p w14:paraId="6DCBA316">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383C8405">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Align w:val="center"/>
          </w:tcPr>
          <w:p w14:paraId="04A190F5">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4542B203">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2AB400F9">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569608CD">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54DC9117">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2CB6F96C">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Align w:val="center"/>
          </w:tcPr>
          <w:p w14:paraId="028B647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Align w:val="center"/>
          </w:tcPr>
          <w:p w14:paraId="38995CCE">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1BE0A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57" w:type="pct"/>
            <w:gridSpan w:val="2"/>
            <w:vMerge w:val="continue"/>
            <w:vAlign w:val="center"/>
          </w:tcPr>
          <w:p w14:paraId="431B7BA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Merge w:val="restart"/>
            <w:vAlign w:val="center"/>
          </w:tcPr>
          <w:p w14:paraId="1062A163">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Align w:val="center"/>
          </w:tcPr>
          <w:p w14:paraId="32D61AE6">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5AD2AB6A">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5F06F4BF">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28E82B2A">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Align w:val="center"/>
          </w:tcPr>
          <w:p w14:paraId="6DCCB3AF">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61164113">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2DCB6386">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6EB5DB8D">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51B4A230">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19BEEFEB">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Align w:val="center"/>
          </w:tcPr>
          <w:p w14:paraId="4D06D41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Align w:val="center"/>
          </w:tcPr>
          <w:p w14:paraId="1A03B919">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691B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57" w:type="pct"/>
            <w:gridSpan w:val="2"/>
            <w:vMerge w:val="continue"/>
            <w:vAlign w:val="center"/>
          </w:tcPr>
          <w:p w14:paraId="1504851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Merge w:val="continue"/>
            <w:vAlign w:val="center"/>
          </w:tcPr>
          <w:p w14:paraId="69717873">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Align w:val="center"/>
          </w:tcPr>
          <w:p w14:paraId="4126B21D">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048BD051">
            <w:pPr>
              <w:adjustRightInd w:val="0"/>
              <w:snapToGrid w:val="0"/>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356" w:type="pct"/>
            <w:vAlign w:val="center"/>
          </w:tcPr>
          <w:p w14:paraId="02C3555F">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1AAEDBDB">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Align w:val="center"/>
          </w:tcPr>
          <w:p w14:paraId="413518D5">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2D067DAB">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6D0FDE3D">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14CDB131">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32134EFD">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29C9FD81">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Align w:val="center"/>
          </w:tcPr>
          <w:p w14:paraId="450EFD2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Align w:val="center"/>
          </w:tcPr>
          <w:p w14:paraId="6B1393D7">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5FBC9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57" w:type="pct"/>
            <w:gridSpan w:val="2"/>
            <w:vMerge w:val="continue"/>
            <w:vAlign w:val="center"/>
          </w:tcPr>
          <w:p w14:paraId="63D26A6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Merge w:val="restart"/>
            <w:vAlign w:val="center"/>
          </w:tcPr>
          <w:p w14:paraId="1A4923E6">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Align w:val="center"/>
          </w:tcPr>
          <w:p w14:paraId="02F2FBA9">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3EAD3259">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157163C4">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3A0D221B">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Align w:val="center"/>
          </w:tcPr>
          <w:p w14:paraId="24E23FB9">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16B374DA">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7D967E19">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11707A0C">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2306E6AB">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5ACBEC76">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Align w:val="center"/>
          </w:tcPr>
          <w:p w14:paraId="5C3B498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Align w:val="center"/>
          </w:tcPr>
          <w:p w14:paraId="697F9D26">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2D73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57" w:type="pct"/>
            <w:gridSpan w:val="2"/>
            <w:vMerge w:val="continue"/>
            <w:vAlign w:val="center"/>
          </w:tcPr>
          <w:p w14:paraId="6146081C">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Merge w:val="continue"/>
            <w:vAlign w:val="center"/>
          </w:tcPr>
          <w:p w14:paraId="56B21115">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Align w:val="center"/>
          </w:tcPr>
          <w:p w14:paraId="08463696">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08A8D7CF">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506BE655">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56702551">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Align w:val="center"/>
          </w:tcPr>
          <w:p w14:paraId="2754777C">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6E788877">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211834D1">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38AF0BDF">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2E672A9A">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46DA1F73">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Align w:val="center"/>
          </w:tcPr>
          <w:p w14:paraId="38F55FE3">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Align w:val="center"/>
          </w:tcPr>
          <w:p w14:paraId="386C4A87">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66277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57" w:type="pct"/>
            <w:gridSpan w:val="2"/>
            <w:vMerge w:val="continue"/>
            <w:vAlign w:val="center"/>
          </w:tcPr>
          <w:p w14:paraId="5257CA5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Merge w:val="restart"/>
            <w:vAlign w:val="center"/>
          </w:tcPr>
          <w:p w14:paraId="0CFAD47C">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Align w:val="center"/>
          </w:tcPr>
          <w:p w14:paraId="0DB66135">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28BBDEA9">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4A59B9E8">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6F3DE22E">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Align w:val="center"/>
          </w:tcPr>
          <w:p w14:paraId="341AE3F1">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06A75751">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5CCD6BD5">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4FAEA711">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7A4C0519">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516C8CB0">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Align w:val="center"/>
          </w:tcPr>
          <w:p w14:paraId="4C5E187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Align w:val="center"/>
          </w:tcPr>
          <w:p w14:paraId="50DDC04F">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07FB0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57" w:type="pct"/>
            <w:gridSpan w:val="2"/>
            <w:vMerge w:val="continue"/>
            <w:vAlign w:val="center"/>
          </w:tcPr>
          <w:p w14:paraId="12C767C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Merge w:val="continue"/>
            <w:vAlign w:val="center"/>
          </w:tcPr>
          <w:p w14:paraId="06E57073">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Align w:val="center"/>
          </w:tcPr>
          <w:p w14:paraId="2B17AADE">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4602DE3D">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7714B0F5">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6FD5AF4C">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Align w:val="center"/>
          </w:tcPr>
          <w:p w14:paraId="73B2E008">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304982A0">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0F250760">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1A9899C9">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6B50786D">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0928E796">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Align w:val="center"/>
          </w:tcPr>
          <w:p w14:paraId="01490DE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Align w:val="center"/>
          </w:tcPr>
          <w:p w14:paraId="6AA646E7">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53CA9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57" w:type="pct"/>
            <w:gridSpan w:val="2"/>
            <w:vMerge w:val="continue"/>
            <w:vAlign w:val="center"/>
          </w:tcPr>
          <w:p w14:paraId="446625E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Merge w:val="restart"/>
            <w:vAlign w:val="center"/>
          </w:tcPr>
          <w:p w14:paraId="1DC8C2C5">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Align w:val="center"/>
          </w:tcPr>
          <w:p w14:paraId="39E4CDB8">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19B4D0A1">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48B48096">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4FB5DB00">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Align w:val="center"/>
          </w:tcPr>
          <w:p w14:paraId="0E9F670B">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1440D4E2">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1633AB4F">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573FBAEF">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42F3365F">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0779A24C">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Align w:val="center"/>
          </w:tcPr>
          <w:p w14:paraId="6053F18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Align w:val="center"/>
          </w:tcPr>
          <w:p w14:paraId="0F65E9E4">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1B18C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57" w:type="pct"/>
            <w:gridSpan w:val="2"/>
            <w:vMerge w:val="continue"/>
            <w:vAlign w:val="center"/>
          </w:tcPr>
          <w:p w14:paraId="1D16024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Merge w:val="continue"/>
            <w:vAlign w:val="center"/>
          </w:tcPr>
          <w:p w14:paraId="706107DF">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Align w:val="center"/>
          </w:tcPr>
          <w:p w14:paraId="5577DFCF">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72D1F451">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7B96CBBF">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7" w:type="pct"/>
            <w:vAlign w:val="center"/>
          </w:tcPr>
          <w:p w14:paraId="63135632">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59" w:type="pct"/>
            <w:vAlign w:val="center"/>
          </w:tcPr>
          <w:p w14:paraId="77DEA715">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33BCD88D">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6ECC5FE1">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31871F98">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27D3D094">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03F586C0">
            <w:pPr>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4" w:type="pct"/>
            <w:vAlign w:val="center"/>
          </w:tcPr>
          <w:p w14:paraId="7D3F2413">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Align w:val="center"/>
          </w:tcPr>
          <w:p w14:paraId="7A57F32C">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688F2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57" w:type="pct"/>
            <w:gridSpan w:val="2"/>
            <w:vMerge w:val="continue"/>
            <w:vAlign w:val="center"/>
          </w:tcPr>
          <w:p w14:paraId="7626AF45">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Merge w:val="restart"/>
            <w:vAlign w:val="center"/>
          </w:tcPr>
          <w:p w14:paraId="451EF38F">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Align w:val="center"/>
          </w:tcPr>
          <w:p w14:paraId="4F729AC7">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7AA8985C">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30E9F9FC">
            <w:pPr>
              <w:spacing w:line="240" w:lineRule="auto"/>
              <w:jc w:val="center"/>
              <w:textAlignment w:val="center"/>
              <w:rPr>
                <w:rFonts w:cs="Times New Roman"/>
                <w:snapToGrid w:val="0"/>
                <w:color w:val="0D0D0D" w:themeColor="text1" w:themeTint="F2"/>
                <w:kern w:val="0"/>
                <w:sz w:val="21"/>
                <w:szCs w:val="21"/>
                <w:u w:val="single"/>
                <w14:textFill>
                  <w14:solidFill>
                    <w14:schemeClr w14:val="tx1">
                      <w14:lumMod w14:val="95000"/>
                      <w14:lumOff w14:val="5000"/>
                    </w14:schemeClr>
                  </w14:solidFill>
                </w14:textFill>
              </w:rPr>
            </w:pPr>
          </w:p>
        </w:tc>
        <w:tc>
          <w:tcPr>
            <w:tcW w:w="357" w:type="pct"/>
            <w:vAlign w:val="center"/>
          </w:tcPr>
          <w:p w14:paraId="1B27F611">
            <w:pPr>
              <w:spacing w:line="240" w:lineRule="auto"/>
              <w:jc w:val="center"/>
              <w:textAlignment w:val="center"/>
              <w:rPr>
                <w:rFonts w:cs="Times New Roman"/>
                <w:snapToGrid w:val="0"/>
                <w:color w:val="0D0D0D" w:themeColor="text1" w:themeTint="F2"/>
                <w:kern w:val="0"/>
                <w:sz w:val="21"/>
                <w:szCs w:val="21"/>
                <w:u w:val="single"/>
                <w14:textFill>
                  <w14:solidFill>
                    <w14:schemeClr w14:val="tx1">
                      <w14:lumMod w14:val="95000"/>
                      <w14:lumOff w14:val="5000"/>
                    </w14:schemeClr>
                  </w14:solidFill>
                </w14:textFill>
              </w:rPr>
            </w:pPr>
          </w:p>
        </w:tc>
        <w:tc>
          <w:tcPr>
            <w:tcW w:w="559" w:type="pct"/>
            <w:vAlign w:val="center"/>
          </w:tcPr>
          <w:p w14:paraId="6717A285">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10C2B8F0">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193D82E4">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67D3250A">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2A40E406">
            <w:pPr>
              <w:spacing w:line="240" w:lineRule="auto"/>
              <w:jc w:val="center"/>
              <w:textAlignment w:val="center"/>
              <w:rPr>
                <w:rFonts w:cs="Times New Roman"/>
                <w:snapToGrid w:val="0"/>
                <w:color w:val="0D0D0D" w:themeColor="text1" w:themeTint="F2"/>
                <w:kern w:val="0"/>
                <w:sz w:val="21"/>
                <w:szCs w:val="21"/>
                <w:u w:val="single"/>
                <w14:textFill>
                  <w14:solidFill>
                    <w14:schemeClr w14:val="tx1">
                      <w14:lumMod w14:val="95000"/>
                      <w14:lumOff w14:val="5000"/>
                    </w14:schemeClr>
                  </w14:solidFill>
                </w14:textFill>
              </w:rPr>
            </w:pPr>
          </w:p>
        </w:tc>
        <w:tc>
          <w:tcPr>
            <w:tcW w:w="255" w:type="pct"/>
            <w:vAlign w:val="center"/>
          </w:tcPr>
          <w:p w14:paraId="16788988">
            <w:pPr>
              <w:spacing w:line="240" w:lineRule="auto"/>
              <w:jc w:val="center"/>
              <w:textAlignment w:val="center"/>
              <w:rPr>
                <w:rFonts w:cs="Times New Roman"/>
                <w:snapToGrid w:val="0"/>
                <w:color w:val="0D0D0D" w:themeColor="text1" w:themeTint="F2"/>
                <w:kern w:val="0"/>
                <w:sz w:val="21"/>
                <w:szCs w:val="21"/>
                <w:u w:val="single"/>
                <w14:textFill>
                  <w14:solidFill>
                    <w14:schemeClr w14:val="tx1">
                      <w14:lumMod w14:val="95000"/>
                      <w14:lumOff w14:val="5000"/>
                    </w14:schemeClr>
                  </w14:solidFill>
                </w14:textFill>
              </w:rPr>
            </w:pPr>
          </w:p>
        </w:tc>
        <w:tc>
          <w:tcPr>
            <w:tcW w:w="204" w:type="pct"/>
            <w:vAlign w:val="center"/>
          </w:tcPr>
          <w:p w14:paraId="2940E79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Align w:val="center"/>
          </w:tcPr>
          <w:p w14:paraId="3A018D1C">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08C98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57" w:type="pct"/>
            <w:gridSpan w:val="2"/>
            <w:vMerge w:val="continue"/>
            <w:vAlign w:val="center"/>
          </w:tcPr>
          <w:p w14:paraId="577D621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Merge w:val="continue"/>
            <w:vAlign w:val="center"/>
          </w:tcPr>
          <w:p w14:paraId="002A12BC">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Align w:val="center"/>
          </w:tcPr>
          <w:p w14:paraId="691D771C">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2A6F4B96">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0AB37643">
            <w:pPr>
              <w:spacing w:line="240" w:lineRule="auto"/>
              <w:jc w:val="center"/>
              <w:textAlignment w:val="center"/>
              <w:rPr>
                <w:rFonts w:cs="Times New Roman"/>
                <w:snapToGrid w:val="0"/>
                <w:color w:val="0D0D0D" w:themeColor="text1" w:themeTint="F2"/>
                <w:kern w:val="0"/>
                <w:sz w:val="21"/>
                <w:szCs w:val="21"/>
                <w:u w:val="single"/>
                <w14:textFill>
                  <w14:solidFill>
                    <w14:schemeClr w14:val="tx1">
                      <w14:lumMod w14:val="95000"/>
                      <w14:lumOff w14:val="5000"/>
                    </w14:schemeClr>
                  </w14:solidFill>
                </w14:textFill>
              </w:rPr>
            </w:pPr>
          </w:p>
        </w:tc>
        <w:tc>
          <w:tcPr>
            <w:tcW w:w="357" w:type="pct"/>
            <w:vAlign w:val="center"/>
          </w:tcPr>
          <w:p w14:paraId="21CCA7BB">
            <w:pPr>
              <w:spacing w:line="240" w:lineRule="auto"/>
              <w:jc w:val="center"/>
              <w:textAlignment w:val="center"/>
              <w:rPr>
                <w:rFonts w:cs="Times New Roman"/>
                <w:snapToGrid w:val="0"/>
                <w:color w:val="0D0D0D" w:themeColor="text1" w:themeTint="F2"/>
                <w:kern w:val="0"/>
                <w:sz w:val="21"/>
                <w:szCs w:val="21"/>
                <w:u w:val="single"/>
                <w14:textFill>
                  <w14:solidFill>
                    <w14:schemeClr w14:val="tx1">
                      <w14:lumMod w14:val="95000"/>
                      <w14:lumOff w14:val="5000"/>
                    </w14:schemeClr>
                  </w14:solidFill>
                </w14:textFill>
              </w:rPr>
            </w:pPr>
          </w:p>
        </w:tc>
        <w:tc>
          <w:tcPr>
            <w:tcW w:w="559" w:type="pct"/>
            <w:vAlign w:val="center"/>
          </w:tcPr>
          <w:p w14:paraId="434B7E09">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422EF596">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1E905EED">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23965F00">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5AC73F9E">
            <w:pPr>
              <w:spacing w:line="240" w:lineRule="auto"/>
              <w:jc w:val="center"/>
              <w:textAlignment w:val="center"/>
              <w:rPr>
                <w:rFonts w:cs="Times New Roman"/>
                <w:snapToGrid w:val="0"/>
                <w:color w:val="0D0D0D" w:themeColor="text1" w:themeTint="F2"/>
                <w:kern w:val="0"/>
                <w:sz w:val="21"/>
                <w:szCs w:val="21"/>
                <w:u w:val="single"/>
                <w14:textFill>
                  <w14:solidFill>
                    <w14:schemeClr w14:val="tx1">
                      <w14:lumMod w14:val="95000"/>
                      <w14:lumOff w14:val="5000"/>
                    </w14:schemeClr>
                  </w14:solidFill>
                </w14:textFill>
              </w:rPr>
            </w:pPr>
          </w:p>
        </w:tc>
        <w:tc>
          <w:tcPr>
            <w:tcW w:w="255" w:type="pct"/>
            <w:vAlign w:val="center"/>
          </w:tcPr>
          <w:p w14:paraId="28E06837">
            <w:pPr>
              <w:spacing w:line="240" w:lineRule="auto"/>
              <w:jc w:val="center"/>
              <w:textAlignment w:val="center"/>
              <w:rPr>
                <w:rFonts w:cs="Times New Roman"/>
                <w:snapToGrid w:val="0"/>
                <w:color w:val="0D0D0D" w:themeColor="text1" w:themeTint="F2"/>
                <w:kern w:val="0"/>
                <w:sz w:val="21"/>
                <w:szCs w:val="21"/>
                <w:u w:val="single"/>
                <w14:textFill>
                  <w14:solidFill>
                    <w14:schemeClr w14:val="tx1">
                      <w14:lumMod w14:val="95000"/>
                      <w14:lumOff w14:val="5000"/>
                    </w14:schemeClr>
                  </w14:solidFill>
                </w14:textFill>
              </w:rPr>
            </w:pPr>
          </w:p>
        </w:tc>
        <w:tc>
          <w:tcPr>
            <w:tcW w:w="204" w:type="pct"/>
            <w:vAlign w:val="center"/>
          </w:tcPr>
          <w:p w14:paraId="440ADB53">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Align w:val="center"/>
          </w:tcPr>
          <w:p w14:paraId="6F8CD4B8">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47E58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57" w:type="pct"/>
            <w:gridSpan w:val="2"/>
            <w:vMerge w:val="continue"/>
            <w:vAlign w:val="center"/>
          </w:tcPr>
          <w:p w14:paraId="3572DE9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Merge w:val="restart"/>
            <w:vAlign w:val="center"/>
          </w:tcPr>
          <w:p w14:paraId="12D2ECE1">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Align w:val="center"/>
          </w:tcPr>
          <w:p w14:paraId="40D61DEC">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7146CAB0">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43DAA79E">
            <w:pPr>
              <w:spacing w:line="240" w:lineRule="auto"/>
              <w:jc w:val="center"/>
              <w:textAlignment w:val="center"/>
              <w:rPr>
                <w:rFonts w:cs="Times New Roman"/>
                <w:snapToGrid w:val="0"/>
                <w:color w:val="0D0D0D" w:themeColor="text1" w:themeTint="F2"/>
                <w:kern w:val="0"/>
                <w:sz w:val="21"/>
                <w:szCs w:val="21"/>
                <w:u w:val="single"/>
                <w14:textFill>
                  <w14:solidFill>
                    <w14:schemeClr w14:val="tx1">
                      <w14:lumMod w14:val="95000"/>
                      <w14:lumOff w14:val="5000"/>
                    </w14:schemeClr>
                  </w14:solidFill>
                </w14:textFill>
              </w:rPr>
            </w:pPr>
          </w:p>
        </w:tc>
        <w:tc>
          <w:tcPr>
            <w:tcW w:w="357" w:type="pct"/>
            <w:vAlign w:val="center"/>
          </w:tcPr>
          <w:p w14:paraId="365D1E9B">
            <w:pPr>
              <w:spacing w:line="240" w:lineRule="auto"/>
              <w:jc w:val="center"/>
              <w:textAlignment w:val="center"/>
              <w:rPr>
                <w:rFonts w:cs="Times New Roman"/>
                <w:snapToGrid w:val="0"/>
                <w:color w:val="0D0D0D" w:themeColor="text1" w:themeTint="F2"/>
                <w:kern w:val="0"/>
                <w:sz w:val="21"/>
                <w:szCs w:val="21"/>
                <w:u w:val="single"/>
                <w14:textFill>
                  <w14:solidFill>
                    <w14:schemeClr w14:val="tx1">
                      <w14:lumMod w14:val="95000"/>
                      <w14:lumOff w14:val="5000"/>
                    </w14:schemeClr>
                  </w14:solidFill>
                </w14:textFill>
              </w:rPr>
            </w:pPr>
          </w:p>
        </w:tc>
        <w:tc>
          <w:tcPr>
            <w:tcW w:w="559" w:type="pct"/>
            <w:vAlign w:val="center"/>
          </w:tcPr>
          <w:p w14:paraId="2D6C01B8">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238AA86B">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196BC9AB">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572472D2">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2C55C9FE">
            <w:pPr>
              <w:spacing w:line="240" w:lineRule="auto"/>
              <w:jc w:val="center"/>
              <w:textAlignment w:val="center"/>
              <w:rPr>
                <w:rFonts w:cs="Times New Roman"/>
                <w:snapToGrid w:val="0"/>
                <w:color w:val="0D0D0D" w:themeColor="text1" w:themeTint="F2"/>
                <w:kern w:val="0"/>
                <w:sz w:val="21"/>
                <w:szCs w:val="21"/>
                <w:u w:val="single"/>
                <w14:textFill>
                  <w14:solidFill>
                    <w14:schemeClr w14:val="tx1">
                      <w14:lumMod w14:val="95000"/>
                      <w14:lumOff w14:val="5000"/>
                    </w14:schemeClr>
                  </w14:solidFill>
                </w14:textFill>
              </w:rPr>
            </w:pPr>
          </w:p>
        </w:tc>
        <w:tc>
          <w:tcPr>
            <w:tcW w:w="255" w:type="pct"/>
            <w:vAlign w:val="center"/>
          </w:tcPr>
          <w:p w14:paraId="7232D7BB">
            <w:pPr>
              <w:spacing w:line="240" w:lineRule="auto"/>
              <w:jc w:val="center"/>
              <w:textAlignment w:val="center"/>
              <w:rPr>
                <w:rFonts w:cs="Times New Roman"/>
                <w:snapToGrid w:val="0"/>
                <w:color w:val="0D0D0D" w:themeColor="text1" w:themeTint="F2"/>
                <w:kern w:val="0"/>
                <w:sz w:val="21"/>
                <w:szCs w:val="21"/>
                <w:u w:val="single"/>
                <w14:textFill>
                  <w14:solidFill>
                    <w14:schemeClr w14:val="tx1">
                      <w14:lumMod w14:val="95000"/>
                      <w14:lumOff w14:val="5000"/>
                    </w14:schemeClr>
                  </w14:solidFill>
                </w14:textFill>
              </w:rPr>
            </w:pPr>
          </w:p>
        </w:tc>
        <w:tc>
          <w:tcPr>
            <w:tcW w:w="204" w:type="pct"/>
            <w:vAlign w:val="center"/>
          </w:tcPr>
          <w:p w14:paraId="238B258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Align w:val="center"/>
          </w:tcPr>
          <w:p w14:paraId="2C2CA5E8">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59B3A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57" w:type="pct"/>
            <w:gridSpan w:val="2"/>
            <w:vMerge w:val="continue"/>
            <w:vAlign w:val="center"/>
          </w:tcPr>
          <w:p w14:paraId="4CC4890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8" w:type="pct"/>
            <w:vMerge w:val="continue"/>
            <w:vAlign w:val="center"/>
          </w:tcPr>
          <w:p w14:paraId="2AC9B473">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57" w:type="pct"/>
            <w:vAlign w:val="center"/>
          </w:tcPr>
          <w:p w14:paraId="171C70A1">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39198397">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22DA0D0D">
            <w:pPr>
              <w:spacing w:line="240" w:lineRule="auto"/>
              <w:jc w:val="center"/>
              <w:textAlignment w:val="center"/>
              <w:rPr>
                <w:rFonts w:cs="Times New Roman"/>
                <w:snapToGrid w:val="0"/>
                <w:color w:val="0D0D0D" w:themeColor="text1" w:themeTint="F2"/>
                <w:kern w:val="0"/>
                <w:sz w:val="21"/>
                <w:szCs w:val="21"/>
                <w:u w:val="single"/>
                <w14:textFill>
                  <w14:solidFill>
                    <w14:schemeClr w14:val="tx1">
                      <w14:lumMod w14:val="95000"/>
                      <w14:lumOff w14:val="5000"/>
                    </w14:schemeClr>
                  </w14:solidFill>
                </w14:textFill>
              </w:rPr>
            </w:pPr>
          </w:p>
        </w:tc>
        <w:tc>
          <w:tcPr>
            <w:tcW w:w="357" w:type="pct"/>
            <w:vAlign w:val="center"/>
          </w:tcPr>
          <w:p w14:paraId="2233735B">
            <w:pPr>
              <w:spacing w:line="240" w:lineRule="auto"/>
              <w:jc w:val="center"/>
              <w:textAlignment w:val="center"/>
              <w:rPr>
                <w:rFonts w:cs="Times New Roman"/>
                <w:snapToGrid w:val="0"/>
                <w:color w:val="0D0D0D" w:themeColor="text1" w:themeTint="F2"/>
                <w:kern w:val="0"/>
                <w:sz w:val="21"/>
                <w:szCs w:val="21"/>
                <w:u w:val="single"/>
                <w14:textFill>
                  <w14:solidFill>
                    <w14:schemeClr w14:val="tx1">
                      <w14:lumMod w14:val="95000"/>
                      <w14:lumOff w14:val="5000"/>
                    </w14:schemeClr>
                  </w14:solidFill>
                </w14:textFill>
              </w:rPr>
            </w:pPr>
          </w:p>
        </w:tc>
        <w:tc>
          <w:tcPr>
            <w:tcW w:w="559" w:type="pct"/>
            <w:vAlign w:val="center"/>
          </w:tcPr>
          <w:p w14:paraId="2ADD366A">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03" w:type="pct"/>
            <w:vAlign w:val="center"/>
          </w:tcPr>
          <w:p w14:paraId="037D3782">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55" w:type="pct"/>
            <w:vAlign w:val="center"/>
          </w:tcPr>
          <w:p w14:paraId="75C73623">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5" w:type="pct"/>
            <w:vAlign w:val="center"/>
          </w:tcPr>
          <w:p w14:paraId="7674DA97">
            <w:pPr>
              <w:adjustRightInd w:val="0"/>
              <w:snapToGrid w:val="0"/>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356" w:type="pct"/>
            <w:vAlign w:val="center"/>
          </w:tcPr>
          <w:p w14:paraId="7BF2D90C">
            <w:pPr>
              <w:spacing w:line="240" w:lineRule="auto"/>
              <w:jc w:val="center"/>
              <w:textAlignment w:val="center"/>
              <w:rPr>
                <w:rFonts w:cs="Times New Roman"/>
                <w:snapToGrid w:val="0"/>
                <w:color w:val="0D0D0D" w:themeColor="text1" w:themeTint="F2"/>
                <w:kern w:val="0"/>
                <w:sz w:val="21"/>
                <w:szCs w:val="21"/>
                <w:u w:val="single"/>
                <w14:textFill>
                  <w14:solidFill>
                    <w14:schemeClr w14:val="tx1">
                      <w14:lumMod w14:val="95000"/>
                      <w14:lumOff w14:val="5000"/>
                    </w14:schemeClr>
                  </w14:solidFill>
                </w14:textFill>
              </w:rPr>
            </w:pPr>
          </w:p>
        </w:tc>
        <w:tc>
          <w:tcPr>
            <w:tcW w:w="255" w:type="pct"/>
            <w:vAlign w:val="center"/>
          </w:tcPr>
          <w:p w14:paraId="2E7DADDA">
            <w:pPr>
              <w:spacing w:line="240" w:lineRule="auto"/>
              <w:jc w:val="center"/>
              <w:textAlignment w:val="center"/>
              <w:rPr>
                <w:rFonts w:cs="Times New Roman"/>
                <w:snapToGrid w:val="0"/>
                <w:color w:val="0D0D0D" w:themeColor="text1" w:themeTint="F2"/>
                <w:kern w:val="0"/>
                <w:sz w:val="21"/>
                <w:szCs w:val="21"/>
                <w:u w:val="single"/>
                <w14:textFill>
                  <w14:solidFill>
                    <w14:schemeClr w14:val="tx1">
                      <w14:lumMod w14:val="95000"/>
                      <w14:lumOff w14:val="5000"/>
                    </w14:schemeClr>
                  </w14:solidFill>
                </w14:textFill>
              </w:rPr>
            </w:pPr>
          </w:p>
        </w:tc>
        <w:tc>
          <w:tcPr>
            <w:tcW w:w="204" w:type="pct"/>
            <w:vAlign w:val="center"/>
          </w:tcPr>
          <w:p w14:paraId="26834DD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272" w:type="pct"/>
            <w:vAlign w:val="center"/>
          </w:tcPr>
          <w:p w14:paraId="164E6CE1">
            <w:pPr>
              <w:adjustRightInd w:val="0"/>
              <w:snapToGrid w:val="0"/>
              <w:spacing w:line="240" w:lineRule="auto"/>
              <w:jc w:val="center"/>
              <w:textAlignment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22916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000" w:type="pct"/>
            <w:gridSpan w:val="15"/>
            <w:vAlign w:val="center"/>
          </w:tcPr>
          <w:p w14:paraId="6AA6F853">
            <w:pPr>
              <w:adjustRightInd w:val="0"/>
              <w:snapToGrid w:val="0"/>
              <w:spacing w:line="240" w:lineRule="auto"/>
              <w:textAlignment w:val="center"/>
              <w:rPr>
                <w:rFonts w:cs="Times New Roman"/>
                <w:color w:val="0D0D0D" w:themeColor="text1" w:themeTint="F2"/>
                <w:kern w:val="0"/>
                <w:sz w:val="21"/>
                <w:szCs w:val="21"/>
                <w:u w:val="single"/>
                <w:lang w:bidi="ar"/>
                <w14:textFill>
                  <w14:solidFill>
                    <w14:schemeClr w14:val="tx1">
                      <w14:lumMod w14:val="95000"/>
                      <w14:lumOff w14:val="5000"/>
                    </w14:schemeClr>
                  </w14:solidFill>
                </w14:textFill>
              </w:rPr>
            </w:pPr>
          </w:p>
        </w:tc>
      </w:tr>
    </w:tbl>
    <w:p w14:paraId="7845D288">
      <w:pPr>
        <w:rPr>
          <w:color w:val="0D0D0D" w:themeColor="text1" w:themeTint="F2"/>
          <w14:textFill>
            <w14:solidFill>
              <w14:schemeClr w14:val="tx1">
                <w14:lumMod w14:val="95000"/>
                <w14:lumOff w14:val="5000"/>
              </w14:schemeClr>
            </w14:solidFill>
          </w14:textFill>
        </w:rPr>
      </w:pPr>
    </w:p>
    <w:p w14:paraId="22C998E3">
      <w:pPr>
        <w:pStyle w:val="10"/>
        <w:sectPr>
          <w:pgSz w:w="16838" w:h="11906" w:orient="landscape"/>
          <w:pgMar w:top="1440" w:right="1440" w:bottom="1440" w:left="1440" w:header="851" w:footer="992" w:gutter="0"/>
          <w:cols w:space="425" w:num="1"/>
          <w:docGrid w:type="linesAndChars" w:linePitch="312" w:charSpace="0"/>
        </w:sectPr>
      </w:pPr>
    </w:p>
    <w:p w14:paraId="599B0D2F">
      <w:pPr>
        <w:pStyle w:val="10"/>
      </w:pPr>
      <w:r>
        <w:rPr>
          <w:rFonts w:hint="eastAsia"/>
        </w:rPr>
        <w:t>水污染源分析</w:t>
      </w:r>
    </w:p>
    <w:p w14:paraId="4F9DD3D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项目运营期废水包括生产废水、生活污水和初期雨水，其中生产废水包括工艺废水、锅炉房排水、循环冷却水系统排水、化验室</w:t>
      </w:r>
      <w:r>
        <w:rPr>
          <w:rFonts w:hint="eastAsia"/>
          <w:color w:val="0D0D0D" w:themeColor="text1" w:themeTint="F2"/>
          <w:lang w:eastAsia="zh-CN"/>
          <w14:textFill>
            <w14:solidFill>
              <w14:schemeClr w14:val="tx1">
                <w14:lumMod w14:val="95000"/>
                <w14:lumOff w14:val="5000"/>
              </w14:schemeClr>
            </w14:solidFill>
          </w14:textFill>
        </w:rPr>
        <w:t>废水</w:t>
      </w:r>
      <w:r>
        <w:rPr>
          <w:rFonts w:hint="eastAsia"/>
          <w:color w:val="0D0D0D" w:themeColor="text1" w:themeTint="F2"/>
          <w14:textFill>
            <w14:solidFill>
              <w14:schemeClr w14:val="tx1">
                <w14:lumMod w14:val="95000"/>
                <w14:lumOff w14:val="5000"/>
              </w14:schemeClr>
            </w14:solidFill>
          </w14:textFill>
        </w:rPr>
        <w:t>、碱液喷淋排水和地面清洗废水等。</w:t>
      </w:r>
    </w:p>
    <w:p w14:paraId="0C54CE7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（1）生活污水</w:t>
      </w:r>
    </w:p>
    <w:p w14:paraId="2CB2F709">
      <w:pPr>
        <w:adjustRightInd w:val="0"/>
        <w:snapToGrid w:val="0"/>
        <w:ind w:firstLine="480" w:firstLineChars="200"/>
        <w:rPr>
          <w:bCs/>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根据上文分析，生活污水产生量为</w:t>
      </w:r>
      <w:r>
        <w:rPr>
          <w:color w:val="0D0D0D" w:themeColor="text1" w:themeTint="F2"/>
          <w14:textFill>
            <w14:solidFill>
              <w14:schemeClr w14:val="tx1">
                <w14:lumMod w14:val="95000"/>
                <w14:lumOff w14:val="5000"/>
              </w14:schemeClr>
            </w14:solidFill>
          </w14:textFill>
        </w:rPr>
        <w:t>7.2m</w:t>
      </w:r>
      <w:r>
        <w:rPr>
          <w:color w:val="0D0D0D" w:themeColor="text1" w:themeTint="F2"/>
          <w:vertAlign w:val="superscript"/>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/d，2160m</w:t>
      </w:r>
      <w:r>
        <w:rPr>
          <w:color w:val="0D0D0D" w:themeColor="text1" w:themeTint="F2"/>
          <w:vertAlign w:val="superscript"/>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/a</w:t>
      </w:r>
      <w:r>
        <w:rPr>
          <w:rFonts w:hint="eastAsia"/>
          <w:color w:val="0D0D0D" w:themeColor="text1" w:themeTint="F2"/>
          <w14:textFill>
            <w14:solidFill>
              <w14:schemeClr w14:val="tx1">
                <w14:lumMod w14:val="95000"/>
                <w14:lumOff w14:val="5000"/>
              </w14:schemeClr>
            </w14:solidFill>
          </w14:textFill>
        </w:rPr>
        <w:t>，</w:t>
      </w:r>
      <w:r>
        <w:rPr>
          <w:bCs/>
          <w:color w:val="0D0D0D" w:themeColor="text1" w:themeTint="F2"/>
          <w14:textFill>
            <w14:solidFill>
              <w14:schemeClr w14:val="tx1">
                <w14:lumMod w14:val="95000"/>
                <w14:lumOff w14:val="5000"/>
              </w14:schemeClr>
            </w14:solidFill>
          </w14:textFill>
        </w:rPr>
        <w:t>主要污染物为COD、BOD</w:t>
      </w:r>
      <w:r>
        <w:rPr>
          <w:bCs/>
          <w:color w:val="0D0D0D" w:themeColor="text1" w:themeTint="F2"/>
          <w:vertAlign w:val="subscript"/>
          <w14:textFill>
            <w14:solidFill>
              <w14:schemeClr w14:val="tx1">
                <w14:lumMod w14:val="95000"/>
                <w14:lumOff w14:val="5000"/>
              </w14:schemeClr>
            </w14:solidFill>
          </w14:textFill>
        </w:rPr>
        <w:t>5</w:t>
      </w:r>
      <w:r>
        <w:rPr>
          <w:rFonts w:hint="eastAsia"/>
          <w:bCs/>
          <w:color w:val="0D0D0D" w:themeColor="text1" w:themeTint="F2"/>
          <w14:textFill>
            <w14:solidFill>
              <w14:schemeClr w14:val="tx1">
                <w14:lumMod w14:val="95000"/>
                <w14:lumOff w14:val="5000"/>
              </w14:schemeClr>
            </w14:solidFill>
          </w14:textFill>
        </w:rPr>
        <w:t>、S</w:t>
      </w:r>
      <w:r>
        <w:rPr>
          <w:bCs/>
          <w:color w:val="0D0D0D" w:themeColor="text1" w:themeTint="F2"/>
          <w14:textFill>
            <w14:solidFill>
              <w14:schemeClr w14:val="tx1">
                <w14:lumMod w14:val="95000"/>
                <w14:lumOff w14:val="5000"/>
              </w14:schemeClr>
            </w14:solidFill>
          </w14:textFill>
        </w:rPr>
        <w:t>S</w:t>
      </w:r>
      <w:r>
        <w:rPr>
          <w:rFonts w:hint="eastAsia"/>
          <w:bCs/>
          <w:color w:val="0D0D0D" w:themeColor="text1" w:themeTint="F2"/>
          <w14:textFill>
            <w14:solidFill>
              <w14:schemeClr w14:val="tx1">
                <w14:lumMod w14:val="95000"/>
                <w14:lumOff w14:val="5000"/>
              </w14:schemeClr>
            </w14:solidFill>
          </w14:textFill>
        </w:rPr>
        <w:t>、</w:t>
      </w:r>
      <w:r>
        <w:rPr>
          <w:rFonts w:hint="eastAsia"/>
          <w:color w:val="0D0D0D" w:themeColor="text1" w:themeTint="F2"/>
          <w14:textFill>
            <w14:solidFill>
              <w14:schemeClr w14:val="tx1">
                <w14:lumMod w14:val="95000"/>
                <w14:lumOff w14:val="5000"/>
              </w14:schemeClr>
            </w14:solidFill>
          </w14:textFill>
        </w:rPr>
        <w:t>NH</w:t>
      </w:r>
      <w:r>
        <w:rPr>
          <w:rFonts w:hint="eastAsia"/>
          <w:color w:val="0D0D0D" w:themeColor="text1" w:themeTint="F2"/>
          <w:vertAlign w:val="sub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-N和动植物油等</w:t>
      </w:r>
      <w:r>
        <w:rPr>
          <w:bCs/>
          <w:color w:val="0D0D0D" w:themeColor="text1" w:themeTint="F2"/>
          <w14:textFill>
            <w14:solidFill>
              <w14:schemeClr w14:val="tx1">
                <w14:lumMod w14:val="95000"/>
                <w14:lumOff w14:val="5000"/>
              </w14:schemeClr>
            </w14:solidFill>
          </w14:textFill>
        </w:rPr>
        <w:t>，</w:t>
      </w:r>
      <w:r>
        <w:rPr>
          <w:rFonts w:hint="eastAsia"/>
          <w:bCs/>
          <w:color w:val="0D0D0D" w:themeColor="text1" w:themeTint="F2"/>
          <w14:textFill>
            <w14:solidFill>
              <w14:schemeClr w14:val="tx1">
                <w14:lumMod w14:val="95000"/>
                <w14:lumOff w14:val="5000"/>
              </w14:schemeClr>
            </w14:solidFill>
          </w14:textFill>
        </w:rPr>
        <w:t>经三级化粪池处理后排入园区市政污水管网，由钦州胜科水务有限公司污水处理厂进一步处理，不外排。</w:t>
      </w:r>
    </w:p>
    <w:p w14:paraId="68BBDB13">
      <w:pPr>
        <w:adjustRightInd w:val="0"/>
        <w:snapToGrid w:val="0"/>
        <w:ind w:firstLine="480" w:firstLineChars="200"/>
        <w:rPr>
          <w:bCs/>
          <w:color w:val="0D0D0D" w:themeColor="text1" w:themeTint="F2"/>
          <w14:textFill>
            <w14:solidFill>
              <w14:schemeClr w14:val="tx1">
                <w14:lumMod w14:val="95000"/>
                <w14:lumOff w14:val="5000"/>
              </w14:schemeClr>
            </w14:solidFill>
          </w14:textFill>
        </w:rPr>
      </w:pPr>
      <w:r>
        <w:rPr>
          <w:rFonts w:hint="eastAsia"/>
          <w:bCs/>
          <w:color w:val="0D0D0D" w:themeColor="text1" w:themeTint="F2"/>
          <w14:textFill>
            <w14:solidFill>
              <w14:schemeClr w14:val="tx1">
                <w14:lumMod w14:val="95000"/>
                <w14:lumOff w14:val="5000"/>
              </w14:schemeClr>
            </w14:solidFill>
          </w14:textFill>
        </w:rPr>
        <w:t>生</w:t>
      </w:r>
      <w:r>
        <w:rPr>
          <w:bCs/>
          <w:color w:val="0D0D0D" w:themeColor="text1" w:themeTint="F2"/>
          <w14:textFill>
            <w14:solidFill>
              <w14:schemeClr w14:val="tx1">
                <w14:lumMod w14:val="95000"/>
                <w14:lumOff w14:val="5000"/>
              </w14:schemeClr>
            </w14:solidFill>
          </w14:textFill>
        </w:rPr>
        <w:t>活污水污染物</w:t>
      </w:r>
      <w:r>
        <w:rPr>
          <w:rFonts w:hint="eastAsia"/>
          <w:bCs/>
          <w:color w:val="0D0D0D" w:themeColor="text1" w:themeTint="F2"/>
          <w14:textFill>
            <w14:solidFill>
              <w14:schemeClr w14:val="tx1">
                <w14:lumMod w14:val="95000"/>
                <w14:lumOff w14:val="5000"/>
              </w14:schemeClr>
            </w14:solidFill>
          </w14:textFill>
        </w:rPr>
        <w:t>产生</w:t>
      </w:r>
      <w:r>
        <w:rPr>
          <w:bCs/>
          <w:color w:val="0D0D0D" w:themeColor="text1" w:themeTint="F2"/>
          <w14:textFill>
            <w14:solidFill>
              <w14:schemeClr w14:val="tx1">
                <w14:lumMod w14:val="95000"/>
                <w14:lumOff w14:val="5000"/>
              </w14:schemeClr>
            </w14:solidFill>
          </w14:textFill>
        </w:rPr>
        <w:t>浓度参照《环境影响评价工程师职业资格登记培训教材</w:t>
      </w:r>
      <w:r>
        <w:rPr>
          <w:rFonts w:hint="eastAsia"/>
          <w:bCs/>
          <w:color w:val="0D0D0D" w:themeColor="text1" w:themeTint="F2"/>
          <w14:textFill>
            <w14:solidFill>
              <w14:schemeClr w14:val="tx1">
                <w14:lumMod w14:val="95000"/>
                <w14:lumOff w14:val="5000"/>
              </w14:schemeClr>
            </w14:solidFill>
          </w14:textFill>
        </w:rPr>
        <w:t>-</w:t>
      </w:r>
      <w:r>
        <w:rPr>
          <w:bCs/>
          <w:color w:val="0D0D0D" w:themeColor="text1" w:themeTint="F2"/>
          <w14:textFill>
            <w14:solidFill>
              <w14:schemeClr w14:val="tx1">
                <w14:lumMod w14:val="95000"/>
                <w14:lumOff w14:val="5000"/>
              </w14:schemeClr>
            </w14:solidFill>
          </w14:textFill>
        </w:rPr>
        <w:t>社会区域类环境影响评价（2007版）》</w:t>
      </w:r>
      <w:r>
        <w:rPr>
          <w:rFonts w:hint="eastAsia"/>
          <w:bCs/>
          <w:color w:val="0D0D0D" w:themeColor="text1" w:themeTint="F2"/>
          <w14:textFill>
            <w14:solidFill>
              <w14:schemeClr w14:val="tx1">
                <w14:lumMod w14:val="95000"/>
                <w14:lumOff w14:val="5000"/>
              </w14:schemeClr>
            </w14:solidFill>
          </w14:textFill>
        </w:rPr>
        <w:t>进行核算，根据《</w:t>
      </w:r>
      <w:r>
        <w:rPr>
          <w:bCs/>
          <w:color w:val="0D0D0D" w:themeColor="text1" w:themeTint="F2"/>
          <w14:textFill>
            <w14:solidFill>
              <w14:schemeClr w14:val="tx1">
                <w14:lumMod w14:val="95000"/>
                <w14:lumOff w14:val="5000"/>
              </w14:schemeClr>
            </w14:solidFill>
          </w14:textFill>
        </w:rPr>
        <w:t>村镇生活污染防治最佳可行技术指南（试行）</w:t>
      </w:r>
      <w:r>
        <w:rPr>
          <w:rFonts w:hint="eastAsia"/>
          <w:bCs/>
          <w:color w:val="0D0D0D" w:themeColor="text1" w:themeTint="F2"/>
          <w14:textFill>
            <w14:solidFill>
              <w14:schemeClr w14:val="tx1">
                <w14:lumMod w14:val="95000"/>
                <w14:lumOff w14:val="5000"/>
              </w14:schemeClr>
            </w14:solidFill>
          </w14:textFill>
        </w:rPr>
        <w:t>》（</w:t>
      </w:r>
      <w:r>
        <w:rPr>
          <w:bCs/>
          <w:color w:val="0D0D0D" w:themeColor="text1" w:themeTint="F2"/>
          <w14:textFill>
            <w14:solidFill>
              <w14:schemeClr w14:val="tx1">
                <w14:lumMod w14:val="95000"/>
                <w14:lumOff w14:val="5000"/>
              </w14:schemeClr>
            </w14:solidFill>
          </w14:textFill>
        </w:rPr>
        <w:t>HJ-BAT-9</w:t>
      </w:r>
      <w:r>
        <w:rPr>
          <w:rFonts w:hint="eastAsia"/>
          <w:bCs/>
          <w:color w:val="0D0D0D" w:themeColor="text1" w:themeTint="F2"/>
          <w14:textFill>
            <w14:solidFill>
              <w14:schemeClr w14:val="tx1">
                <w14:lumMod w14:val="95000"/>
                <w14:lumOff w14:val="5000"/>
              </w14:schemeClr>
            </w14:solidFill>
          </w14:textFill>
        </w:rPr>
        <w:t>）4</w:t>
      </w:r>
      <w:r>
        <w:rPr>
          <w:bCs/>
          <w:color w:val="0D0D0D" w:themeColor="text1" w:themeTint="F2"/>
          <w14:textFill>
            <w14:solidFill>
              <w14:schemeClr w14:val="tx1">
                <w14:lumMod w14:val="95000"/>
                <w14:lumOff w14:val="5000"/>
              </w14:schemeClr>
            </w14:solidFill>
          </w14:textFill>
        </w:rPr>
        <w:t>.1.3</w:t>
      </w:r>
      <w:r>
        <w:rPr>
          <w:rFonts w:hint="eastAsia"/>
          <w:bCs/>
          <w:color w:val="0D0D0D" w:themeColor="text1" w:themeTint="F2"/>
          <w14:textFill>
            <w14:solidFill>
              <w14:schemeClr w14:val="tx1">
                <w14:lumMod w14:val="95000"/>
                <w14:lumOff w14:val="5000"/>
              </w14:schemeClr>
            </w14:solidFill>
          </w14:textFill>
        </w:rPr>
        <w:t>及类比分析，三级</w:t>
      </w:r>
      <w:r>
        <w:rPr>
          <w:bCs/>
          <w:color w:val="0D0D0D" w:themeColor="text1" w:themeTint="F2"/>
          <w14:textFill>
            <w14:solidFill>
              <w14:schemeClr w14:val="tx1">
                <w14:lumMod w14:val="95000"/>
                <w14:lumOff w14:val="5000"/>
              </w14:schemeClr>
            </w14:solidFill>
          </w14:textFill>
        </w:rPr>
        <w:t>化粪池对污染物的去除效率</w:t>
      </w:r>
      <w:r>
        <w:rPr>
          <w:rFonts w:hint="eastAsia"/>
          <w:bCs/>
          <w:color w:val="0D0D0D" w:themeColor="text1" w:themeTint="F2"/>
          <w14:textFill>
            <w14:solidFill>
              <w14:schemeClr w14:val="tx1">
                <w14:lumMod w14:val="95000"/>
                <w14:lumOff w14:val="5000"/>
              </w14:schemeClr>
            </w14:solidFill>
          </w14:textFill>
        </w:rPr>
        <w:t>为</w:t>
      </w:r>
      <w:r>
        <w:rPr>
          <w:bCs/>
          <w:color w:val="0D0D0D" w:themeColor="text1" w:themeTint="F2"/>
          <w14:textFill>
            <w14:solidFill>
              <w14:schemeClr w14:val="tx1">
                <w14:lumMod w14:val="95000"/>
                <w14:lumOff w14:val="5000"/>
              </w14:schemeClr>
            </w14:solidFill>
          </w14:textFill>
        </w:rPr>
        <w:t>COD40%，</w:t>
      </w:r>
      <w:r>
        <w:rPr>
          <w:rFonts w:hint="eastAsia"/>
          <w:bCs/>
          <w:color w:val="0D0D0D" w:themeColor="text1" w:themeTint="F2"/>
          <w14:textFill>
            <w14:solidFill>
              <w14:schemeClr w14:val="tx1">
                <w14:lumMod w14:val="95000"/>
                <w14:lumOff w14:val="5000"/>
              </w14:schemeClr>
            </w14:solidFill>
          </w14:textFill>
        </w:rPr>
        <w:t>B</w:t>
      </w:r>
      <w:r>
        <w:rPr>
          <w:bCs/>
          <w:color w:val="0D0D0D" w:themeColor="text1" w:themeTint="F2"/>
          <w14:textFill>
            <w14:solidFill>
              <w14:schemeClr w14:val="tx1">
                <w14:lumMod w14:val="95000"/>
                <w14:lumOff w14:val="5000"/>
              </w14:schemeClr>
            </w14:solidFill>
          </w14:textFill>
        </w:rPr>
        <w:t>OD</w:t>
      </w:r>
      <w:r>
        <w:rPr>
          <w:bCs/>
          <w:color w:val="0D0D0D" w:themeColor="text1" w:themeTint="F2"/>
          <w:vertAlign w:val="subscript"/>
          <w14:textFill>
            <w14:solidFill>
              <w14:schemeClr w14:val="tx1">
                <w14:lumMod w14:val="95000"/>
                <w14:lumOff w14:val="5000"/>
              </w14:schemeClr>
            </w14:solidFill>
          </w14:textFill>
        </w:rPr>
        <w:t>5</w:t>
      </w:r>
      <w:r>
        <w:rPr>
          <w:bCs/>
          <w:color w:val="0D0D0D" w:themeColor="text1" w:themeTint="F2"/>
          <w14:textFill>
            <w14:solidFill>
              <w14:schemeClr w14:val="tx1">
                <w14:lumMod w14:val="95000"/>
                <w14:lumOff w14:val="5000"/>
              </w14:schemeClr>
            </w14:solidFill>
          </w14:textFill>
        </w:rPr>
        <w:t>30%</w:t>
      </w:r>
      <w:r>
        <w:rPr>
          <w:rFonts w:hint="eastAsia"/>
          <w:bCs/>
          <w:color w:val="0D0D0D" w:themeColor="text1" w:themeTint="F2"/>
          <w14:textFill>
            <w14:solidFill>
              <w14:schemeClr w14:val="tx1">
                <w14:lumMod w14:val="95000"/>
                <w14:lumOff w14:val="5000"/>
              </w14:schemeClr>
            </w14:solidFill>
          </w14:textFill>
        </w:rPr>
        <w:t>，</w:t>
      </w:r>
      <w:r>
        <w:rPr>
          <w:bCs/>
          <w:color w:val="0D0D0D" w:themeColor="text1" w:themeTint="F2"/>
          <w14:textFill>
            <w14:solidFill>
              <w14:schemeClr w14:val="tx1">
                <w14:lumMod w14:val="95000"/>
                <w14:lumOff w14:val="5000"/>
              </w14:schemeClr>
            </w14:solidFill>
          </w14:textFill>
        </w:rPr>
        <w:t>SS60%，</w:t>
      </w:r>
      <w:r>
        <w:rPr>
          <w:rFonts w:hint="eastAsia"/>
          <w:bCs/>
          <w:color w:val="0D0D0D" w:themeColor="text1" w:themeTint="F2"/>
          <w14:textFill>
            <w14:solidFill>
              <w14:schemeClr w14:val="tx1">
                <w14:lumMod w14:val="95000"/>
                <w14:lumOff w14:val="5000"/>
              </w14:schemeClr>
            </w14:solidFill>
          </w14:textFill>
        </w:rPr>
        <w:t>氨氮</w:t>
      </w:r>
      <w:r>
        <w:rPr>
          <w:bCs/>
          <w:color w:val="0D0D0D" w:themeColor="text1" w:themeTint="F2"/>
          <w14:textFill>
            <w14:solidFill>
              <w14:schemeClr w14:val="tx1">
                <w14:lumMod w14:val="95000"/>
                <w14:lumOff w14:val="5000"/>
              </w14:schemeClr>
            </w14:solidFill>
          </w14:textFill>
        </w:rPr>
        <w:t>0%。</w:t>
      </w:r>
    </w:p>
    <w:p w14:paraId="7D272C73">
      <w:pPr>
        <w:adjustRightInd w:val="0"/>
        <w:snapToGrid w:val="0"/>
        <w:ind w:firstLine="480" w:firstLineChars="200"/>
        <w:rPr>
          <w:bCs/>
          <w:color w:val="0D0D0D" w:themeColor="text1" w:themeTint="F2"/>
          <w14:textFill>
            <w14:solidFill>
              <w14:schemeClr w14:val="tx1">
                <w14:lumMod w14:val="95000"/>
                <w14:lumOff w14:val="5000"/>
              </w14:schemeClr>
            </w14:solidFill>
          </w14:textFill>
        </w:rPr>
      </w:pPr>
      <w:r>
        <w:rPr>
          <w:rFonts w:hint="eastAsia"/>
          <w:bCs/>
          <w:color w:val="0D0D0D" w:themeColor="text1" w:themeTint="F2"/>
          <w14:textFill>
            <w14:solidFill>
              <w14:schemeClr w14:val="tx1">
                <w14:lumMod w14:val="95000"/>
                <w14:lumOff w14:val="5000"/>
              </w14:schemeClr>
            </w14:solidFill>
          </w14:textFill>
        </w:rPr>
        <w:t>生活污水污染物源强核算详见表3.3</w:t>
      </w:r>
      <w:r>
        <w:rPr>
          <w:bCs/>
          <w:color w:val="0D0D0D" w:themeColor="text1" w:themeTint="F2"/>
          <w14:textFill>
            <w14:solidFill>
              <w14:schemeClr w14:val="tx1">
                <w14:lumMod w14:val="95000"/>
                <w14:lumOff w14:val="5000"/>
              </w14:schemeClr>
            </w14:solidFill>
          </w14:textFill>
        </w:rPr>
        <w:t>-</w:t>
      </w:r>
      <w:r>
        <w:rPr>
          <w:rFonts w:hint="eastAsia"/>
          <w:bCs/>
          <w:color w:val="0D0D0D" w:themeColor="text1" w:themeTint="F2"/>
          <w14:textFill>
            <w14:solidFill>
              <w14:schemeClr w14:val="tx1">
                <w14:lumMod w14:val="95000"/>
                <w14:lumOff w14:val="5000"/>
              </w14:schemeClr>
            </w14:solidFill>
          </w14:textFill>
        </w:rPr>
        <w:t>19。</w:t>
      </w:r>
    </w:p>
    <w:p w14:paraId="62E142EB">
      <w:pPr>
        <w:pStyle w:val="11"/>
      </w:pPr>
      <w:r>
        <w:rPr>
          <w:rFonts w:hint="eastAsia"/>
        </w:rPr>
        <w:t xml:space="preserve"> 生活污水污染物源强核算一览表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8"/>
        <w:gridCol w:w="2745"/>
        <w:gridCol w:w="980"/>
        <w:gridCol w:w="1037"/>
        <w:gridCol w:w="980"/>
        <w:gridCol w:w="1152"/>
      </w:tblGrid>
      <w:tr w14:paraId="47A02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pct"/>
            <w:vMerge w:val="restart"/>
            <w:vAlign w:val="center"/>
          </w:tcPr>
          <w:p w14:paraId="76D1170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废水量（</w:t>
            </w:r>
            <w:r>
              <w:rPr>
                <w:bCs/>
                <w:color w:val="0D0D0D" w:themeColor="text1" w:themeTint="F2"/>
                <w:sz w:val="21"/>
                <w:szCs w:val="21"/>
                <w14:textFill>
                  <w14:solidFill>
                    <w14:schemeClr w14:val="tx1">
                      <w14:lumMod w14:val="95000"/>
                      <w14:lumOff w14:val="5000"/>
                    </w14:schemeClr>
                  </w14:solidFill>
                </w14:textFill>
              </w:rPr>
              <w:t>m</w:t>
            </w:r>
            <w:r>
              <w:rPr>
                <w:bCs/>
                <w:color w:val="0D0D0D" w:themeColor="text1" w:themeTint="F2"/>
                <w:sz w:val="21"/>
                <w:szCs w:val="21"/>
                <w:vertAlign w:val="superscript"/>
                <w14:textFill>
                  <w14:solidFill>
                    <w14:schemeClr w14:val="tx1">
                      <w14:lumMod w14:val="95000"/>
                      <w14:lumOff w14:val="5000"/>
                    </w14:schemeClr>
                  </w14:solidFill>
                </w14:textFill>
              </w:rPr>
              <w:t>3</w:t>
            </w:r>
            <w:r>
              <w:rPr>
                <w:bCs/>
                <w:color w:val="0D0D0D" w:themeColor="text1" w:themeTint="F2"/>
                <w:sz w:val="21"/>
                <w:szCs w:val="21"/>
                <w14:textFill>
                  <w14:solidFill>
                    <w14:schemeClr w14:val="tx1">
                      <w14:lumMod w14:val="95000"/>
                      <w14:lumOff w14:val="5000"/>
                    </w14:schemeClr>
                  </w14:solidFill>
                </w14:textFill>
              </w:rPr>
              <w:t>/a</w:t>
            </w:r>
            <w:r>
              <w:rPr>
                <w:rFonts w:hint="eastAsia"/>
                <w:color w:val="0D0D0D" w:themeColor="text1" w:themeTint="F2"/>
                <w:sz w:val="21"/>
                <w:szCs w:val="21"/>
                <w14:textFill>
                  <w14:solidFill>
                    <w14:schemeClr w14:val="tx1">
                      <w14:lumMod w14:val="95000"/>
                      <w14:lumOff w14:val="5000"/>
                    </w14:schemeClr>
                  </w14:solidFill>
                </w14:textFill>
              </w:rPr>
              <w:t>）</w:t>
            </w:r>
          </w:p>
        </w:tc>
        <w:tc>
          <w:tcPr>
            <w:tcW w:w="1485" w:type="pct"/>
            <w:vMerge w:val="restart"/>
            <w:vAlign w:val="center"/>
          </w:tcPr>
          <w:p w14:paraId="4E6E13D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项目</w:t>
            </w:r>
          </w:p>
        </w:tc>
        <w:tc>
          <w:tcPr>
            <w:tcW w:w="2245" w:type="pct"/>
            <w:gridSpan w:val="4"/>
            <w:vAlign w:val="center"/>
          </w:tcPr>
          <w:p w14:paraId="6FFC92F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污染物</w:t>
            </w:r>
          </w:p>
        </w:tc>
      </w:tr>
      <w:tr w14:paraId="6FEF9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pct"/>
            <w:vMerge w:val="continue"/>
            <w:vAlign w:val="center"/>
          </w:tcPr>
          <w:p w14:paraId="65861C3C">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485" w:type="pct"/>
            <w:vMerge w:val="continue"/>
            <w:vAlign w:val="center"/>
          </w:tcPr>
          <w:p w14:paraId="64F608F4">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530" w:type="pct"/>
            <w:vAlign w:val="center"/>
          </w:tcPr>
          <w:p w14:paraId="4DC26CB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COD</w:t>
            </w:r>
          </w:p>
        </w:tc>
        <w:tc>
          <w:tcPr>
            <w:tcW w:w="561" w:type="pct"/>
            <w:vAlign w:val="center"/>
          </w:tcPr>
          <w:p w14:paraId="36D11D18">
            <w:pPr>
              <w:spacing w:line="240" w:lineRule="auto"/>
              <w:jc w:val="center"/>
              <w:rPr>
                <w:color w:val="0D0D0D" w:themeColor="text1" w:themeTint="F2"/>
                <w:sz w:val="21"/>
                <w:szCs w:val="21"/>
                <w:vertAlign w:val="subscript"/>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BOD</w:t>
            </w:r>
            <w:r>
              <w:rPr>
                <w:rFonts w:hint="eastAsia"/>
                <w:color w:val="0D0D0D" w:themeColor="text1" w:themeTint="F2"/>
                <w:sz w:val="21"/>
                <w:szCs w:val="21"/>
                <w:vertAlign w:val="subscript"/>
                <w14:textFill>
                  <w14:solidFill>
                    <w14:schemeClr w14:val="tx1">
                      <w14:lumMod w14:val="95000"/>
                      <w14:lumOff w14:val="5000"/>
                    </w14:schemeClr>
                  </w14:solidFill>
                </w14:textFill>
              </w:rPr>
              <w:t>5</w:t>
            </w:r>
          </w:p>
        </w:tc>
        <w:tc>
          <w:tcPr>
            <w:tcW w:w="530" w:type="pct"/>
            <w:vAlign w:val="center"/>
          </w:tcPr>
          <w:p w14:paraId="0F55E42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SS</w:t>
            </w:r>
          </w:p>
        </w:tc>
        <w:tc>
          <w:tcPr>
            <w:tcW w:w="624" w:type="pct"/>
            <w:vAlign w:val="center"/>
          </w:tcPr>
          <w:p w14:paraId="6D1F96F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NH</w:t>
            </w:r>
            <w:r>
              <w:rPr>
                <w:rFonts w:hint="eastAsia"/>
                <w:color w:val="0D0D0D" w:themeColor="text1" w:themeTint="F2"/>
                <w:sz w:val="21"/>
                <w:szCs w:val="21"/>
                <w:vertAlign w:val="subscript"/>
                <w14:textFill>
                  <w14:solidFill>
                    <w14:schemeClr w14:val="tx1">
                      <w14:lumMod w14:val="95000"/>
                      <w14:lumOff w14:val="5000"/>
                    </w14:schemeClr>
                  </w14:solidFill>
                </w14:textFill>
              </w:rPr>
              <w:t>3</w:t>
            </w:r>
            <w:r>
              <w:rPr>
                <w:rFonts w:hint="eastAsia"/>
                <w:color w:val="0D0D0D" w:themeColor="text1" w:themeTint="F2"/>
                <w:sz w:val="21"/>
                <w:szCs w:val="21"/>
                <w14:textFill>
                  <w14:solidFill>
                    <w14:schemeClr w14:val="tx1">
                      <w14:lumMod w14:val="95000"/>
                      <w14:lumOff w14:val="5000"/>
                    </w14:schemeClr>
                  </w14:solidFill>
                </w14:textFill>
              </w:rPr>
              <w:t>-N</w:t>
            </w:r>
          </w:p>
        </w:tc>
      </w:tr>
      <w:tr w14:paraId="1975E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pct"/>
            <w:vMerge w:val="restart"/>
            <w:vAlign w:val="center"/>
          </w:tcPr>
          <w:p w14:paraId="553E1E3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2160</w:t>
            </w:r>
          </w:p>
        </w:tc>
        <w:tc>
          <w:tcPr>
            <w:tcW w:w="1485" w:type="pct"/>
            <w:vAlign w:val="center"/>
          </w:tcPr>
          <w:p w14:paraId="4B199C4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产生浓度（mg/L）</w:t>
            </w:r>
          </w:p>
        </w:tc>
        <w:tc>
          <w:tcPr>
            <w:tcW w:w="530" w:type="pct"/>
            <w:vAlign w:val="center"/>
          </w:tcPr>
          <w:p w14:paraId="308C9B5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300</w:t>
            </w:r>
          </w:p>
        </w:tc>
        <w:tc>
          <w:tcPr>
            <w:tcW w:w="561" w:type="pct"/>
            <w:vAlign w:val="center"/>
          </w:tcPr>
          <w:p w14:paraId="1D30531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200</w:t>
            </w:r>
          </w:p>
        </w:tc>
        <w:tc>
          <w:tcPr>
            <w:tcW w:w="530" w:type="pct"/>
            <w:vAlign w:val="center"/>
          </w:tcPr>
          <w:p w14:paraId="61F158B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200</w:t>
            </w:r>
          </w:p>
        </w:tc>
        <w:tc>
          <w:tcPr>
            <w:tcW w:w="624" w:type="pct"/>
            <w:vAlign w:val="center"/>
          </w:tcPr>
          <w:p w14:paraId="02E4AAB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30</w:t>
            </w:r>
          </w:p>
        </w:tc>
      </w:tr>
      <w:tr w14:paraId="1D100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pct"/>
            <w:vMerge w:val="continue"/>
            <w:vAlign w:val="center"/>
          </w:tcPr>
          <w:p w14:paraId="5A2828A7">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485" w:type="pct"/>
            <w:vAlign w:val="center"/>
          </w:tcPr>
          <w:p w14:paraId="51AC6AC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产生量（t/a）</w:t>
            </w:r>
          </w:p>
        </w:tc>
        <w:tc>
          <w:tcPr>
            <w:tcW w:w="530" w:type="pct"/>
            <w:vAlign w:val="center"/>
          </w:tcPr>
          <w:p w14:paraId="5E88510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0.65</w:t>
            </w:r>
          </w:p>
        </w:tc>
        <w:tc>
          <w:tcPr>
            <w:tcW w:w="561" w:type="pct"/>
            <w:vAlign w:val="center"/>
          </w:tcPr>
          <w:p w14:paraId="2E98FDA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0.43</w:t>
            </w:r>
          </w:p>
        </w:tc>
        <w:tc>
          <w:tcPr>
            <w:tcW w:w="530" w:type="pct"/>
            <w:vAlign w:val="center"/>
          </w:tcPr>
          <w:p w14:paraId="3E483C3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0.43</w:t>
            </w:r>
          </w:p>
        </w:tc>
        <w:tc>
          <w:tcPr>
            <w:tcW w:w="624" w:type="pct"/>
            <w:vAlign w:val="center"/>
          </w:tcPr>
          <w:p w14:paraId="743B2BE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0.07</w:t>
            </w:r>
          </w:p>
        </w:tc>
      </w:tr>
      <w:tr w14:paraId="72328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pct"/>
            <w:vMerge w:val="continue"/>
            <w:vAlign w:val="center"/>
          </w:tcPr>
          <w:p w14:paraId="0A8B6194">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485" w:type="pct"/>
            <w:vAlign w:val="center"/>
          </w:tcPr>
          <w:p w14:paraId="202B21C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治理措施</w:t>
            </w:r>
          </w:p>
        </w:tc>
        <w:tc>
          <w:tcPr>
            <w:tcW w:w="2245" w:type="pct"/>
            <w:gridSpan w:val="4"/>
            <w:vAlign w:val="center"/>
          </w:tcPr>
          <w:p w14:paraId="31BB1C1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三级化粪池</w:t>
            </w:r>
          </w:p>
        </w:tc>
      </w:tr>
      <w:tr w14:paraId="240B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pct"/>
            <w:vMerge w:val="continue"/>
            <w:vAlign w:val="center"/>
          </w:tcPr>
          <w:p w14:paraId="16C1FC58">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485" w:type="pct"/>
            <w:vAlign w:val="center"/>
          </w:tcPr>
          <w:p w14:paraId="2AFA7BB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去除率</w:t>
            </w:r>
          </w:p>
        </w:tc>
        <w:tc>
          <w:tcPr>
            <w:tcW w:w="530" w:type="pct"/>
            <w:vAlign w:val="center"/>
          </w:tcPr>
          <w:p w14:paraId="6669A4E0">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40</w:t>
            </w:r>
          </w:p>
        </w:tc>
        <w:tc>
          <w:tcPr>
            <w:tcW w:w="561" w:type="pct"/>
            <w:vAlign w:val="center"/>
          </w:tcPr>
          <w:p w14:paraId="7DE70D72">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30</w:t>
            </w:r>
          </w:p>
        </w:tc>
        <w:tc>
          <w:tcPr>
            <w:tcW w:w="530" w:type="pct"/>
            <w:vAlign w:val="center"/>
          </w:tcPr>
          <w:p w14:paraId="23FBDA15">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60</w:t>
            </w:r>
          </w:p>
        </w:tc>
        <w:tc>
          <w:tcPr>
            <w:tcW w:w="624" w:type="pct"/>
            <w:vAlign w:val="center"/>
          </w:tcPr>
          <w:p w14:paraId="0FEA2149">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0</w:t>
            </w:r>
          </w:p>
        </w:tc>
      </w:tr>
      <w:tr w14:paraId="12F41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pct"/>
            <w:vMerge w:val="continue"/>
            <w:vAlign w:val="center"/>
          </w:tcPr>
          <w:p w14:paraId="7059A3B5">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485" w:type="pct"/>
            <w:vAlign w:val="center"/>
          </w:tcPr>
          <w:p w14:paraId="39EA472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排放浓度（mg/L）</w:t>
            </w:r>
          </w:p>
        </w:tc>
        <w:tc>
          <w:tcPr>
            <w:tcW w:w="530" w:type="pct"/>
            <w:vAlign w:val="center"/>
          </w:tcPr>
          <w:p w14:paraId="6BB841F6">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180</w:t>
            </w:r>
          </w:p>
        </w:tc>
        <w:tc>
          <w:tcPr>
            <w:tcW w:w="561" w:type="pct"/>
            <w:vAlign w:val="center"/>
          </w:tcPr>
          <w:p w14:paraId="16C76D4F">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140</w:t>
            </w:r>
          </w:p>
        </w:tc>
        <w:tc>
          <w:tcPr>
            <w:tcW w:w="530" w:type="pct"/>
            <w:vAlign w:val="center"/>
          </w:tcPr>
          <w:p w14:paraId="7BB93BC0">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80</w:t>
            </w:r>
          </w:p>
        </w:tc>
        <w:tc>
          <w:tcPr>
            <w:tcW w:w="624" w:type="pct"/>
            <w:vAlign w:val="center"/>
          </w:tcPr>
          <w:p w14:paraId="0C361C9B">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30</w:t>
            </w:r>
          </w:p>
        </w:tc>
      </w:tr>
      <w:tr w14:paraId="6419F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pct"/>
            <w:vMerge w:val="continue"/>
            <w:vAlign w:val="center"/>
          </w:tcPr>
          <w:p w14:paraId="382995BB">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485" w:type="pct"/>
            <w:vAlign w:val="center"/>
          </w:tcPr>
          <w:p w14:paraId="2E61E64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排放量（t/a）</w:t>
            </w:r>
          </w:p>
        </w:tc>
        <w:tc>
          <w:tcPr>
            <w:tcW w:w="530" w:type="pct"/>
            <w:vAlign w:val="center"/>
          </w:tcPr>
          <w:p w14:paraId="7CCAEB6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0.086</w:t>
            </w:r>
          </w:p>
        </w:tc>
        <w:tc>
          <w:tcPr>
            <w:tcW w:w="561" w:type="pct"/>
            <w:vAlign w:val="center"/>
          </w:tcPr>
          <w:p w14:paraId="0FB4E90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0.065</w:t>
            </w:r>
          </w:p>
        </w:tc>
        <w:tc>
          <w:tcPr>
            <w:tcW w:w="530" w:type="pct"/>
            <w:vAlign w:val="center"/>
          </w:tcPr>
          <w:p w14:paraId="2A5D07C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0.130</w:t>
            </w:r>
          </w:p>
        </w:tc>
        <w:tc>
          <w:tcPr>
            <w:tcW w:w="624" w:type="pct"/>
            <w:vAlign w:val="center"/>
          </w:tcPr>
          <w:p w14:paraId="4DFFA99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0.07</w:t>
            </w:r>
          </w:p>
        </w:tc>
      </w:tr>
      <w:tr w14:paraId="2E087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pct"/>
            <w:vMerge w:val="continue"/>
            <w:vAlign w:val="center"/>
          </w:tcPr>
          <w:p w14:paraId="537E951B">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485" w:type="pct"/>
            <w:vAlign w:val="center"/>
          </w:tcPr>
          <w:p w14:paraId="3A2B103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外排标准（mg/L）</w:t>
            </w:r>
          </w:p>
        </w:tc>
        <w:tc>
          <w:tcPr>
            <w:tcW w:w="530" w:type="pct"/>
            <w:vAlign w:val="center"/>
          </w:tcPr>
          <w:p w14:paraId="211ACF6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1000</w:t>
            </w:r>
          </w:p>
        </w:tc>
        <w:tc>
          <w:tcPr>
            <w:tcW w:w="561" w:type="pct"/>
            <w:vAlign w:val="center"/>
          </w:tcPr>
          <w:p w14:paraId="1C94453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450</w:t>
            </w:r>
          </w:p>
        </w:tc>
        <w:tc>
          <w:tcPr>
            <w:tcW w:w="530" w:type="pct"/>
            <w:vAlign w:val="center"/>
          </w:tcPr>
          <w:p w14:paraId="7F3026C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250</w:t>
            </w:r>
          </w:p>
        </w:tc>
        <w:tc>
          <w:tcPr>
            <w:tcW w:w="624" w:type="pct"/>
            <w:vAlign w:val="center"/>
          </w:tcPr>
          <w:p w14:paraId="754D357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50</w:t>
            </w:r>
          </w:p>
        </w:tc>
      </w:tr>
      <w:tr w14:paraId="7F5AC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pct"/>
            <w:vMerge w:val="continue"/>
            <w:vAlign w:val="center"/>
          </w:tcPr>
          <w:p w14:paraId="160E822D">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485" w:type="pct"/>
            <w:vAlign w:val="center"/>
          </w:tcPr>
          <w:p w14:paraId="45A4B2F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达标性</w:t>
            </w:r>
          </w:p>
        </w:tc>
        <w:tc>
          <w:tcPr>
            <w:tcW w:w="530" w:type="pct"/>
            <w:vAlign w:val="center"/>
          </w:tcPr>
          <w:p w14:paraId="5A71A30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达标</w:t>
            </w:r>
          </w:p>
        </w:tc>
        <w:tc>
          <w:tcPr>
            <w:tcW w:w="561" w:type="pct"/>
            <w:vAlign w:val="center"/>
          </w:tcPr>
          <w:p w14:paraId="5488882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达标</w:t>
            </w:r>
          </w:p>
        </w:tc>
        <w:tc>
          <w:tcPr>
            <w:tcW w:w="530" w:type="pct"/>
            <w:vAlign w:val="center"/>
          </w:tcPr>
          <w:p w14:paraId="14DC31F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达标</w:t>
            </w:r>
          </w:p>
        </w:tc>
        <w:tc>
          <w:tcPr>
            <w:tcW w:w="624" w:type="pct"/>
            <w:vAlign w:val="center"/>
          </w:tcPr>
          <w:p w14:paraId="5E76670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达标</w:t>
            </w:r>
          </w:p>
        </w:tc>
      </w:tr>
    </w:tbl>
    <w:p w14:paraId="59D58E86">
      <w:pPr>
        <w:adjustRightInd w:val="0"/>
        <w:snapToGrid w:val="0"/>
        <w:ind w:firstLine="440" w:firstLineChars="200"/>
        <w:rPr>
          <w:rFonts w:cs="宋体"/>
          <w:bCs/>
          <w:color w:val="0D0D0D" w:themeColor="text1" w:themeTint="F2"/>
          <w:spacing w:val="-10"/>
          <w14:textFill>
            <w14:solidFill>
              <w14:schemeClr w14:val="tx1">
                <w14:lumMod w14:val="95000"/>
                <w14:lumOff w14:val="5000"/>
              </w14:schemeClr>
            </w14:solidFill>
          </w14:textFill>
        </w:rPr>
      </w:pPr>
      <w:r>
        <w:rPr>
          <w:rFonts w:hint="eastAsia" w:cs="宋体"/>
          <w:bCs/>
          <w:color w:val="0D0D0D" w:themeColor="text1" w:themeTint="F2"/>
          <w:spacing w:val="-10"/>
          <w14:textFill>
            <w14:solidFill>
              <w14:schemeClr w14:val="tx1">
                <w14:lumMod w14:val="95000"/>
                <w14:lumOff w14:val="5000"/>
              </w14:schemeClr>
            </w14:solidFill>
          </w14:textFill>
        </w:rPr>
        <w:t>由上表可知，项目生活污水经三级化粪池处理后，可满足《石油炼制工业污染物排放标准》（GB31570-2015）及其修改单中表1间接排放标准和钦州胜科水务有限公司污水处理厂纳管标准较严值。</w:t>
      </w:r>
    </w:p>
    <w:p w14:paraId="79E9704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（2）综合废水</w:t>
      </w:r>
    </w:p>
    <w:p w14:paraId="14B21249">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综合废水包括生产废水和初期雨水，其中生产废水包括生产线工艺排水、余热锅炉排水、纯水制备系统排水、余热系统排水、循环冷却水系统排水、化验室废水、碱液喷淋排水和地面清洗废水等，主要污染物为pH、COD、BOD</w:t>
      </w:r>
      <w:r>
        <w:rPr>
          <w:rFonts w:hint="eastAsia"/>
          <w:color w:val="0D0D0D" w:themeColor="text1" w:themeTint="F2"/>
          <w:u w:val="single"/>
          <w:vertAlign w:val="subscript"/>
          <w14:textFill>
            <w14:solidFill>
              <w14:schemeClr w14:val="tx1">
                <w14:lumMod w14:val="95000"/>
                <w14:lumOff w14:val="5000"/>
              </w14:schemeClr>
            </w14:solidFill>
          </w14:textFill>
        </w:rPr>
        <w:t>5</w:t>
      </w:r>
      <w:r>
        <w:rPr>
          <w:rFonts w:hint="eastAsia"/>
          <w:color w:val="0D0D0D" w:themeColor="text1" w:themeTint="F2"/>
          <w:u w:val="single"/>
          <w14:textFill>
            <w14:solidFill>
              <w14:schemeClr w14:val="tx1">
                <w14:lumMod w14:val="95000"/>
                <w14:lumOff w14:val="5000"/>
              </w14:schemeClr>
            </w14:solidFill>
          </w14:textFill>
        </w:rPr>
        <w:t>、SS、氨氮、动植物油和盐类。</w:t>
      </w:r>
    </w:p>
    <w:p w14:paraId="72FEFA6C">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根据上文分析，综合废水产生量为38156.44m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/a，127.19m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d，经厂区污水处理站处理达标后排入市政污水管网，输送至钦州胜科水务有限公司污水处理厂进一步处理。污水处理站采取“隔油+气浮+混凝沉淀+调节+UASB厌氧反应器+A/O池+MBR膜生物反应器”处理工艺，设计处理规模为150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/d。</w:t>
      </w:r>
    </w:p>
    <w:p w14:paraId="230FAFC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综合废水源强类比同类型项目《龙岩卓越新能源股份有限公司龙岩卓越生物柴油（非粮）及生物基天然脂肪醇生产项目（不含年产5万吨生物基天然脂肪醇生产线）竣工环境保护验收监测报告》进行核算。类比情况详见表3.3-20。</w:t>
      </w:r>
    </w:p>
    <w:p w14:paraId="50E8CC20">
      <w:pPr>
        <w:pStyle w:val="11"/>
      </w:pPr>
      <w:r>
        <w:rPr>
          <w:rFonts w:hint="eastAsia"/>
        </w:rPr>
        <w:t xml:space="preserve"> 类比情况一览表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3"/>
        <w:gridCol w:w="2733"/>
        <w:gridCol w:w="3346"/>
        <w:gridCol w:w="1279"/>
      </w:tblGrid>
      <w:tr w14:paraId="22C36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Align w:val="center"/>
          </w:tcPr>
          <w:p w14:paraId="52FFFB4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序号</w:t>
            </w:r>
          </w:p>
        </w:tc>
        <w:tc>
          <w:tcPr>
            <w:tcW w:w="629" w:type="pct"/>
            <w:vAlign w:val="center"/>
          </w:tcPr>
          <w:p w14:paraId="4157F05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对比项</w:t>
            </w:r>
          </w:p>
        </w:tc>
        <w:tc>
          <w:tcPr>
            <w:tcW w:w="1478" w:type="pct"/>
            <w:vAlign w:val="center"/>
          </w:tcPr>
          <w:p w14:paraId="65AD1F9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类比项目</w:t>
            </w:r>
          </w:p>
        </w:tc>
        <w:tc>
          <w:tcPr>
            <w:tcW w:w="1810" w:type="pct"/>
            <w:vAlign w:val="center"/>
          </w:tcPr>
          <w:p w14:paraId="3DA29F3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本项目</w:t>
            </w:r>
          </w:p>
        </w:tc>
        <w:tc>
          <w:tcPr>
            <w:tcW w:w="692" w:type="pct"/>
            <w:vAlign w:val="center"/>
          </w:tcPr>
          <w:p w14:paraId="45FDC74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可比性</w:t>
            </w:r>
          </w:p>
        </w:tc>
      </w:tr>
      <w:tr w14:paraId="2A34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Align w:val="center"/>
          </w:tcPr>
          <w:p w14:paraId="3C95F28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w:t>
            </w:r>
          </w:p>
        </w:tc>
        <w:tc>
          <w:tcPr>
            <w:tcW w:w="629" w:type="pct"/>
            <w:vAlign w:val="center"/>
          </w:tcPr>
          <w:p w14:paraId="5F86026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主要原料</w:t>
            </w:r>
          </w:p>
        </w:tc>
        <w:tc>
          <w:tcPr>
            <w:tcW w:w="1478" w:type="pct"/>
            <w:vAlign w:val="center"/>
          </w:tcPr>
          <w:p w14:paraId="33170FB2">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废油脂（地沟油、潲水油、棕榈油等）、甲醇</w:t>
            </w:r>
          </w:p>
        </w:tc>
        <w:tc>
          <w:tcPr>
            <w:tcW w:w="1810" w:type="pct"/>
            <w:vAlign w:val="center"/>
          </w:tcPr>
          <w:p w14:paraId="16C1F72F">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废弃油脂（地沟油、潲水油、棕榈油等）、甲醇</w:t>
            </w:r>
          </w:p>
        </w:tc>
        <w:tc>
          <w:tcPr>
            <w:tcW w:w="692" w:type="pct"/>
            <w:vAlign w:val="center"/>
          </w:tcPr>
          <w:p w14:paraId="2B6CD60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相似</w:t>
            </w:r>
          </w:p>
        </w:tc>
      </w:tr>
      <w:tr w14:paraId="03FEF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Align w:val="center"/>
          </w:tcPr>
          <w:p w14:paraId="3B0DDD8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w:t>
            </w:r>
          </w:p>
        </w:tc>
        <w:tc>
          <w:tcPr>
            <w:tcW w:w="629" w:type="pct"/>
            <w:vAlign w:val="center"/>
          </w:tcPr>
          <w:p w14:paraId="1DF92CD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产品方案及规模</w:t>
            </w:r>
          </w:p>
        </w:tc>
        <w:tc>
          <w:tcPr>
            <w:tcW w:w="1478" w:type="pct"/>
            <w:vAlign w:val="center"/>
          </w:tcPr>
          <w:p w14:paraId="7B39D39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10万t/a酯基生物柴油</w:t>
            </w:r>
          </w:p>
        </w:tc>
        <w:tc>
          <w:tcPr>
            <w:tcW w:w="1810" w:type="pct"/>
            <w:vAlign w:val="center"/>
          </w:tcPr>
          <w:p w14:paraId="74769354">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30万t/a生物柴油和10万t/a工业级混合油</w:t>
            </w:r>
          </w:p>
        </w:tc>
        <w:tc>
          <w:tcPr>
            <w:tcW w:w="692" w:type="pct"/>
            <w:vAlign w:val="center"/>
          </w:tcPr>
          <w:p w14:paraId="16F58C5E">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项目产能较大，产品种类相似</w:t>
            </w:r>
          </w:p>
        </w:tc>
      </w:tr>
      <w:tr w14:paraId="0154E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Align w:val="center"/>
          </w:tcPr>
          <w:p w14:paraId="6675635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w:t>
            </w:r>
          </w:p>
        </w:tc>
        <w:tc>
          <w:tcPr>
            <w:tcW w:w="629" w:type="pct"/>
            <w:vAlign w:val="center"/>
          </w:tcPr>
          <w:p w14:paraId="406FFC9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生产工艺</w:t>
            </w:r>
          </w:p>
        </w:tc>
        <w:tc>
          <w:tcPr>
            <w:tcW w:w="1478" w:type="pct"/>
            <w:vAlign w:val="center"/>
          </w:tcPr>
          <w:p w14:paraId="2339B806">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废油脂纯化、油脂甲酯化（氢法）、蒸馏精制</w:t>
            </w:r>
          </w:p>
        </w:tc>
        <w:tc>
          <w:tcPr>
            <w:tcW w:w="1810" w:type="pct"/>
            <w:vAlign w:val="center"/>
          </w:tcPr>
          <w:p w14:paraId="78557420">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原料水洗、酯化反应（生物酶法）、蒸馏精制</w:t>
            </w:r>
          </w:p>
        </w:tc>
        <w:tc>
          <w:tcPr>
            <w:tcW w:w="692" w:type="pct"/>
            <w:vAlign w:val="center"/>
          </w:tcPr>
          <w:p w14:paraId="352C8B2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相似</w:t>
            </w:r>
          </w:p>
        </w:tc>
      </w:tr>
      <w:tr w14:paraId="48560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Align w:val="center"/>
          </w:tcPr>
          <w:p w14:paraId="313F784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4</w:t>
            </w:r>
          </w:p>
        </w:tc>
        <w:tc>
          <w:tcPr>
            <w:tcW w:w="629" w:type="pct"/>
            <w:vAlign w:val="center"/>
          </w:tcPr>
          <w:p w14:paraId="6AF4EA7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废水来源</w:t>
            </w:r>
          </w:p>
        </w:tc>
        <w:tc>
          <w:tcPr>
            <w:tcW w:w="1478" w:type="pct"/>
            <w:vAlign w:val="center"/>
          </w:tcPr>
          <w:p w14:paraId="50D2E96C">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生产工艺废水（纯化废水、酯化废水）、锅炉排污水、地面清洗废水、化验室废水、初期雨水、生活污水</w:t>
            </w:r>
          </w:p>
        </w:tc>
        <w:tc>
          <w:tcPr>
            <w:tcW w:w="1810" w:type="pct"/>
            <w:vAlign w:val="center"/>
          </w:tcPr>
          <w:p w14:paraId="4651B9E9">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工艺废水（水洗废水、真空脱水废水、酯化废水、甘油浓缩废水）、锅炉排污水、地面清洗废水、化验室废水、碱液喷淋废水、初期雨水</w:t>
            </w:r>
          </w:p>
        </w:tc>
        <w:tc>
          <w:tcPr>
            <w:tcW w:w="692" w:type="pct"/>
            <w:vAlign w:val="center"/>
          </w:tcPr>
          <w:p w14:paraId="765BC59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基本一致</w:t>
            </w:r>
          </w:p>
        </w:tc>
      </w:tr>
      <w:tr w14:paraId="71ECF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Align w:val="center"/>
          </w:tcPr>
          <w:p w14:paraId="281C9B8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w:t>
            </w:r>
          </w:p>
        </w:tc>
        <w:tc>
          <w:tcPr>
            <w:tcW w:w="629" w:type="pct"/>
            <w:vAlign w:val="center"/>
          </w:tcPr>
          <w:p w14:paraId="6C86FA0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废水处理工艺</w:t>
            </w:r>
          </w:p>
        </w:tc>
        <w:tc>
          <w:tcPr>
            <w:tcW w:w="1478" w:type="pct"/>
            <w:vAlign w:val="center"/>
          </w:tcPr>
          <w:p w14:paraId="1131FD84">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混凝沉淀+二级厌氧+MBR+芬顿反应+曝气生物滤池</w:t>
            </w:r>
          </w:p>
        </w:tc>
        <w:tc>
          <w:tcPr>
            <w:tcW w:w="1810" w:type="pct"/>
            <w:vAlign w:val="center"/>
          </w:tcPr>
          <w:p w14:paraId="45D75BE3">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隔油+气浮+混凝沉淀+调节+UASB厌氧反应器+A/O池+MBR膜生物反应器</w:t>
            </w:r>
          </w:p>
        </w:tc>
        <w:tc>
          <w:tcPr>
            <w:tcW w:w="692" w:type="pct"/>
            <w:vAlign w:val="center"/>
          </w:tcPr>
          <w:p w14:paraId="6119264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不一致</w:t>
            </w:r>
          </w:p>
        </w:tc>
      </w:tr>
    </w:tbl>
    <w:p w14:paraId="57F9CA6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（涉密，公示本已删除），则项目综合废水污染物产排情况详见表3.3-21。</w:t>
      </w:r>
    </w:p>
    <w:p w14:paraId="61355F71">
      <w:pPr>
        <w:widowControl/>
        <w:spacing w:line="240" w:lineRule="auto"/>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14:paraId="091F3B2C">
      <w:pPr>
        <w:pStyle w:val="11"/>
      </w:pPr>
      <w:bookmarkStart w:id="108" w:name="_Hlk195104975"/>
      <w:r>
        <w:rPr>
          <w:rFonts w:hint="eastAsia"/>
        </w:rPr>
        <w:t xml:space="preserve"> 综合废水产排情况一览表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1142"/>
        <w:gridCol w:w="1275"/>
        <w:gridCol w:w="1275"/>
        <w:gridCol w:w="1105"/>
        <w:gridCol w:w="1302"/>
        <w:gridCol w:w="1696"/>
      </w:tblGrid>
      <w:tr w14:paraId="6681B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83" w:type="pct"/>
            <w:vAlign w:val="center"/>
          </w:tcPr>
          <w:p w14:paraId="7ED02B40">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bookmarkStart w:id="109" w:name="_Hlk195104938"/>
          </w:p>
        </w:tc>
        <w:tc>
          <w:tcPr>
            <w:tcW w:w="618" w:type="pct"/>
            <w:vAlign w:val="center"/>
          </w:tcPr>
          <w:p w14:paraId="1318370E">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690" w:type="pct"/>
            <w:vAlign w:val="center"/>
          </w:tcPr>
          <w:p w14:paraId="2304D0DB">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690" w:type="pct"/>
            <w:vAlign w:val="center"/>
          </w:tcPr>
          <w:p w14:paraId="0ACD20F4">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598" w:type="pct"/>
            <w:vAlign w:val="center"/>
          </w:tcPr>
          <w:p w14:paraId="7A75D760">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704" w:type="pct"/>
            <w:vAlign w:val="center"/>
          </w:tcPr>
          <w:p w14:paraId="15D47A8F">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917" w:type="pct"/>
            <w:vAlign w:val="center"/>
          </w:tcPr>
          <w:p w14:paraId="054C9877">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r>
      <w:tr w14:paraId="2945C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pct"/>
            <w:vMerge w:val="restart"/>
            <w:vAlign w:val="center"/>
          </w:tcPr>
          <w:p w14:paraId="1A7D14EC">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618" w:type="pct"/>
            <w:vAlign w:val="center"/>
          </w:tcPr>
          <w:p w14:paraId="2D65F1A9">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690" w:type="pct"/>
            <w:vAlign w:val="center"/>
          </w:tcPr>
          <w:p w14:paraId="3AF4BE81">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690" w:type="pct"/>
            <w:vAlign w:val="center"/>
          </w:tcPr>
          <w:p w14:paraId="5A3D3A19">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598" w:type="pct"/>
            <w:vAlign w:val="center"/>
          </w:tcPr>
          <w:p w14:paraId="79EAA5BF">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704" w:type="pct"/>
            <w:vAlign w:val="center"/>
          </w:tcPr>
          <w:p w14:paraId="39E59A55">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917" w:type="pct"/>
            <w:vAlign w:val="center"/>
          </w:tcPr>
          <w:p w14:paraId="2C1B2ACD">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r>
      <w:tr w14:paraId="3AB9D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pct"/>
            <w:vMerge w:val="continue"/>
            <w:vAlign w:val="center"/>
          </w:tcPr>
          <w:p w14:paraId="75428600">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618" w:type="pct"/>
            <w:vAlign w:val="center"/>
          </w:tcPr>
          <w:p w14:paraId="04EE32F4">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690" w:type="pct"/>
            <w:vAlign w:val="center"/>
          </w:tcPr>
          <w:p w14:paraId="41257A08">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690" w:type="pct"/>
            <w:vAlign w:val="center"/>
          </w:tcPr>
          <w:p w14:paraId="55C75202">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598" w:type="pct"/>
            <w:vAlign w:val="center"/>
          </w:tcPr>
          <w:p w14:paraId="5AA1ED0B">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704" w:type="pct"/>
            <w:vAlign w:val="center"/>
          </w:tcPr>
          <w:p w14:paraId="110FA26E">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917" w:type="pct"/>
            <w:vAlign w:val="center"/>
          </w:tcPr>
          <w:p w14:paraId="016C81BD">
            <w:pPr>
              <w:adjustRightInd w:val="0"/>
              <w:snapToGri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74BCA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pct"/>
            <w:vMerge w:val="continue"/>
            <w:vAlign w:val="center"/>
          </w:tcPr>
          <w:p w14:paraId="079F0F27">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618" w:type="pct"/>
            <w:vAlign w:val="center"/>
          </w:tcPr>
          <w:p w14:paraId="7C14F460">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3599" w:type="pct"/>
            <w:gridSpan w:val="5"/>
            <w:vAlign w:val="center"/>
          </w:tcPr>
          <w:p w14:paraId="4AF00355">
            <w:pPr>
              <w:adjustRightInd w:val="0"/>
              <w:snapToGri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332F3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pct"/>
            <w:vMerge w:val="continue"/>
            <w:vAlign w:val="center"/>
          </w:tcPr>
          <w:p w14:paraId="03B210EB">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618" w:type="pct"/>
            <w:vAlign w:val="center"/>
          </w:tcPr>
          <w:p w14:paraId="658561C7">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690" w:type="pct"/>
            <w:vAlign w:val="center"/>
          </w:tcPr>
          <w:p w14:paraId="4904F891">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690" w:type="pct"/>
            <w:vAlign w:val="center"/>
          </w:tcPr>
          <w:p w14:paraId="5EC0B461">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598" w:type="pct"/>
            <w:vAlign w:val="center"/>
          </w:tcPr>
          <w:p w14:paraId="21D4E80C">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704" w:type="pct"/>
            <w:vAlign w:val="center"/>
          </w:tcPr>
          <w:p w14:paraId="7FD6E308">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917" w:type="pct"/>
            <w:vAlign w:val="center"/>
          </w:tcPr>
          <w:p w14:paraId="0C18EC55">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r>
      <w:tr w14:paraId="79582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pct"/>
            <w:vMerge w:val="continue"/>
            <w:vAlign w:val="center"/>
          </w:tcPr>
          <w:p w14:paraId="35FE9720">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618" w:type="pct"/>
            <w:vAlign w:val="center"/>
          </w:tcPr>
          <w:p w14:paraId="10C73987">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690" w:type="pct"/>
            <w:vAlign w:val="center"/>
          </w:tcPr>
          <w:p w14:paraId="45F6B50E">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690" w:type="pct"/>
            <w:vAlign w:val="center"/>
          </w:tcPr>
          <w:p w14:paraId="248CAFBB">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598" w:type="pct"/>
            <w:vAlign w:val="center"/>
          </w:tcPr>
          <w:p w14:paraId="443E6403">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704" w:type="pct"/>
            <w:vAlign w:val="center"/>
          </w:tcPr>
          <w:p w14:paraId="288FA115">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917" w:type="pct"/>
            <w:vAlign w:val="center"/>
          </w:tcPr>
          <w:p w14:paraId="2977F0A8">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r>
      <w:tr w14:paraId="35249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pct"/>
            <w:vMerge w:val="continue"/>
            <w:vAlign w:val="center"/>
          </w:tcPr>
          <w:p w14:paraId="45133F27">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618" w:type="pct"/>
            <w:vAlign w:val="center"/>
          </w:tcPr>
          <w:p w14:paraId="2B812CC7">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690" w:type="pct"/>
            <w:vAlign w:val="center"/>
          </w:tcPr>
          <w:p w14:paraId="159F95B4">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690" w:type="pct"/>
            <w:vAlign w:val="center"/>
          </w:tcPr>
          <w:p w14:paraId="263ED1D7">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598" w:type="pct"/>
            <w:vAlign w:val="center"/>
          </w:tcPr>
          <w:p w14:paraId="5304E877">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704" w:type="pct"/>
            <w:vAlign w:val="center"/>
          </w:tcPr>
          <w:p w14:paraId="7E570261">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917" w:type="pct"/>
            <w:vAlign w:val="center"/>
          </w:tcPr>
          <w:p w14:paraId="2CC24D84">
            <w:pPr>
              <w:adjustRightInd w:val="0"/>
              <w:snapToGri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7A252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pct"/>
            <w:vMerge w:val="continue"/>
            <w:vAlign w:val="center"/>
          </w:tcPr>
          <w:p w14:paraId="5772F981">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618" w:type="pct"/>
            <w:vAlign w:val="center"/>
          </w:tcPr>
          <w:p w14:paraId="10E369C1">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690" w:type="pct"/>
            <w:vAlign w:val="center"/>
          </w:tcPr>
          <w:p w14:paraId="7F5CBCCB">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690" w:type="pct"/>
            <w:vAlign w:val="center"/>
          </w:tcPr>
          <w:p w14:paraId="23C3B3FB">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598" w:type="pct"/>
            <w:vAlign w:val="center"/>
          </w:tcPr>
          <w:p w14:paraId="25DC5DF5">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704" w:type="pct"/>
            <w:vAlign w:val="center"/>
          </w:tcPr>
          <w:p w14:paraId="120D3535">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917" w:type="pct"/>
            <w:vAlign w:val="center"/>
          </w:tcPr>
          <w:p w14:paraId="7EE389AA">
            <w:pPr>
              <w:adjustRightInd w:val="0"/>
              <w:snapToGri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321DE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pct"/>
            <w:vMerge w:val="continue"/>
            <w:vAlign w:val="center"/>
          </w:tcPr>
          <w:p w14:paraId="67A43FF8">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618" w:type="pct"/>
            <w:vAlign w:val="center"/>
          </w:tcPr>
          <w:p w14:paraId="23370548">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690" w:type="pct"/>
            <w:vAlign w:val="center"/>
          </w:tcPr>
          <w:p w14:paraId="10D25C1F">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690" w:type="pct"/>
            <w:vAlign w:val="center"/>
          </w:tcPr>
          <w:p w14:paraId="7124D73E">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598" w:type="pct"/>
            <w:vAlign w:val="center"/>
          </w:tcPr>
          <w:p w14:paraId="2D625864">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704" w:type="pct"/>
            <w:vAlign w:val="center"/>
          </w:tcPr>
          <w:p w14:paraId="30E5B957">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917" w:type="pct"/>
            <w:vAlign w:val="center"/>
          </w:tcPr>
          <w:p w14:paraId="304DC226">
            <w:pPr>
              <w:adjustRightInd w:val="0"/>
              <w:snapToGri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4905E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pct"/>
            <w:vMerge w:val="continue"/>
            <w:vAlign w:val="center"/>
          </w:tcPr>
          <w:p w14:paraId="1AB5774F">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618" w:type="pct"/>
            <w:vAlign w:val="center"/>
          </w:tcPr>
          <w:p w14:paraId="3EAEC8B2">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690" w:type="pct"/>
            <w:vAlign w:val="center"/>
          </w:tcPr>
          <w:p w14:paraId="52563AF1">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690" w:type="pct"/>
            <w:vAlign w:val="center"/>
          </w:tcPr>
          <w:p w14:paraId="51200711">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598" w:type="pct"/>
            <w:vAlign w:val="center"/>
          </w:tcPr>
          <w:p w14:paraId="54BBF702">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704" w:type="pct"/>
            <w:vAlign w:val="center"/>
          </w:tcPr>
          <w:p w14:paraId="49FFEDC7">
            <w:pPr>
              <w:adjustRightInd w:val="0"/>
              <w:snapToGrid w:val="0"/>
              <w:spacing w:line="240" w:lineRule="auto"/>
              <w:jc w:val="center"/>
              <w:rPr>
                <w:bCs/>
                <w:color w:val="0D0D0D" w:themeColor="text1" w:themeTint="F2"/>
                <w:sz w:val="21"/>
                <w:szCs w:val="21"/>
                <w:u w:val="single"/>
                <w14:textFill>
                  <w14:solidFill>
                    <w14:schemeClr w14:val="tx1">
                      <w14:lumMod w14:val="95000"/>
                      <w14:lumOff w14:val="5000"/>
                    </w14:schemeClr>
                  </w14:solidFill>
                </w14:textFill>
              </w:rPr>
            </w:pPr>
          </w:p>
        </w:tc>
        <w:tc>
          <w:tcPr>
            <w:tcW w:w="917" w:type="pct"/>
            <w:vAlign w:val="center"/>
          </w:tcPr>
          <w:p w14:paraId="007FFC7D">
            <w:pPr>
              <w:adjustRightInd w:val="0"/>
              <w:snapToGri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bookmarkEnd w:id="109"/>
    </w:tbl>
    <w:p w14:paraId="649CD3BD">
      <w:pPr>
        <w:adjustRightInd w:val="0"/>
        <w:snapToGrid w:val="0"/>
        <w:ind w:firstLine="440" w:firstLineChars="200"/>
        <w:rPr>
          <w:rFonts w:cs="宋体"/>
          <w:bCs/>
          <w:color w:val="0D0D0D" w:themeColor="text1" w:themeTint="F2"/>
          <w:spacing w:val="-10"/>
          <w:u w:val="single"/>
          <w14:textFill>
            <w14:solidFill>
              <w14:schemeClr w14:val="tx1">
                <w14:lumMod w14:val="95000"/>
                <w14:lumOff w14:val="5000"/>
              </w14:schemeClr>
            </w14:solidFill>
          </w14:textFill>
        </w:rPr>
      </w:pPr>
      <w:r>
        <w:rPr>
          <w:rFonts w:hint="eastAsia" w:cs="宋体"/>
          <w:bCs/>
          <w:color w:val="0D0D0D" w:themeColor="text1" w:themeTint="F2"/>
          <w:spacing w:val="-10"/>
          <w:u w:val="single"/>
          <w14:textFill>
            <w14:solidFill>
              <w14:schemeClr w14:val="tx1">
                <w14:lumMod w14:val="95000"/>
                <w14:lumOff w14:val="5000"/>
              </w14:schemeClr>
            </w14:solidFill>
          </w14:textFill>
        </w:rPr>
        <w:t>由上表可知，项目综合废水经厂区污水处理站处理后，可满足《石油炼制工业污染物排放标准》（GB31570-2015）及其修改单中表1间接排放标准和钦州胜科水务有限公司污水处理厂纳管标准较严值。</w:t>
      </w:r>
    </w:p>
    <w:bookmarkEnd w:id="108"/>
    <w:p w14:paraId="7EB918AD">
      <w:pPr>
        <w:pStyle w:val="10"/>
      </w:pPr>
      <w:r>
        <w:rPr>
          <w:rFonts w:hint="eastAsia"/>
        </w:rPr>
        <w:t>噪声污染源分析</w:t>
      </w:r>
    </w:p>
    <w:p w14:paraId="75D1191D">
      <w:pPr>
        <w:ind w:firstLine="482"/>
        <w:rPr>
          <w:rFonts w:cs="Times New Roman"/>
          <w:color w:val="0D0D0D" w:themeColor="text1" w:themeTint="F2"/>
          <w:szCs w:val="24"/>
          <w14:textFill>
            <w14:solidFill>
              <w14:schemeClr w14:val="tx1">
                <w14:lumMod w14:val="95000"/>
                <w14:lumOff w14:val="5000"/>
              </w14:schemeClr>
            </w14:solidFill>
          </w14:textFill>
        </w:rPr>
      </w:pPr>
      <w:r>
        <w:rPr>
          <w:rFonts w:cs="Times New Roman"/>
          <w:color w:val="0D0D0D" w:themeColor="text1" w:themeTint="F2"/>
          <w:szCs w:val="24"/>
          <w14:textFill>
            <w14:solidFill>
              <w14:schemeClr w14:val="tx1">
                <w14:lumMod w14:val="95000"/>
                <w14:lumOff w14:val="5000"/>
              </w14:schemeClr>
            </w14:solidFill>
          </w14:textFill>
        </w:rPr>
        <w:t>项目厂区噪声源主要来自各车间</w:t>
      </w:r>
      <w:r>
        <w:rPr>
          <w:rFonts w:hint="eastAsia" w:cs="Times New Roman"/>
          <w:color w:val="0D0D0D" w:themeColor="text1" w:themeTint="F2"/>
          <w:szCs w:val="24"/>
          <w14:textFill>
            <w14:solidFill>
              <w14:schemeClr w14:val="tx1">
                <w14:lumMod w14:val="95000"/>
                <w14:lumOff w14:val="5000"/>
              </w14:schemeClr>
            </w14:solidFill>
          </w14:textFill>
        </w:rPr>
        <w:t>反应釜、输料泵、鼓风机</w:t>
      </w:r>
      <w:r>
        <w:rPr>
          <w:rFonts w:cs="Times New Roman"/>
          <w:color w:val="0D0D0D" w:themeColor="text1" w:themeTint="F2"/>
          <w:szCs w:val="24"/>
          <w14:textFill>
            <w14:solidFill>
              <w14:schemeClr w14:val="tx1">
                <w14:lumMod w14:val="95000"/>
                <w14:lumOff w14:val="5000"/>
              </w14:schemeClr>
            </w14:solidFill>
          </w14:textFill>
        </w:rPr>
        <w:t>等机械设备，其噪声值在</w:t>
      </w:r>
      <w:r>
        <w:rPr>
          <w:rFonts w:hint="eastAsia" w:cs="Times New Roman"/>
          <w:color w:val="0D0D0D" w:themeColor="text1" w:themeTint="F2"/>
          <w:szCs w:val="24"/>
          <w14:textFill>
            <w14:solidFill>
              <w14:schemeClr w14:val="tx1">
                <w14:lumMod w14:val="95000"/>
                <w14:lumOff w14:val="5000"/>
              </w14:schemeClr>
            </w14:solidFill>
          </w14:textFill>
        </w:rPr>
        <w:t>85</w:t>
      </w:r>
      <w:r>
        <w:rPr>
          <w:rFonts w:cs="Times New Roman"/>
          <w:color w:val="0D0D0D" w:themeColor="text1" w:themeTint="F2"/>
          <w:szCs w:val="24"/>
          <w14:textFill>
            <w14:solidFill>
              <w14:schemeClr w14:val="tx1">
                <w14:lumMod w14:val="95000"/>
                <w14:lumOff w14:val="5000"/>
              </w14:schemeClr>
            </w14:solidFill>
          </w14:textFill>
        </w:rPr>
        <w:t>dB(A)</w:t>
      </w:r>
      <w:r>
        <w:rPr>
          <w:rFonts w:hint="eastAsia" w:cs="Times New Roman"/>
          <w:color w:val="0D0D0D" w:themeColor="text1" w:themeTint="F2"/>
          <w:szCs w:val="24"/>
          <w14:textFill>
            <w14:solidFill>
              <w14:schemeClr w14:val="tx1">
                <w14:lumMod w14:val="95000"/>
                <w14:lumOff w14:val="5000"/>
              </w14:schemeClr>
            </w14:solidFill>
          </w14:textFill>
        </w:rPr>
        <w:t>左右</w:t>
      </w:r>
      <w:r>
        <w:rPr>
          <w:rFonts w:cs="Times New Roman"/>
          <w:color w:val="0D0D0D" w:themeColor="text1" w:themeTint="F2"/>
          <w:szCs w:val="24"/>
          <w14:textFill>
            <w14:solidFill>
              <w14:schemeClr w14:val="tx1">
                <w14:lumMod w14:val="95000"/>
                <w14:lumOff w14:val="5000"/>
              </w14:schemeClr>
            </w14:solidFill>
          </w14:textFill>
        </w:rPr>
        <w:t>，主要噪声源噪声值及治理措施见表</w:t>
      </w:r>
      <w:r>
        <w:rPr>
          <w:rFonts w:hint="eastAsia" w:cs="Times New Roman"/>
          <w:color w:val="0D0D0D" w:themeColor="text1" w:themeTint="F2"/>
          <w:szCs w:val="24"/>
          <w14:textFill>
            <w14:solidFill>
              <w14:schemeClr w14:val="tx1">
                <w14:lumMod w14:val="95000"/>
                <w14:lumOff w14:val="5000"/>
              </w14:schemeClr>
            </w14:solidFill>
          </w14:textFill>
        </w:rPr>
        <w:t>3.3</w:t>
      </w:r>
      <w:r>
        <w:rPr>
          <w:rFonts w:cs="Times New Roman"/>
          <w:color w:val="0D0D0D" w:themeColor="text1" w:themeTint="F2"/>
          <w:szCs w:val="24"/>
          <w14:textFill>
            <w14:solidFill>
              <w14:schemeClr w14:val="tx1">
                <w14:lumMod w14:val="95000"/>
                <w14:lumOff w14:val="5000"/>
              </w14:schemeClr>
            </w14:solidFill>
          </w14:textFill>
        </w:rPr>
        <w:t>-</w:t>
      </w:r>
      <w:r>
        <w:rPr>
          <w:rFonts w:hint="eastAsia" w:cs="Times New Roman"/>
          <w:color w:val="0D0D0D" w:themeColor="text1" w:themeTint="F2"/>
          <w:szCs w:val="24"/>
          <w14:textFill>
            <w14:solidFill>
              <w14:schemeClr w14:val="tx1">
                <w14:lumMod w14:val="95000"/>
                <w14:lumOff w14:val="5000"/>
              </w14:schemeClr>
            </w14:solidFill>
          </w14:textFill>
        </w:rPr>
        <w:t>22</w:t>
      </w:r>
      <w:r>
        <w:rPr>
          <w:rFonts w:cs="Times New Roman"/>
          <w:color w:val="0D0D0D" w:themeColor="text1" w:themeTint="F2"/>
          <w:szCs w:val="24"/>
          <w14:textFill>
            <w14:solidFill>
              <w14:schemeClr w14:val="tx1">
                <w14:lumMod w14:val="95000"/>
                <w14:lumOff w14:val="5000"/>
              </w14:schemeClr>
            </w14:solidFill>
          </w14:textFill>
        </w:rPr>
        <w:t>。</w:t>
      </w:r>
    </w:p>
    <w:p w14:paraId="4E2A6CEF">
      <w:pPr>
        <w:pStyle w:val="11"/>
      </w:pPr>
      <w:r>
        <w:rPr>
          <w:rFonts w:hint="eastAsia"/>
        </w:rPr>
        <w:t xml:space="preserve"> 主要噪声源一览表</w:t>
      </w:r>
    </w:p>
    <w:p w14:paraId="00AC5FF0">
      <w:pPr>
        <w:jc w:val="center"/>
        <w:rPr>
          <w:rFonts w:hint="eastAsia"/>
        </w:rPr>
      </w:pPr>
      <w:r>
        <w:rPr>
          <w:rFonts w:hint="eastAsia"/>
        </w:rPr>
        <w:t>（涉密，公示本已删除）</w:t>
      </w:r>
    </w:p>
    <w:p w14:paraId="7A90B420">
      <w:pPr>
        <w:pStyle w:val="10"/>
      </w:pPr>
      <w:r>
        <w:rPr>
          <w:rFonts w:hint="eastAsia"/>
        </w:rPr>
        <w:t>固体废物分析</w:t>
      </w:r>
    </w:p>
    <w:p w14:paraId="7F69C34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项目运营期固体废物产生情况如下：</w:t>
      </w:r>
    </w:p>
    <w:p w14:paraId="1F189439">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（1）废渣</w:t>
      </w:r>
    </w:p>
    <w:p w14:paraId="4B0F872C">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项目废渣包括压榨机废渣、压滤机废渣和水洗工艺废渣，根据上文物料平衡，压榨机废渣产生量为1616.67t/a，压滤机废渣产生量为159.93t/a，水洗工艺废渣产生量为200t/a，全厂废渣产生量为1976.6t/a。</w:t>
      </w:r>
      <w:r>
        <w:rPr>
          <w:rFonts w:hint="eastAsia" w:cs="Times New Roman"/>
          <w:color w:val="0D0D0D" w:themeColor="text1" w:themeTint="F2"/>
          <w:szCs w:val="24"/>
          <w:u w:val="single"/>
          <w14:textFill>
            <w14:solidFill>
              <w14:schemeClr w14:val="tx1">
                <w14:lumMod w14:val="95000"/>
                <w14:lumOff w14:val="5000"/>
              </w14:schemeClr>
            </w14:solidFill>
          </w14:textFill>
        </w:rPr>
        <w:t>项目主要原料为废弃动植物油脂，不属于危险废物，根据《国家危险废物名录（2025年版）》，</w:t>
      </w:r>
      <w:r>
        <w:rPr>
          <w:rFonts w:hint="eastAsia"/>
          <w:color w:val="0D0D0D" w:themeColor="text1" w:themeTint="F2"/>
          <w:u w:val="single"/>
          <w14:textFill>
            <w14:solidFill>
              <w14:schemeClr w14:val="tx1">
                <w14:lumMod w14:val="95000"/>
                <w14:lumOff w14:val="5000"/>
              </w14:schemeClr>
            </w14:solidFill>
          </w14:textFill>
        </w:rPr>
        <w:t>废渣属于一般固废，使用密闭容器收集后暂存在一般固废暂存间，外售第三方单位资源回收利用。</w:t>
      </w:r>
    </w:p>
    <w:p w14:paraId="4A60B184">
      <w:pPr>
        <w:autoSpaceDE w:val="0"/>
        <w:autoSpaceDN w:val="0"/>
        <w:adjustRightInd w:val="0"/>
        <w:ind w:firstLine="480" w:firstLineChars="200"/>
        <w:rPr>
          <w:rFonts w:cs="Times New Roman"/>
          <w:color w:val="0D0D0D" w:themeColor="text1" w:themeTint="F2"/>
          <w:szCs w:val="24"/>
          <w:u w:val="single"/>
          <w14:textFill>
            <w14:solidFill>
              <w14:schemeClr w14:val="tx1">
                <w14:lumMod w14:val="95000"/>
                <w14:lumOff w14:val="5000"/>
              </w14:schemeClr>
            </w14:solidFill>
          </w14:textFill>
        </w:rPr>
      </w:pPr>
      <w:r>
        <w:rPr>
          <w:rFonts w:hint="eastAsia" w:cs="Times New Roman"/>
          <w:color w:val="0D0D0D" w:themeColor="text1" w:themeTint="F2"/>
          <w:szCs w:val="24"/>
          <w:u w:val="single"/>
          <w14:textFill>
            <w14:solidFill>
              <w14:schemeClr w14:val="tx1">
                <w14:lumMod w14:val="95000"/>
                <w14:lumOff w14:val="5000"/>
              </w14:schemeClr>
            </w14:solidFill>
          </w14:textFill>
        </w:rPr>
        <w:t>根据《固体废物分类与代码目录》（生态环境部公告2024年第4号），</w:t>
      </w:r>
      <w:r>
        <w:rPr>
          <w:rFonts w:hint="eastAsia"/>
          <w:color w:val="0D0D0D" w:themeColor="text1" w:themeTint="F2"/>
          <w:u w:val="single"/>
          <w14:textFill>
            <w14:solidFill>
              <w14:schemeClr w14:val="tx1">
                <w14:lumMod w14:val="95000"/>
                <w14:lumOff w14:val="5000"/>
              </w14:schemeClr>
            </w14:solidFill>
          </w14:textFill>
        </w:rPr>
        <w:t>废渣</w:t>
      </w:r>
      <w:r>
        <w:rPr>
          <w:rFonts w:hint="eastAsia" w:cs="Times New Roman"/>
          <w:color w:val="0D0D0D" w:themeColor="text1" w:themeTint="F2"/>
          <w:szCs w:val="24"/>
          <w:u w:val="single"/>
          <w14:textFill>
            <w14:solidFill>
              <w14:schemeClr w14:val="tx1">
                <w14:lumMod w14:val="95000"/>
                <w14:lumOff w14:val="5000"/>
              </w14:schemeClr>
            </w14:solidFill>
          </w14:textFill>
        </w:rPr>
        <w:t>废物代码为</w:t>
      </w:r>
      <w:r>
        <w:rPr>
          <w:rFonts w:cs="Times New Roman"/>
          <w:color w:val="0D0D0D" w:themeColor="text1" w:themeTint="F2"/>
          <w:szCs w:val="24"/>
          <w:u w:val="single"/>
          <w14:textFill>
            <w14:solidFill>
              <w14:schemeClr w14:val="tx1">
                <w14:lumMod w14:val="95000"/>
                <w14:lumOff w14:val="5000"/>
              </w14:schemeClr>
            </w14:solidFill>
          </w14:textFill>
        </w:rPr>
        <w:t>900-099-S</w:t>
      </w:r>
      <w:r>
        <w:rPr>
          <w:rFonts w:hint="eastAsia" w:cs="Times New Roman"/>
          <w:color w:val="0D0D0D" w:themeColor="text1" w:themeTint="F2"/>
          <w:szCs w:val="24"/>
          <w:u w:val="single"/>
          <w14:textFill>
            <w14:solidFill>
              <w14:schemeClr w14:val="tx1">
                <w14:lumMod w14:val="95000"/>
                <w14:lumOff w14:val="5000"/>
              </w14:schemeClr>
            </w14:solidFill>
          </w14:textFill>
        </w:rPr>
        <w:t>59。</w:t>
      </w:r>
    </w:p>
    <w:p w14:paraId="1F35713D">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（2）废包装物</w:t>
      </w:r>
    </w:p>
    <w:p w14:paraId="1DF77833">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使用的原辅料中生物酶为液态物料用桶装，成型生物质颗粒、白土、氧化钙和氯化钠等固态物料均为袋装，以上物料使用后会产生废包装物，主要成分为废塑料，产生量为10.63t，属于一般固废，暂存在一般固废暂存间，外售第三方单位资源回收利用。</w:t>
      </w:r>
    </w:p>
    <w:p w14:paraId="54CABBEF">
      <w:pPr>
        <w:autoSpaceDE w:val="0"/>
        <w:autoSpaceDN w:val="0"/>
        <w:adjustRightInd w:val="0"/>
        <w:ind w:firstLine="480" w:firstLineChars="200"/>
        <w:rPr>
          <w:rFonts w:cs="Times New Roman"/>
          <w:color w:val="0D0D0D" w:themeColor="text1" w:themeTint="F2"/>
          <w:szCs w:val="24"/>
          <w:u w:val="single"/>
          <w14:textFill>
            <w14:solidFill>
              <w14:schemeClr w14:val="tx1">
                <w14:lumMod w14:val="95000"/>
                <w14:lumOff w14:val="5000"/>
              </w14:schemeClr>
            </w14:solidFill>
          </w14:textFill>
        </w:rPr>
      </w:pPr>
      <w:r>
        <w:rPr>
          <w:rFonts w:hint="eastAsia" w:cs="Times New Roman"/>
          <w:color w:val="0D0D0D" w:themeColor="text1" w:themeTint="F2"/>
          <w:szCs w:val="24"/>
          <w:u w:val="single"/>
          <w14:textFill>
            <w14:solidFill>
              <w14:schemeClr w14:val="tx1">
                <w14:lumMod w14:val="95000"/>
                <w14:lumOff w14:val="5000"/>
              </w14:schemeClr>
            </w14:solidFill>
          </w14:textFill>
        </w:rPr>
        <w:t>根据《固体废物分类与代码目录》（生态环境部公告2024年第4号），</w:t>
      </w:r>
      <w:r>
        <w:rPr>
          <w:rFonts w:hint="eastAsia"/>
          <w:color w:val="0D0D0D" w:themeColor="text1" w:themeTint="F2"/>
          <w:u w:val="single"/>
          <w14:textFill>
            <w14:solidFill>
              <w14:schemeClr w14:val="tx1">
                <w14:lumMod w14:val="95000"/>
                <w14:lumOff w14:val="5000"/>
              </w14:schemeClr>
            </w14:solidFill>
          </w14:textFill>
        </w:rPr>
        <w:t>废包装物</w:t>
      </w:r>
      <w:r>
        <w:rPr>
          <w:rFonts w:hint="eastAsia" w:cs="Times New Roman"/>
          <w:color w:val="0D0D0D" w:themeColor="text1" w:themeTint="F2"/>
          <w:szCs w:val="24"/>
          <w:u w:val="single"/>
          <w14:textFill>
            <w14:solidFill>
              <w14:schemeClr w14:val="tx1">
                <w14:lumMod w14:val="95000"/>
                <w14:lumOff w14:val="5000"/>
              </w14:schemeClr>
            </w14:solidFill>
          </w14:textFill>
        </w:rPr>
        <w:t>废物代码为</w:t>
      </w:r>
      <w:r>
        <w:rPr>
          <w:rFonts w:cs="Times New Roman"/>
          <w:color w:val="0D0D0D" w:themeColor="text1" w:themeTint="F2"/>
          <w:szCs w:val="24"/>
          <w:u w:val="single"/>
          <w14:textFill>
            <w14:solidFill>
              <w14:schemeClr w14:val="tx1">
                <w14:lumMod w14:val="95000"/>
                <w14:lumOff w14:val="5000"/>
              </w14:schemeClr>
            </w14:solidFill>
          </w14:textFill>
        </w:rPr>
        <w:t>900-099-S</w:t>
      </w:r>
      <w:r>
        <w:rPr>
          <w:rFonts w:hint="eastAsia" w:cs="Times New Roman"/>
          <w:color w:val="0D0D0D" w:themeColor="text1" w:themeTint="F2"/>
          <w:szCs w:val="24"/>
          <w:u w:val="single"/>
          <w14:textFill>
            <w14:solidFill>
              <w14:schemeClr w14:val="tx1">
                <w14:lumMod w14:val="95000"/>
                <w14:lumOff w14:val="5000"/>
              </w14:schemeClr>
            </w14:solidFill>
          </w14:textFill>
        </w:rPr>
        <w:t>17。</w:t>
      </w:r>
    </w:p>
    <w:p w14:paraId="44F2DD39">
      <w:pPr>
        <w:autoSpaceDE w:val="0"/>
        <w:autoSpaceDN w:val="0"/>
        <w:adjustRightInd w:val="0"/>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废包装物核算情况详见表3.3-23。</w:t>
      </w:r>
    </w:p>
    <w:p w14:paraId="1DFFDDB3">
      <w:pPr>
        <w:pStyle w:val="11"/>
      </w:pPr>
      <w:r>
        <w:rPr>
          <w:rFonts w:hint="eastAsia"/>
        </w:rPr>
        <w:t xml:space="preserve"> 废包装物产生情况一览表</w:t>
      </w:r>
    </w:p>
    <w:p w14:paraId="27BB1EB2">
      <w:pPr>
        <w:jc w:val="center"/>
        <w:rPr>
          <w:rFonts w:hint="eastAsia"/>
        </w:rPr>
      </w:pPr>
      <w:r>
        <w:rPr>
          <w:rFonts w:hint="eastAsia"/>
        </w:rPr>
        <w:t>（涉密，公示本已删除）</w:t>
      </w:r>
    </w:p>
    <w:p w14:paraId="4DDD16E2">
      <w:pPr>
        <w:ind w:firstLine="482" w:firstLineChars="200"/>
        <w:rPr>
          <w:b/>
          <w:bCs/>
          <w:color w:val="0D0D0D" w:themeColor="text1" w:themeTint="F2"/>
          <w:u w:val="single"/>
          <w14:textFill>
            <w14:solidFill>
              <w14:schemeClr w14:val="tx1">
                <w14:lumMod w14:val="95000"/>
                <w14:lumOff w14:val="5000"/>
              </w14:schemeClr>
            </w14:solidFill>
          </w14:textFill>
        </w:rPr>
      </w:pPr>
      <w:r>
        <w:rPr>
          <w:rFonts w:hint="eastAsia"/>
          <w:b/>
          <w:bCs/>
          <w:color w:val="0D0D0D" w:themeColor="text1" w:themeTint="F2"/>
          <w:u w:val="single"/>
          <w14:textFill>
            <w14:solidFill>
              <w14:schemeClr w14:val="tx1">
                <w14:lumMod w14:val="95000"/>
                <w14:lumOff w14:val="5000"/>
              </w14:schemeClr>
            </w14:solidFill>
          </w14:textFill>
        </w:rPr>
        <w:t>（3）废白土</w:t>
      </w:r>
    </w:p>
    <w:p w14:paraId="2D7FC5CA">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工业级混合油生产线过滤分离工序会产生废白土，主要成分为白土以及吸附的杂质和油脂，根据物料平衡，废白土产生量为1349.73t/a。</w:t>
      </w:r>
      <w:r>
        <w:rPr>
          <w:rFonts w:hint="eastAsia" w:cs="Times New Roman"/>
          <w:color w:val="0D0D0D" w:themeColor="text1" w:themeTint="F2"/>
          <w:szCs w:val="24"/>
          <w:u w:val="single"/>
          <w14:textFill>
            <w14:solidFill>
              <w14:schemeClr w14:val="tx1">
                <w14:lumMod w14:val="95000"/>
                <w14:lumOff w14:val="5000"/>
              </w14:schemeClr>
            </w14:solidFill>
          </w14:textFill>
        </w:rPr>
        <w:t>项目主要原料为废弃动植物油脂，不属于危险废物，根据《国家危险废物名录（2025年版）》，废白土</w:t>
      </w:r>
      <w:r>
        <w:rPr>
          <w:rFonts w:hint="eastAsia"/>
          <w:color w:val="0D0D0D" w:themeColor="text1" w:themeTint="F2"/>
          <w:u w:val="single"/>
          <w14:textFill>
            <w14:solidFill>
              <w14:schemeClr w14:val="tx1">
                <w14:lumMod w14:val="95000"/>
                <w14:lumOff w14:val="5000"/>
              </w14:schemeClr>
            </w14:solidFill>
          </w14:textFill>
        </w:rPr>
        <w:t>属于一般固废，使用密闭容器收集后暂存在一般固废暂存间，外售第三方单位资源回收利用。</w:t>
      </w:r>
    </w:p>
    <w:p w14:paraId="20CB0415">
      <w:pPr>
        <w:autoSpaceDE w:val="0"/>
        <w:autoSpaceDN w:val="0"/>
        <w:adjustRightInd w:val="0"/>
        <w:ind w:firstLine="480" w:firstLineChars="200"/>
        <w:rPr>
          <w:rFonts w:cs="Times New Roman"/>
          <w:color w:val="0D0D0D" w:themeColor="text1" w:themeTint="F2"/>
          <w:szCs w:val="24"/>
          <w:u w:val="single"/>
          <w14:textFill>
            <w14:solidFill>
              <w14:schemeClr w14:val="tx1">
                <w14:lumMod w14:val="95000"/>
                <w14:lumOff w14:val="5000"/>
              </w14:schemeClr>
            </w14:solidFill>
          </w14:textFill>
        </w:rPr>
      </w:pPr>
      <w:r>
        <w:rPr>
          <w:rFonts w:hint="eastAsia" w:cs="Times New Roman"/>
          <w:color w:val="0D0D0D" w:themeColor="text1" w:themeTint="F2"/>
          <w:szCs w:val="24"/>
          <w:u w:val="single"/>
          <w14:textFill>
            <w14:solidFill>
              <w14:schemeClr w14:val="tx1">
                <w14:lumMod w14:val="95000"/>
                <w14:lumOff w14:val="5000"/>
              </w14:schemeClr>
            </w14:solidFill>
          </w14:textFill>
        </w:rPr>
        <w:t>根据《固体废物分类与代码目录》（生态环境部公告2024年第4号），</w:t>
      </w:r>
      <w:r>
        <w:rPr>
          <w:rFonts w:hint="eastAsia"/>
          <w:color w:val="0D0D0D" w:themeColor="text1" w:themeTint="F2"/>
          <w:u w:val="single"/>
          <w14:textFill>
            <w14:solidFill>
              <w14:schemeClr w14:val="tx1">
                <w14:lumMod w14:val="95000"/>
                <w14:lumOff w14:val="5000"/>
              </w14:schemeClr>
            </w14:solidFill>
          </w14:textFill>
        </w:rPr>
        <w:t>废白土</w:t>
      </w:r>
      <w:r>
        <w:rPr>
          <w:rFonts w:hint="eastAsia" w:cs="Times New Roman"/>
          <w:color w:val="0D0D0D" w:themeColor="text1" w:themeTint="F2"/>
          <w:szCs w:val="24"/>
          <w:u w:val="single"/>
          <w14:textFill>
            <w14:solidFill>
              <w14:schemeClr w14:val="tx1">
                <w14:lumMod w14:val="95000"/>
                <w14:lumOff w14:val="5000"/>
              </w14:schemeClr>
            </w14:solidFill>
          </w14:textFill>
        </w:rPr>
        <w:t>废物代码为</w:t>
      </w:r>
      <w:r>
        <w:rPr>
          <w:rFonts w:cs="Times New Roman"/>
          <w:color w:val="0D0D0D" w:themeColor="text1" w:themeTint="F2"/>
          <w:szCs w:val="24"/>
          <w:u w:val="single"/>
          <w14:textFill>
            <w14:solidFill>
              <w14:schemeClr w14:val="tx1">
                <w14:lumMod w14:val="95000"/>
                <w14:lumOff w14:val="5000"/>
              </w14:schemeClr>
            </w14:solidFill>
          </w14:textFill>
        </w:rPr>
        <w:t>900-099-S</w:t>
      </w:r>
      <w:r>
        <w:rPr>
          <w:rFonts w:hint="eastAsia" w:cs="Times New Roman"/>
          <w:color w:val="0D0D0D" w:themeColor="text1" w:themeTint="F2"/>
          <w:szCs w:val="24"/>
          <w:u w:val="single"/>
          <w14:textFill>
            <w14:solidFill>
              <w14:schemeClr w14:val="tx1">
                <w14:lumMod w14:val="95000"/>
                <w14:lumOff w14:val="5000"/>
              </w14:schemeClr>
            </w14:solidFill>
          </w14:textFill>
        </w:rPr>
        <w:t>59。</w:t>
      </w:r>
    </w:p>
    <w:p w14:paraId="2B1BAC72">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（4）污泥</w:t>
      </w:r>
    </w:p>
    <w:p w14:paraId="6BFB51CA">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厂区污水处理站污水处理过程会产生污泥。</w:t>
      </w:r>
    </w:p>
    <w:p w14:paraId="448C486A">
      <w:pPr>
        <w:autoSpaceDE w:val="0"/>
        <w:autoSpaceDN w:val="0"/>
        <w:adjustRightInd w:val="0"/>
        <w:ind w:firstLine="480" w:firstLineChars="200"/>
        <w:rPr>
          <w:rFonts w:cs="Times New Roman"/>
          <w:color w:val="0D0D0D" w:themeColor="text1" w:themeTint="F2"/>
          <w:szCs w:val="24"/>
          <w:u w:val="single"/>
          <w14:textFill>
            <w14:solidFill>
              <w14:schemeClr w14:val="tx1">
                <w14:lumMod w14:val="95000"/>
                <w14:lumOff w14:val="5000"/>
              </w14:schemeClr>
            </w14:solidFill>
          </w14:textFill>
        </w:rPr>
      </w:pPr>
      <w:r>
        <w:rPr>
          <w:rFonts w:hint="eastAsia" w:cs="Times New Roman"/>
          <w:color w:val="0D0D0D" w:themeColor="text1" w:themeTint="F2"/>
          <w:szCs w:val="24"/>
          <w:u w:val="single"/>
          <w14:textFill>
            <w14:solidFill>
              <w14:schemeClr w14:val="tx1">
                <w14:lumMod w14:val="95000"/>
                <w14:lumOff w14:val="5000"/>
              </w14:schemeClr>
            </w14:solidFill>
          </w14:textFill>
        </w:rPr>
        <w:t>污泥产生量参照《排污许可证申请与核发技术规范  水处理（试行）》（HJ978-2018）中的污泥实际排放量核算方法进行核算。</w:t>
      </w:r>
    </w:p>
    <w:p w14:paraId="54C2F655">
      <w:pPr>
        <w:autoSpaceDE w:val="0"/>
        <w:autoSpaceDN w:val="0"/>
        <w:adjustRightInd w:val="0"/>
        <w:ind w:firstLine="200"/>
        <w:rPr>
          <w:rFonts w:cs="Times New Roman"/>
          <w:iCs/>
          <w:color w:val="0D0D0D" w:themeColor="text1" w:themeTint="F2"/>
          <w:szCs w:val="24"/>
          <w14:textFill>
            <w14:solidFill>
              <w14:schemeClr w14:val="tx1">
                <w14:lumMod w14:val="95000"/>
                <w14:lumOff w14:val="5000"/>
              </w14:schemeClr>
            </w14:solidFill>
          </w14:textFill>
        </w:rPr>
      </w:pPr>
      <m:oMathPara>
        <m:oMath>
          <m:sSub>
            <m:sSubPr>
              <m:ctrlPr>
                <w:rPr>
                  <w:rFonts w:ascii="Cambria Math" w:hAnsi="Cambria Math" w:cs="Times New Roman"/>
                  <w:iCs/>
                  <w:color w:val="0D0D0D" w:themeColor="text1" w:themeTint="F2"/>
                  <w:szCs w:val="24"/>
                  <w14:textFill>
                    <w14:solidFill>
                      <w14:schemeClr w14:val="tx1">
                        <w14:lumMod w14:val="95000"/>
                        <w14:lumOff w14:val="5000"/>
                      </w14:schemeClr>
                    </w14:solidFill>
                  </w14:textFill>
                </w:rPr>
              </m:ctrlPr>
            </m:sSubPr>
            <m:e>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E</m:t>
              </m:r>
              <m:ctrlPr>
                <w:rPr>
                  <w:rFonts w:ascii="Cambria Math" w:hAnsi="Cambria Math" w:cs="Times New Roman"/>
                  <w:iCs/>
                  <w:color w:val="0D0D0D" w:themeColor="text1" w:themeTint="F2"/>
                  <w:szCs w:val="24"/>
                  <w14:textFill>
                    <w14:solidFill>
                      <w14:schemeClr w14:val="tx1">
                        <w14:lumMod w14:val="95000"/>
                        <w14:lumOff w14:val="5000"/>
                      </w14:schemeClr>
                    </w14:solidFill>
                  </w14:textFill>
                </w:rPr>
              </m:ctrlPr>
            </m:e>
            <m:sub>
              <m:r>
                <m:rPr>
                  <m:sty m:val="p"/>
                </m:rPr>
                <w:rPr>
                  <w:rFonts w:hint="eastAsia" w:ascii="Cambria Math" w:hAnsi="Cambria Math" w:cs="Times New Roman"/>
                  <w:color w:val="0D0D0D" w:themeColor="text1" w:themeTint="F2"/>
                  <w:szCs w:val="24"/>
                  <w14:textFill>
                    <w14:solidFill>
                      <w14:schemeClr w14:val="tx1">
                        <w14:lumMod w14:val="95000"/>
                        <w14:lumOff w14:val="5000"/>
                      </w14:schemeClr>
                    </w14:solidFill>
                  </w14:textFill>
                </w:rPr>
                <m:t>产生量</m:t>
              </m:r>
              <m:ctrlPr>
                <w:rPr>
                  <w:rFonts w:ascii="Cambria Math" w:hAnsi="Cambria Math" w:cs="Times New Roman"/>
                  <w:iCs/>
                  <w:color w:val="0D0D0D" w:themeColor="text1" w:themeTint="F2"/>
                  <w:szCs w:val="24"/>
                  <w14:textFill>
                    <w14:solidFill>
                      <w14:schemeClr w14:val="tx1">
                        <w14:lumMod w14:val="95000"/>
                        <w14:lumOff w14:val="5000"/>
                      </w14:schemeClr>
                    </w14:solidFill>
                  </w14:textFill>
                </w:rPr>
              </m:ctrlPr>
            </m:sub>
          </m:sSub>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=1.7×Q×</m:t>
          </m:r>
          <m:sSub>
            <m:sSubPr>
              <m:ctrlPr>
                <w:rPr>
                  <w:rFonts w:ascii="Cambria Math" w:hAnsi="Cambria Math" w:cs="Times New Roman"/>
                  <w:iCs/>
                  <w:color w:val="0D0D0D" w:themeColor="text1" w:themeTint="F2"/>
                  <w:szCs w:val="24"/>
                  <w14:textFill>
                    <w14:solidFill>
                      <w14:schemeClr w14:val="tx1">
                        <w14:lumMod w14:val="95000"/>
                        <w14:lumOff w14:val="5000"/>
                      </w14:schemeClr>
                    </w14:solidFill>
                  </w14:textFill>
                </w:rPr>
              </m:ctrlPr>
            </m:sSubPr>
            <m:e>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W</m:t>
              </m:r>
              <m:ctrlPr>
                <w:rPr>
                  <w:rFonts w:ascii="Cambria Math" w:hAnsi="Cambria Math" w:cs="Times New Roman"/>
                  <w:iCs/>
                  <w:color w:val="0D0D0D" w:themeColor="text1" w:themeTint="F2"/>
                  <w:szCs w:val="24"/>
                  <w14:textFill>
                    <w14:solidFill>
                      <w14:schemeClr w14:val="tx1">
                        <w14:lumMod w14:val="95000"/>
                        <w14:lumOff w14:val="5000"/>
                      </w14:schemeClr>
                    </w14:solidFill>
                  </w14:textFill>
                </w:rPr>
              </m:ctrlPr>
            </m:e>
            <m:sub>
              <m:r>
                <m:rPr>
                  <m:sty m:val="p"/>
                </m:rPr>
                <w:rPr>
                  <w:rFonts w:hint="eastAsia" w:ascii="Cambria Math" w:hAnsi="Cambria Math" w:cs="Times New Roman"/>
                  <w:color w:val="0D0D0D" w:themeColor="text1" w:themeTint="F2"/>
                  <w:szCs w:val="24"/>
                  <w14:textFill>
                    <w14:solidFill>
                      <w14:schemeClr w14:val="tx1">
                        <w14:lumMod w14:val="95000"/>
                        <w14:lumOff w14:val="5000"/>
                      </w14:schemeClr>
                    </w14:solidFill>
                  </w14:textFill>
                </w:rPr>
                <m:t>深</m:t>
              </m:r>
              <m:ctrlPr>
                <w:rPr>
                  <w:rFonts w:ascii="Cambria Math" w:hAnsi="Cambria Math" w:cs="Times New Roman"/>
                  <w:iCs/>
                  <w:color w:val="0D0D0D" w:themeColor="text1" w:themeTint="F2"/>
                  <w:szCs w:val="24"/>
                  <w14:textFill>
                    <w14:solidFill>
                      <w14:schemeClr w14:val="tx1">
                        <w14:lumMod w14:val="95000"/>
                        <w14:lumOff w14:val="5000"/>
                      </w14:schemeClr>
                    </w14:solidFill>
                  </w14:textFill>
                </w:rPr>
              </m:ctrlPr>
            </m:sub>
          </m:sSub>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m:t>
          </m:r>
          <m:sSup>
            <m:sSupPr>
              <m:ctrlPr>
                <w:rPr>
                  <w:rFonts w:ascii="Cambria Math" w:hAnsi="Cambria Math" w:cs="Times New Roman"/>
                  <w:iCs/>
                  <w:color w:val="0D0D0D" w:themeColor="text1" w:themeTint="F2"/>
                  <w:szCs w:val="24"/>
                  <w14:textFill>
                    <w14:solidFill>
                      <w14:schemeClr w14:val="tx1">
                        <w14:lumMod w14:val="95000"/>
                        <w14:lumOff w14:val="5000"/>
                      </w14:schemeClr>
                    </w14:solidFill>
                  </w14:textFill>
                </w:rPr>
              </m:ctrlPr>
            </m:sSupPr>
            <m:e>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10</m:t>
              </m:r>
              <m:ctrlPr>
                <w:rPr>
                  <w:rFonts w:ascii="Cambria Math" w:hAnsi="Cambria Math" w:cs="Times New Roman"/>
                  <w:iCs/>
                  <w:color w:val="0D0D0D" w:themeColor="text1" w:themeTint="F2"/>
                  <w:szCs w:val="24"/>
                  <w14:textFill>
                    <w14:solidFill>
                      <w14:schemeClr w14:val="tx1">
                        <w14:lumMod w14:val="95000"/>
                        <w14:lumOff w14:val="5000"/>
                      </w14:schemeClr>
                    </w14:solidFill>
                  </w14:textFill>
                </w:rPr>
              </m:ctrlPr>
            </m:e>
            <m:sup>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−4</m:t>
              </m:r>
              <m:ctrlPr>
                <w:rPr>
                  <w:rFonts w:ascii="Cambria Math" w:hAnsi="Cambria Math" w:cs="Times New Roman"/>
                  <w:iCs/>
                  <w:color w:val="0D0D0D" w:themeColor="text1" w:themeTint="F2"/>
                  <w:szCs w:val="24"/>
                  <w14:textFill>
                    <w14:solidFill>
                      <w14:schemeClr w14:val="tx1">
                        <w14:lumMod w14:val="95000"/>
                        <w14:lumOff w14:val="5000"/>
                      </w14:schemeClr>
                    </w14:solidFill>
                  </w14:textFill>
                </w:rPr>
              </m:ctrlPr>
            </m:sup>
          </m:sSup>
        </m:oMath>
      </m:oMathPara>
    </w:p>
    <w:p w14:paraId="5670F3F8">
      <w:pPr>
        <w:autoSpaceDE w:val="0"/>
        <w:autoSpaceDN w:val="0"/>
        <w:adjustRightInd w:val="0"/>
        <w:ind w:firstLine="480" w:firstLineChars="200"/>
        <w:rPr>
          <w:rFonts w:cs="Times New Roman"/>
          <w:color w:val="0D0D0D" w:themeColor="text1" w:themeTint="F2"/>
          <w:szCs w:val="24"/>
          <w:u w:val="single"/>
          <w14:textFill>
            <w14:solidFill>
              <w14:schemeClr w14:val="tx1">
                <w14:lumMod w14:val="95000"/>
                <w14:lumOff w14:val="5000"/>
              </w14:schemeClr>
            </w14:solidFill>
          </w14:textFill>
        </w:rPr>
      </w:pPr>
      <w:r>
        <w:rPr>
          <w:rFonts w:hint="eastAsia" w:cs="Times New Roman"/>
          <w:color w:val="0D0D0D" w:themeColor="text1" w:themeTint="F2"/>
          <w:szCs w:val="24"/>
          <w:u w:val="single"/>
          <w14:textFill>
            <w14:solidFill>
              <w14:schemeClr w14:val="tx1">
                <w14:lumMod w14:val="95000"/>
                <w14:lumOff w14:val="5000"/>
              </w14:schemeClr>
            </w14:solidFill>
          </w14:textFill>
        </w:rPr>
        <w:t>式中：</w:t>
      </w:r>
    </w:p>
    <w:p w14:paraId="464C49CF">
      <w:pPr>
        <w:autoSpaceDE w:val="0"/>
        <w:autoSpaceDN w:val="0"/>
        <w:adjustRightInd w:val="0"/>
        <w:ind w:firstLine="480" w:firstLineChars="200"/>
        <w:rPr>
          <w:rFonts w:cs="Times New Roman"/>
          <w:color w:val="0D0D0D" w:themeColor="text1" w:themeTint="F2"/>
          <w:szCs w:val="24"/>
          <w:u w:val="single"/>
          <w14:textFill>
            <w14:solidFill>
              <w14:schemeClr w14:val="tx1">
                <w14:lumMod w14:val="95000"/>
                <w14:lumOff w14:val="5000"/>
              </w14:schemeClr>
            </w14:solidFill>
          </w14:textFill>
        </w:rPr>
      </w:pPr>
      <w:r>
        <w:rPr>
          <w:rFonts w:hint="eastAsia" w:cs="Times New Roman"/>
          <w:color w:val="0D0D0D" w:themeColor="text1" w:themeTint="F2"/>
          <w:szCs w:val="24"/>
          <w:u w:val="single"/>
          <w14:textFill>
            <w14:solidFill>
              <w14:schemeClr w14:val="tx1">
                <w14:lumMod w14:val="95000"/>
                <w14:lumOff w14:val="5000"/>
              </w14:schemeClr>
            </w14:solidFill>
          </w14:textFill>
        </w:rPr>
        <w:t>E</w:t>
      </w:r>
      <w:r>
        <w:rPr>
          <w:rFonts w:hint="eastAsia" w:cs="Times New Roman"/>
          <w:color w:val="0D0D0D" w:themeColor="text1" w:themeTint="F2"/>
          <w:szCs w:val="24"/>
          <w:u w:val="single"/>
          <w:vertAlign w:val="subscript"/>
          <w14:textFill>
            <w14:solidFill>
              <w14:schemeClr w14:val="tx1">
                <w14:lumMod w14:val="95000"/>
                <w14:lumOff w14:val="5000"/>
              </w14:schemeClr>
            </w14:solidFill>
          </w14:textFill>
        </w:rPr>
        <w:t>产生量</w:t>
      </w:r>
      <w:r>
        <w:rPr>
          <w:rFonts w:hint="eastAsia" w:cs="Times New Roman"/>
          <w:color w:val="0D0D0D" w:themeColor="text1" w:themeTint="F2"/>
          <w:szCs w:val="24"/>
          <w:u w:val="single"/>
          <w14:textFill>
            <w14:solidFill>
              <w14:schemeClr w14:val="tx1">
                <w14:lumMod w14:val="95000"/>
                <w14:lumOff w14:val="5000"/>
              </w14:schemeClr>
            </w14:solidFill>
          </w14:textFill>
        </w:rPr>
        <w:t>——污水处理过程中产生的污泥量，以干泥计，t；</w:t>
      </w:r>
    </w:p>
    <w:p w14:paraId="77B8666F">
      <w:pPr>
        <w:autoSpaceDE w:val="0"/>
        <w:autoSpaceDN w:val="0"/>
        <w:adjustRightInd w:val="0"/>
        <w:ind w:firstLine="480" w:firstLineChars="200"/>
        <w:rPr>
          <w:rFonts w:cs="Times New Roman"/>
          <w:color w:val="0D0D0D" w:themeColor="text1" w:themeTint="F2"/>
          <w:szCs w:val="24"/>
          <w:u w:val="single"/>
          <w14:textFill>
            <w14:solidFill>
              <w14:schemeClr w14:val="tx1">
                <w14:lumMod w14:val="95000"/>
                <w14:lumOff w14:val="5000"/>
              </w14:schemeClr>
            </w14:solidFill>
          </w14:textFill>
        </w:rPr>
      </w:pPr>
      <w:r>
        <w:rPr>
          <w:rFonts w:hint="eastAsia" w:cs="Times New Roman"/>
          <w:color w:val="0D0D0D" w:themeColor="text1" w:themeTint="F2"/>
          <w:szCs w:val="24"/>
          <w:u w:val="single"/>
          <w14:textFill>
            <w14:solidFill>
              <w14:schemeClr w14:val="tx1">
                <w14:lumMod w14:val="95000"/>
                <w14:lumOff w14:val="5000"/>
              </w14:schemeClr>
            </w14:solidFill>
          </w14:textFill>
        </w:rPr>
        <w:t>Q——核算时段内排污单位废水排放量，m</w:t>
      </w:r>
      <w:r>
        <w:rPr>
          <w:rFonts w:hint="eastAsia" w:cs="Times New Roman"/>
          <w:color w:val="0D0D0D" w:themeColor="text1" w:themeTint="F2"/>
          <w:szCs w:val="24"/>
          <w:u w:val="single"/>
          <w:vertAlign w:val="superscript"/>
          <w14:textFill>
            <w14:solidFill>
              <w14:schemeClr w14:val="tx1">
                <w14:lumMod w14:val="95000"/>
                <w14:lumOff w14:val="5000"/>
              </w14:schemeClr>
            </w14:solidFill>
          </w14:textFill>
        </w:rPr>
        <w:t>3</w:t>
      </w:r>
      <w:r>
        <w:rPr>
          <w:rFonts w:hint="eastAsia" w:cs="Times New Roman"/>
          <w:color w:val="0D0D0D" w:themeColor="text1" w:themeTint="F2"/>
          <w:szCs w:val="24"/>
          <w:u w:val="single"/>
          <w14:textFill>
            <w14:solidFill>
              <w14:schemeClr w14:val="tx1">
                <w14:lumMod w14:val="95000"/>
                <w14:lumOff w14:val="5000"/>
              </w14:schemeClr>
            </w14:solidFill>
          </w14:textFill>
        </w:rPr>
        <w:t>，具有有效出水口实测值按实测值计，无有效出水口实测值按进水口实测值计，无有效进水口实测值按协议进水水量计；</w:t>
      </w:r>
    </w:p>
    <w:p w14:paraId="783EA12A">
      <w:pPr>
        <w:autoSpaceDE w:val="0"/>
        <w:autoSpaceDN w:val="0"/>
        <w:adjustRightInd w:val="0"/>
        <w:ind w:firstLine="480" w:firstLineChars="200"/>
        <w:rPr>
          <w:rFonts w:cs="Times New Roman"/>
          <w:color w:val="0D0D0D" w:themeColor="text1" w:themeTint="F2"/>
          <w:szCs w:val="24"/>
          <w:u w:val="single"/>
          <w14:textFill>
            <w14:solidFill>
              <w14:schemeClr w14:val="tx1">
                <w14:lumMod w14:val="95000"/>
                <w14:lumOff w14:val="5000"/>
              </w14:schemeClr>
            </w14:solidFill>
          </w14:textFill>
        </w:rPr>
      </w:pPr>
      <w:r>
        <w:rPr>
          <w:rFonts w:hint="eastAsia" w:cs="Times New Roman"/>
          <w:color w:val="0D0D0D" w:themeColor="text1" w:themeTint="F2"/>
          <w:szCs w:val="24"/>
          <w:u w:val="single"/>
          <w14:textFill>
            <w14:solidFill>
              <w14:schemeClr w14:val="tx1">
                <w14:lumMod w14:val="95000"/>
                <w14:lumOff w14:val="5000"/>
              </w14:schemeClr>
            </w14:solidFill>
          </w14:textFill>
        </w:rPr>
        <w:t>W</w:t>
      </w:r>
      <w:r>
        <w:rPr>
          <w:rFonts w:hint="eastAsia" w:cs="Times New Roman"/>
          <w:color w:val="0D0D0D" w:themeColor="text1" w:themeTint="F2"/>
          <w:szCs w:val="24"/>
          <w:u w:val="single"/>
          <w:vertAlign w:val="subscript"/>
          <w14:textFill>
            <w14:solidFill>
              <w14:schemeClr w14:val="tx1">
                <w14:lumMod w14:val="95000"/>
                <w14:lumOff w14:val="5000"/>
              </w14:schemeClr>
            </w14:solidFill>
          </w14:textFill>
        </w:rPr>
        <w:t>深</w:t>
      </w:r>
      <w:r>
        <w:rPr>
          <w:rFonts w:hint="eastAsia" w:cs="Times New Roman"/>
          <w:color w:val="0D0D0D" w:themeColor="text1" w:themeTint="F2"/>
          <w:szCs w:val="24"/>
          <w:u w:val="single"/>
          <w14:textFill>
            <w14:solidFill>
              <w14:schemeClr w14:val="tx1">
                <w14:lumMod w14:val="95000"/>
                <w14:lumOff w14:val="5000"/>
              </w14:schemeClr>
            </w14:solidFill>
          </w14:textFill>
        </w:rPr>
        <w:t>——有深度处理工艺（添加化学药剂）时按2计，无深度处理工艺时按1计，量纲一。</w:t>
      </w:r>
    </w:p>
    <w:p w14:paraId="3BFDF9A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s="Times New Roman"/>
          <w:color w:val="0D0D0D" w:themeColor="text1" w:themeTint="F2"/>
          <w:szCs w:val="24"/>
          <w:u w:val="single"/>
          <w14:textFill>
            <w14:solidFill>
              <w14:schemeClr w14:val="tx1">
                <w14:lumMod w14:val="95000"/>
                <w14:lumOff w14:val="5000"/>
              </w14:schemeClr>
            </w14:solidFill>
          </w14:textFill>
        </w:rPr>
        <w:t>项目污水处理站处理规模为</w:t>
      </w:r>
      <w:r>
        <w:rPr>
          <w:rFonts w:hint="eastAsia"/>
          <w:color w:val="0D0D0D" w:themeColor="text1" w:themeTint="F2"/>
          <w:u w:val="single"/>
          <w14:textFill>
            <w14:solidFill>
              <w14:schemeClr w14:val="tx1">
                <w14:lumMod w14:val="95000"/>
                <w14:lumOff w14:val="5000"/>
              </w14:schemeClr>
            </w14:solidFill>
          </w14:textFill>
        </w:rPr>
        <w:t>38156.44m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/a，127.19m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/d</w:t>
      </w:r>
      <w:r>
        <w:rPr>
          <w:rFonts w:hint="eastAsia" w:cs="Times New Roman"/>
          <w:color w:val="0D0D0D" w:themeColor="text1" w:themeTint="F2"/>
          <w:szCs w:val="24"/>
          <w:u w:val="single"/>
          <w14:textFill>
            <w14:solidFill>
              <w14:schemeClr w14:val="tx1">
                <w14:lumMod w14:val="95000"/>
                <w14:lumOff w14:val="5000"/>
              </w14:schemeClr>
            </w14:solidFill>
          </w14:textFill>
        </w:rPr>
        <w:t>，设有深度处理工艺，但不添加化学药剂，则</w:t>
      </w:r>
      <w:bookmarkStart w:id="110" w:name="_Hlk183770313"/>
      <w:r>
        <w:rPr>
          <w:rFonts w:hint="eastAsia" w:cs="Times New Roman"/>
          <w:color w:val="0D0D0D" w:themeColor="text1" w:themeTint="F2"/>
          <w:szCs w:val="24"/>
          <w:u w:val="single"/>
          <w14:textFill>
            <w14:solidFill>
              <w14:schemeClr w14:val="tx1">
                <w14:lumMod w14:val="95000"/>
                <w14:lumOff w14:val="5000"/>
              </w14:schemeClr>
            </w14:solidFill>
          </w14:textFill>
        </w:rPr>
        <w:t>干污泥产生量为6.49t/a，0.02t/d，污泥含水率一般为80~85%，本次评价按85%计，则污泥产生量为43.27t/a，0.14t/d。项目主要原料为废弃动植物油脂，不属于危险废物，根据《国家危险废物名录（2025年版）》，污泥</w:t>
      </w:r>
      <w:r>
        <w:rPr>
          <w:rFonts w:hint="eastAsia"/>
          <w:color w:val="0D0D0D" w:themeColor="text1" w:themeTint="F2"/>
          <w:u w:val="single"/>
          <w14:textFill>
            <w14:solidFill>
              <w14:schemeClr w14:val="tx1">
                <w14:lumMod w14:val="95000"/>
                <w14:lumOff w14:val="5000"/>
              </w14:schemeClr>
            </w14:solidFill>
          </w14:textFill>
        </w:rPr>
        <w:t>属于一般固废，可清运至垃圾填埋场或委托第三方单位进行资源化利用，本次评价要求污泥日产日清，不在厂区暂存。</w:t>
      </w:r>
    </w:p>
    <w:p w14:paraId="29D44642">
      <w:pPr>
        <w:autoSpaceDE w:val="0"/>
        <w:autoSpaceDN w:val="0"/>
        <w:adjustRightInd w:val="0"/>
        <w:ind w:firstLine="480" w:firstLineChars="200"/>
        <w:rPr>
          <w:rFonts w:cs="Times New Roman"/>
          <w:color w:val="0D0D0D" w:themeColor="text1" w:themeTint="F2"/>
          <w:szCs w:val="24"/>
          <w:u w:val="single"/>
          <w14:textFill>
            <w14:solidFill>
              <w14:schemeClr w14:val="tx1">
                <w14:lumMod w14:val="95000"/>
                <w14:lumOff w14:val="5000"/>
              </w14:schemeClr>
            </w14:solidFill>
          </w14:textFill>
        </w:rPr>
      </w:pPr>
      <w:r>
        <w:rPr>
          <w:rFonts w:hint="eastAsia" w:cs="Times New Roman"/>
          <w:color w:val="0D0D0D" w:themeColor="text1" w:themeTint="F2"/>
          <w:szCs w:val="24"/>
          <w:u w:val="single"/>
          <w14:textFill>
            <w14:solidFill>
              <w14:schemeClr w14:val="tx1">
                <w14:lumMod w14:val="95000"/>
                <w14:lumOff w14:val="5000"/>
              </w14:schemeClr>
            </w14:solidFill>
          </w14:textFill>
        </w:rPr>
        <w:t>根据《固体废物分类与代码目录》（生态环境部公告2024年第4号），</w:t>
      </w:r>
      <w:r>
        <w:rPr>
          <w:rFonts w:hint="eastAsia"/>
          <w:color w:val="0D0D0D" w:themeColor="text1" w:themeTint="F2"/>
          <w:u w:val="single"/>
          <w14:textFill>
            <w14:solidFill>
              <w14:schemeClr w14:val="tx1">
                <w14:lumMod w14:val="95000"/>
                <w14:lumOff w14:val="5000"/>
              </w14:schemeClr>
            </w14:solidFill>
          </w14:textFill>
        </w:rPr>
        <w:t>污泥</w:t>
      </w:r>
      <w:r>
        <w:rPr>
          <w:rFonts w:hint="eastAsia" w:cs="Times New Roman"/>
          <w:color w:val="0D0D0D" w:themeColor="text1" w:themeTint="F2"/>
          <w:szCs w:val="24"/>
          <w:u w:val="single"/>
          <w14:textFill>
            <w14:solidFill>
              <w14:schemeClr w14:val="tx1">
                <w14:lumMod w14:val="95000"/>
                <w14:lumOff w14:val="5000"/>
              </w14:schemeClr>
            </w14:solidFill>
          </w14:textFill>
        </w:rPr>
        <w:t>废物代码为</w:t>
      </w:r>
      <w:r>
        <w:rPr>
          <w:rFonts w:cs="Times New Roman"/>
          <w:color w:val="0D0D0D" w:themeColor="text1" w:themeTint="F2"/>
          <w:szCs w:val="24"/>
          <w:u w:val="single"/>
          <w14:textFill>
            <w14:solidFill>
              <w14:schemeClr w14:val="tx1">
                <w14:lumMod w14:val="95000"/>
                <w14:lumOff w14:val="5000"/>
              </w14:schemeClr>
            </w14:solidFill>
          </w14:textFill>
        </w:rPr>
        <w:t>900-099-S</w:t>
      </w:r>
      <w:r>
        <w:rPr>
          <w:rFonts w:hint="eastAsia" w:cs="Times New Roman"/>
          <w:color w:val="0D0D0D" w:themeColor="text1" w:themeTint="F2"/>
          <w:szCs w:val="24"/>
          <w:u w:val="single"/>
          <w14:textFill>
            <w14:solidFill>
              <w14:schemeClr w14:val="tx1">
                <w14:lumMod w14:val="95000"/>
                <w14:lumOff w14:val="5000"/>
              </w14:schemeClr>
            </w14:solidFill>
          </w14:textFill>
        </w:rPr>
        <w:t>07。</w:t>
      </w:r>
    </w:p>
    <w:bookmarkEnd w:id="110"/>
    <w:p w14:paraId="7EF6755B">
      <w:pPr>
        <w:autoSpaceDE w:val="0"/>
        <w:autoSpaceDN w:val="0"/>
        <w:adjustRightInd w:val="0"/>
        <w:ind w:firstLine="482" w:firstLineChars="200"/>
        <w:rPr>
          <w:rFonts w:cs="Times New Roman"/>
          <w:b/>
          <w:bCs/>
          <w:color w:val="0D0D0D" w:themeColor="text1" w:themeTint="F2"/>
          <w:szCs w:val="24"/>
          <w14:textFill>
            <w14:solidFill>
              <w14:schemeClr w14:val="tx1">
                <w14:lumMod w14:val="95000"/>
                <w14:lumOff w14:val="5000"/>
              </w14:schemeClr>
            </w14:solidFill>
          </w14:textFill>
        </w:rPr>
      </w:pPr>
      <w:r>
        <w:rPr>
          <w:rFonts w:hint="eastAsia" w:cs="Times New Roman"/>
          <w:b/>
          <w:bCs/>
          <w:color w:val="0D0D0D" w:themeColor="text1" w:themeTint="F2"/>
          <w:szCs w:val="24"/>
          <w14:textFill>
            <w14:solidFill>
              <w14:schemeClr w14:val="tx1">
                <w14:lumMod w14:val="95000"/>
                <w14:lumOff w14:val="5000"/>
              </w14:schemeClr>
            </w14:solidFill>
          </w14:textFill>
        </w:rPr>
        <w:t>（5）废MBR膜</w:t>
      </w:r>
    </w:p>
    <w:p w14:paraId="3EB62E14">
      <w:pPr>
        <w:ind w:firstLine="480" w:firstLineChars="200"/>
        <w:rPr>
          <w:rFonts w:cs="Times New Roman"/>
          <w:color w:val="0D0D0D" w:themeColor="text1" w:themeTint="F2"/>
          <w:szCs w:val="24"/>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项目污水处理站运行过程会定期更换MBR膜，约5年更换1次，更换量为0.1t/a，由生产厂家回收。</w:t>
      </w:r>
      <w:r>
        <w:rPr>
          <w:rFonts w:hint="eastAsia" w:cs="Times New Roman"/>
          <w:color w:val="0D0D0D" w:themeColor="text1" w:themeTint="F2"/>
          <w:szCs w:val="24"/>
          <w:u w:val="single"/>
          <w14:textFill>
            <w14:solidFill>
              <w14:schemeClr w14:val="tx1">
                <w14:lumMod w14:val="95000"/>
                <w14:lumOff w14:val="5000"/>
              </w14:schemeClr>
            </w14:solidFill>
          </w14:textFill>
        </w:rPr>
        <w:t>项目主要原料为废弃动植物油脂，不属于危险废物，根据《国家危险废物名录（2025年版）》，废MBR膜不属于危险废物。</w:t>
      </w:r>
    </w:p>
    <w:p w14:paraId="6E129758">
      <w:pPr>
        <w:ind w:firstLine="480" w:firstLineChars="200"/>
        <w:rPr>
          <w:rFonts w:cs="Times New Roman"/>
          <w:color w:val="0D0D0D" w:themeColor="text1" w:themeTint="F2"/>
          <w:szCs w:val="24"/>
          <w:u w:val="single"/>
          <w14:textFill>
            <w14:solidFill>
              <w14:schemeClr w14:val="tx1">
                <w14:lumMod w14:val="95000"/>
                <w14:lumOff w14:val="5000"/>
              </w14:schemeClr>
            </w14:solidFill>
          </w14:textFill>
        </w:rPr>
      </w:pPr>
      <w:r>
        <w:rPr>
          <w:rFonts w:hint="eastAsia" w:cs="Times New Roman"/>
          <w:color w:val="0D0D0D" w:themeColor="text1" w:themeTint="F2"/>
          <w:szCs w:val="24"/>
          <w:u w:val="single"/>
          <w14:textFill>
            <w14:solidFill>
              <w14:schemeClr w14:val="tx1">
                <w14:lumMod w14:val="95000"/>
                <w14:lumOff w14:val="5000"/>
              </w14:schemeClr>
            </w14:solidFill>
          </w14:textFill>
        </w:rPr>
        <w:t>根据《固体废物分类与代码目录》（生态环境部公告2024年第4号），废MBR膜废物代码为</w:t>
      </w:r>
      <w:r>
        <w:rPr>
          <w:rFonts w:cs="Times New Roman"/>
          <w:color w:val="0D0D0D" w:themeColor="text1" w:themeTint="F2"/>
          <w:szCs w:val="24"/>
          <w:u w:val="single"/>
          <w14:textFill>
            <w14:solidFill>
              <w14:schemeClr w14:val="tx1">
                <w14:lumMod w14:val="95000"/>
                <w14:lumOff w14:val="5000"/>
              </w14:schemeClr>
            </w14:solidFill>
          </w14:textFill>
        </w:rPr>
        <w:t>900-099-S</w:t>
      </w:r>
      <w:r>
        <w:rPr>
          <w:rFonts w:hint="eastAsia" w:cs="Times New Roman"/>
          <w:color w:val="0D0D0D" w:themeColor="text1" w:themeTint="F2"/>
          <w:szCs w:val="24"/>
          <w:u w:val="single"/>
          <w14:textFill>
            <w14:solidFill>
              <w14:schemeClr w14:val="tx1">
                <w14:lumMod w14:val="95000"/>
                <w14:lumOff w14:val="5000"/>
              </w14:schemeClr>
            </w14:solidFill>
          </w14:textFill>
        </w:rPr>
        <w:t>59。</w:t>
      </w:r>
    </w:p>
    <w:p w14:paraId="45F4931C">
      <w:pPr>
        <w:autoSpaceDE w:val="0"/>
        <w:autoSpaceDN w:val="0"/>
        <w:adjustRightInd w:val="0"/>
        <w:ind w:firstLine="482" w:firstLineChars="200"/>
        <w:rPr>
          <w:rFonts w:cs="Times New Roman"/>
          <w:b/>
          <w:bCs/>
          <w:color w:val="0D0D0D" w:themeColor="text1" w:themeTint="F2"/>
          <w:szCs w:val="24"/>
          <w14:textFill>
            <w14:solidFill>
              <w14:schemeClr w14:val="tx1">
                <w14:lumMod w14:val="95000"/>
                <w14:lumOff w14:val="5000"/>
              </w14:schemeClr>
            </w14:solidFill>
          </w14:textFill>
        </w:rPr>
      </w:pPr>
      <w:r>
        <w:rPr>
          <w:rFonts w:hint="eastAsia" w:cs="Times New Roman"/>
          <w:b/>
          <w:bCs/>
          <w:color w:val="0D0D0D" w:themeColor="text1" w:themeTint="F2"/>
          <w:szCs w:val="24"/>
          <w14:textFill>
            <w14:solidFill>
              <w14:schemeClr w14:val="tx1">
                <w14:lumMod w14:val="95000"/>
                <w14:lumOff w14:val="5000"/>
              </w14:schemeClr>
            </w14:solidFill>
          </w14:textFill>
        </w:rPr>
        <w:t>（6）除尘器收集粉尘</w:t>
      </w:r>
    </w:p>
    <w:p w14:paraId="55917DFC">
      <w:pPr>
        <w:ind w:firstLine="480" w:firstLineChars="200"/>
        <w:rPr>
          <w:rFonts w:cs="Times New Roman"/>
          <w:color w:val="0D0D0D" w:themeColor="text1" w:themeTint="F2"/>
          <w:szCs w:val="24"/>
          <w:u w:val="single"/>
          <w14:textFill>
            <w14:solidFill>
              <w14:schemeClr w14:val="tx1">
                <w14:lumMod w14:val="95000"/>
                <w14:lumOff w14:val="5000"/>
              </w14:schemeClr>
            </w14:solidFill>
          </w14:textFill>
        </w:rPr>
      </w:pPr>
      <w:r>
        <w:rPr>
          <w:rFonts w:hint="eastAsia" w:cs="Times New Roman"/>
          <w:color w:val="0D0D0D" w:themeColor="text1" w:themeTint="F2"/>
          <w:szCs w:val="24"/>
          <w:u w:val="single"/>
          <w14:textFill>
            <w14:solidFill>
              <w14:schemeClr w14:val="tx1">
                <w14:lumMod w14:val="95000"/>
                <w14:lumOff w14:val="5000"/>
              </w14:schemeClr>
            </w14:solidFill>
          </w14:textFill>
        </w:rPr>
        <w:t>除尘器收集粉尘为导热油炉废气处理系统配置的除尘器收集粉尘，根据上文核算，除尘器收集粉尘为110.64t/a。生物质燃料不添加任何化学物质，根据《国家危险废物名录（2025年版）》，除尘器收集粉尘</w:t>
      </w:r>
      <w:r>
        <w:rPr>
          <w:rFonts w:hint="eastAsia"/>
          <w:color w:val="0D0D0D" w:themeColor="text1" w:themeTint="F2"/>
          <w:u w:val="single"/>
          <w14:textFill>
            <w14:solidFill>
              <w14:schemeClr w14:val="tx1">
                <w14:lumMod w14:val="95000"/>
                <w14:lumOff w14:val="5000"/>
              </w14:schemeClr>
            </w14:solidFill>
          </w14:textFill>
        </w:rPr>
        <w:t>属于一般固废，使用密闭专用容器收集后，暂存在一般固废暂存间，外售第三方单位资源回收利用。</w:t>
      </w:r>
    </w:p>
    <w:p w14:paraId="499B11ED">
      <w:pPr>
        <w:autoSpaceDE w:val="0"/>
        <w:autoSpaceDN w:val="0"/>
        <w:adjustRightInd w:val="0"/>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根据《固体废物分类与代码目录》（生态环境部公告2024年第4号），</w:t>
      </w:r>
      <w:r>
        <w:rPr>
          <w:rFonts w:hint="eastAsia"/>
          <w:color w:val="0D0D0D" w:themeColor="text1" w:themeTint="F2"/>
          <w14:textFill>
            <w14:solidFill>
              <w14:schemeClr w14:val="tx1">
                <w14:lumMod w14:val="95000"/>
                <w14:lumOff w14:val="5000"/>
              </w14:schemeClr>
            </w14:solidFill>
          </w14:textFill>
        </w:rPr>
        <w:t>除尘器收集粉尘</w:t>
      </w:r>
      <w:r>
        <w:rPr>
          <w:rFonts w:hint="eastAsia" w:cs="Times New Roman"/>
          <w:color w:val="0D0D0D" w:themeColor="text1" w:themeTint="F2"/>
          <w:szCs w:val="24"/>
          <w14:textFill>
            <w14:solidFill>
              <w14:schemeClr w14:val="tx1">
                <w14:lumMod w14:val="95000"/>
                <w14:lumOff w14:val="5000"/>
              </w14:schemeClr>
            </w14:solidFill>
          </w14:textFill>
        </w:rPr>
        <w:t>废物代码为</w:t>
      </w:r>
      <w:r>
        <w:rPr>
          <w:rFonts w:cs="Times New Roman"/>
          <w:color w:val="0D0D0D" w:themeColor="text1" w:themeTint="F2"/>
          <w:szCs w:val="24"/>
          <w14:textFill>
            <w14:solidFill>
              <w14:schemeClr w14:val="tx1">
                <w14:lumMod w14:val="95000"/>
                <w14:lumOff w14:val="5000"/>
              </w14:schemeClr>
            </w14:solidFill>
          </w14:textFill>
        </w:rPr>
        <w:t>900-099-S</w:t>
      </w:r>
      <w:r>
        <w:rPr>
          <w:rFonts w:hint="eastAsia" w:cs="Times New Roman"/>
          <w:color w:val="0D0D0D" w:themeColor="text1" w:themeTint="F2"/>
          <w:szCs w:val="24"/>
          <w14:textFill>
            <w14:solidFill>
              <w14:schemeClr w14:val="tx1">
                <w14:lumMod w14:val="95000"/>
                <w14:lumOff w14:val="5000"/>
              </w14:schemeClr>
            </w14:solidFill>
          </w14:textFill>
        </w:rPr>
        <w:t>59。</w:t>
      </w:r>
    </w:p>
    <w:p w14:paraId="549232EB">
      <w:pPr>
        <w:autoSpaceDE w:val="0"/>
        <w:autoSpaceDN w:val="0"/>
        <w:adjustRightInd w:val="0"/>
        <w:ind w:firstLine="482" w:firstLineChars="200"/>
        <w:rPr>
          <w:rFonts w:cs="Times New Roman"/>
          <w:b/>
          <w:bCs/>
          <w:color w:val="0D0D0D" w:themeColor="text1" w:themeTint="F2"/>
          <w:szCs w:val="24"/>
          <w:u w:val="single"/>
          <w14:textFill>
            <w14:solidFill>
              <w14:schemeClr w14:val="tx1">
                <w14:lumMod w14:val="95000"/>
                <w14:lumOff w14:val="5000"/>
              </w14:schemeClr>
            </w14:solidFill>
          </w14:textFill>
        </w:rPr>
      </w:pPr>
      <w:r>
        <w:rPr>
          <w:rFonts w:hint="eastAsia" w:cs="Times New Roman"/>
          <w:b/>
          <w:bCs/>
          <w:color w:val="0D0D0D" w:themeColor="text1" w:themeTint="F2"/>
          <w:szCs w:val="24"/>
          <w:u w:val="single"/>
          <w14:textFill>
            <w14:solidFill>
              <w14:schemeClr w14:val="tx1">
                <w14:lumMod w14:val="95000"/>
                <w14:lumOff w14:val="5000"/>
              </w14:schemeClr>
            </w14:solidFill>
          </w14:textFill>
        </w:rPr>
        <w:t>（7）废布袋</w:t>
      </w:r>
    </w:p>
    <w:p w14:paraId="08FC991D">
      <w:pPr>
        <w:autoSpaceDE w:val="0"/>
        <w:autoSpaceDN w:val="0"/>
        <w:adjustRightInd w:val="0"/>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u w:val="single"/>
          <w14:textFill>
            <w14:solidFill>
              <w14:schemeClr w14:val="tx1">
                <w14:lumMod w14:val="95000"/>
                <w14:lumOff w14:val="5000"/>
              </w14:schemeClr>
            </w14:solidFill>
          </w14:textFill>
        </w:rPr>
        <w:t>布袋除尘器会产生废布袋，每3年更换1次，产生量约为0.05t/a，根据《国家危险废物名录（2025年版）》，废布袋属于一般固废，</w:t>
      </w:r>
      <w:r>
        <w:rPr>
          <w:rFonts w:hint="eastAsia"/>
          <w:color w:val="0D0D0D" w:themeColor="text1" w:themeTint="F2"/>
          <w:u w:val="single"/>
          <w14:textFill>
            <w14:solidFill>
              <w14:schemeClr w14:val="tx1">
                <w14:lumMod w14:val="95000"/>
                <w14:lumOff w14:val="5000"/>
              </w14:schemeClr>
            </w14:solidFill>
          </w14:textFill>
        </w:rPr>
        <w:t>使用密闭专用容器收集后，暂存在一般固废暂存间，外售第三方单位资源回收利用。</w:t>
      </w:r>
    </w:p>
    <w:p w14:paraId="3144CF4A">
      <w:pPr>
        <w:autoSpaceDE w:val="0"/>
        <w:autoSpaceDN w:val="0"/>
        <w:adjustRightInd w:val="0"/>
        <w:ind w:firstLine="480" w:firstLineChars="200"/>
        <w:rPr>
          <w:rFonts w:cs="Times New Roman"/>
          <w:color w:val="0D0D0D" w:themeColor="text1" w:themeTint="F2"/>
          <w:szCs w:val="24"/>
          <w:u w:val="single"/>
          <w14:textFill>
            <w14:solidFill>
              <w14:schemeClr w14:val="tx1">
                <w14:lumMod w14:val="95000"/>
                <w14:lumOff w14:val="5000"/>
              </w14:schemeClr>
            </w14:solidFill>
          </w14:textFill>
        </w:rPr>
      </w:pPr>
      <w:r>
        <w:rPr>
          <w:rFonts w:hint="eastAsia" w:cs="Times New Roman"/>
          <w:color w:val="0D0D0D" w:themeColor="text1" w:themeTint="F2"/>
          <w:szCs w:val="24"/>
          <w:u w:val="single"/>
          <w14:textFill>
            <w14:solidFill>
              <w14:schemeClr w14:val="tx1">
                <w14:lumMod w14:val="95000"/>
                <w14:lumOff w14:val="5000"/>
              </w14:schemeClr>
            </w14:solidFill>
          </w14:textFill>
        </w:rPr>
        <w:t>根据《固体废物分类与代码目录》（生态环境部公告2024年第4号），</w:t>
      </w:r>
      <w:r>
        <w:rPr>
          <w:rFonts w:hint="eastAsia"/>
          <w:color w:val="0D0D0D" w:themeColor="text1" w:themeTint="F2"/>
          <w:u w:val="single"/>
          <w14:textFill>
            <w14:solidFill>
              <w14:schemeClr w14:val="tx1">
                <w14:lumMod w14:val="95000"/>
                <w14:lumOff w14:val="5000"/>
              </w14:schemeClr>
            </w14:solidFill>
          </w14:textFill>
        </w:rPr>
        <w:t>废布袋</w:t>
      </w:r>
      <w:r>
        <w:rPr>
          <w:rFonts w:hint="eastAsia" w:cs="Times New Roman"/>
          <w:color w:val="0D0D0D" w:themeColor="text1" w:themeTint="F2"/>
          <w:szCs w:val="24"/>
          <w:u w:val="single"/>
          <w14:textFill>
            <w14:solidFill>
              <w14:schemeClr w14:val="tx1">
                <w14:lumMod w14:val="95000"/>
                <w14:lumOff w14:val="5000"/>
              </w14:schemeClr>
            </w14:solidFill>
          </w14:textFill>
        </w:rPr>
        <w:t>废物代码为</w:t>
      </w:r>
      <w:r>
        <w:rPr>
          <w:rFonts w:cs="Times New Roman"/>
          <w:color w:val="0D0D0D" w:themeColor="text1" w:themeTint="F2"/>
          <w:szCs w:val="24"/>
          <w:u w:val="single"/>
          <w14:textFill>
            <w14:solidFill>
              <w14:schemeClr w14:val="tx1">
                <w14:lumMod w14:val="95000"/>
                <w14:lumOff w14:val="5000"/>
              </w14:schemeClr>
            </w14:solidFill>
          </w14:textFill>
        </w:rPr>
        <w:t>900-099-S</w:t>
      </w:r>
      <w:r>
        <w:rPr>
          <w:rFonts w:hint="eastAsia" w:cs="Times New Roman"/>
          <w:color w:val="0D0D0D" w:themeColor="text1" w:themeTint="F2"/>
          <w:szCs w:val="24"/>
          <w:u w:val="single"/>
          <w14:textFill>
            <w14:solidFill>
              <w14:schemeClr w14:val="tx1">
                <w14:lumMod w14:val="95000"/>
                <w14:lumOff w14:val="5000"/>
              </w14:schemeClr>
            </w14:solidFill>
          </w14:textFill>
        </w:rPr>
        <w:t>59。</w:t>
      </w:r>
    </w:p>
    <w:p w14:paraId="5176FBF7">
      <w:pPr>
        <w:autoSpaceDE w:val="0"/>
        <w:autoSpaceDN w:val="0"/>
        <w:adjustRightInd w:val="0"/>
        <w:ind w:firstLine="482" w:firstLineChars="200"/>
        <w:rPr>
          <w:rFonts w:cs="Times New Roman"/>
          <w:b/>
          <w:bCs/>
          <w:color w:val="0D0D0D" w:themeColor="text1" w:themeTint="F2"/>
          <w:szCs w:val="24"/>
          <w14:textFill>
            <w14:solidFill>
              <w14:schemeClr w14:val="tx1">
                <w14:lumMod w14:val="95000"/>
                <w14:lumOff w14:val="5000"/>
              </w14:schemeClr>
            </w14:solidFill>
          </w14:textFill>
        </w:rPr>
      </w:pPr>
      <w:r>
        <w:rPr>
          <w:rFonts w:hint="eastAsia" w:cs="Times New Roman"/>
          <w:b/>
          <w:bCs/>
          <w:color w:val="0D0D0D" w:themeColor="text1" w:themeTint="F2"/>
          <w:szCs w:val="24"/>
          <w14:textFill>
            <w14:solidFill>
              <w14:schemeClr w14:val="tx1">
                <w14:lumMod w14:val="95000"/>
                <w14:lumOff w14:val="5000"/>
              </w14:schemeClr>
            </w14:solidFill>
          </w14:textFill>
        </w:rPr>
        <w:t>（8）炉渣</w:t>
      </w:r>
    </w:p>
    <w:p w14:paraId="2EE59C31">
      <w:pPr>
        <w:ind w:firstLine="480" w:firstLineChars="200"/>
        <w:rPr>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项目导热油炉使用过程中会产生炉渣，生物质燃料消耗量为16359t/a，灰分含量为3%，全部以炉渣形式存在，即炉渣产生量为490.77t/a。生物质燃料不添加任何化学物质，根据《国家危险废物名录（2025年版）》，炉渣</w:t>
      </w:r>
      <w:r>
        <w:rPr>
          <w:rFonts w:hint="eastAsia"/>
          <w:color w:val="0D0D0D" w:themeColor="text1" w:themeTint="F2"/>
          <w14:textFill>
            <w14:solidFill>
              <w14:schemeClr w14:val="tx1">
                <w14:lumMod w14:val="95000"/>
                <w14:lumOff w14:val="5000"/>
              </w14:schemeClr>
            </w14:solidFill>
          </w14:textFill>
        </w:rPr>
        <w:t>属于一般固废，使用密闭专用容器收集后，暂存在一般固废暂存间，外售第三方单位资源回收利用。</w:t>
      </w:r>
    </w:p>
    <w:p w14:paraId="44835618">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根据《固体废物分类与代码目录》（生态环境部公告2024年第4号），</w:t>
      </w:r>
      <w:r>
        <w:rPr>
          <w:rFonts w:hint="eastAsia"/>
          <w:color w:val="0D0D0D" w:themeColor="text1" w:themeTint="F2"/>
          <w14:textFill>
            <w14:solidFill>
              <w14:schemeClr w14:val="tx1">
                <w14:lumMod w14:val="95000"/>
                <w14:lumOff w14:val="5000"/>
              </w14:schemeClr>
            </w14:solidFill>
          </w14:textFill>
        </w:rPr>
        <w:t>炉渣</w:t>
      </w:r>
      <w:r>
        <w:rPr>
          <w:rFonts w:hint="eastAsia" w:cs="Times New Roman"/>
          <w:color w:val="0D0D0D" w:themeColor="text1" w:themeTint="F2"/>
          <w:szCs w:val="24"/>
          <w14:textFill>
            <w14:solidFill>
              <w14:schemeClr w14:val="tx1">
                <w14:lumMod w14:val="95000"/>
                <w14:lumOff w14:val="5000"/>
              </w14:schemeClr>
            </w14:solidFill>
          </w14:textFill>
        </w:rPr>
        <w:t>废物代码为</w:t>
      </w:r>
      <w:r>
        <w:rPr>
          <w:rFonts w:cs="Times New Roman"/>
          <w:color w:val="0D0D0D" w:themeColor="text1" w:themeTint="F2"/>
          <w:szCs w:val="24"/>
          <w14:textFill>
            <w14:solidFill>
              <w14:schemeClr w14:val="tx1">
                <w14:lumMod w14:val="95000"/>
                <w14:lumOff w14:val="5000"/>
              </w14:schemeClr>
            </w14:solidFill>
          </w14:textFill>
        </w:rPr>
        <w:t>900-099-S</w:t>
      </w:r>
      <w:r>
        <w:rPr>
          <w:rFonts w:hint="eastAsia" w:cs="Times New Roman"/>
          <w:color w:val="0D0D0D" w:themeColor="text1" w:themeTint="F2"/>
          <w:szCs w:val="24"/>
          <w14:textFill>
            <w14:solidFill>
              <w14:schemeClr w14:val="tx1">
                <w14:lumMod w14:val="95000"/>
                <w14:lumOff w14:val="5000"/>
              </w14:schemeClr>
            </w14:solidFill>
          </w14:textFill>
        </w:rPr>
        <w:t>03。</w:t>
      </w:r>
    </w:p>
    <w:p w14:paraId="3C841479">
      <w:pPr>
        <w:ind w:firstLine="482" w:firstLineChars="200"/>
        <w:rPr>
          <w:rFonts w:cs="Times New Roman"/>
          <w:b/>
          <w:bCs/>
          <w:color w:val="0D0D0D" w:themeColor="text1" w:themeTint="F2"/>
          <w:szCs w:val="24"/>
          <w14:textFill>
            <w14:solidFill>
              <w14:schemeClr w14:val="tx1">
                <w14:lumMod w14:val="95000"/>
                <w14:lumOff w14:val="5000"/>
              </w14:schemeClr>
            </w14:solidFill>
          </w14:textFill>
        </w:rPr>
      </w:pPr>
      <w:r>
        <w:rPr>
          <w:rFonts w:hint="eastAsia" w:cs="Times New Roman"/>
          <w:b/>
          <w:bCs/>
          <w:color w:val="0D0D0D" w:themeColor="text1" w:themeTint="F2"/>
          <w:szCs w:val="24"/>
          <w14:textFill>
            <w14:solidFill>
              <w14:schemeClr w14:val="tx1">
                <w14:lumMod w14:val="95000"/>
                <w14:lumOff w14:val="5000"/>
              </w14:schemeClr>
            </w14:solidFill>
          </w14:textFill>
        </w:rPr>
        <w:t>（9）废离子交换树脂</w:t>
      </w:r>
    </w:p>
    <w:p w14:paraId="50A9E8CC">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项目纯水制备过程会产生废离子交换树脂，产生量约为0.1t/a。项目废离子交换树脂为纯水制备时所产生，纯水制备过程所用新鲜水为自来水，水中不含重金属等危险性物质。根据《国家危险废物名录（2025年版）》，废离子交换树脂不属于危险废物，属于一般固废，由生产厂家回收处置。</w:t>
      </w:r>
    </w:p>
    <w:p w14:paraId="10822B00">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根据《固体废物分类与代码目录》（生态环境部公告2024年第4号），废离子交换树脂废物代码为</w:t>
      </w:r>
      <w:r>
        <w:rPr>
          <w:rFonts w:cs="Times New Roman"/>
          <w:color w:val="0D0D0D" w:themeColor="text1" w:themeTint="F2"/>
          <w:szCs w:val="24"/>
          <w14:textFill>
            <w14:solidFill>
              <w14:schemeClr w14:val="tx1">
                <w14:lumMod w14:val="95000"/>
                <w14:lumOff w14:val="5000"/>
              </w14:schemeClr>
            </w14:solidFill>
          </w14:textFill>
        </w:rPr>
        <w:t>900-099-S</w:t>
      </w:r>
      <w:r>
        <w:rPr>
          <w:rFonts w:hint="eastAsia" w:cs="Times New Roman"/>
          <w:color w:val="0D0D0D" w:themeColor="text1" w:themeTint="F2"/>
          <w:szCs w:val="24"/>
          <w14:textFill>
            <w14:solidFill>
              <w14:schemeClr w14:val="tx1">
                <w14:lumMod w14:val="95000"/>
                <w14:lumOff w14:val="5000"/>
              </w14:schemeClr>
            </w14:solidFill>
          </w14:textFill>
        </w:rPr>
        <w:t>59。</w:t>
      </w:r>
    </w:p>
    <w:p w14:paraId="1FD7C17D">
      <w:pPr>
        <w:ind w:firstLine="482" w:firstLineChars="200"/>
        <w:rPr>
          <w:b/>
          <w:bCs/>
          <w:color w:val="0D0D0D" w:themeColor="text1" w:themeTint="F2"/>
          <w:u w:val="single"/>
          <w14:textFill>
            <w14:solidFill>
              <w14:schemeClr w14:val="tx1">
                <w14:lumMod w14:val="95000"/>
                <w14:lumOff w14:val="5000"/>
              </w14:schemeClr>
            </w14:solidFill>
          </w14:textFill>
        </w:rPr>
      </w:pPr>
      <w:r>
        <w:rPr>
          <w:rFonts w:hint="eastAsia"/>
          <w:b/>
          <w:bCs/>
          <w:color w:val="0D0D0D" w:themeColor="text1" w:themeTint="F2"/>
          <w:u w:val="single"/>
          <w14:textFill>
            <w14:solidFill>
              <w14:schemeClr w14:val="tx1">
                <w14:lumMod w14:val="95000"/>
                <w14:lumOff w14:val="5000"/>
              </w14:schemeClr>
            </w14:solidFill>
          </w14:textFill>
        </w:rPr>
        <w:t>（10）废脱硫剂</w:t>
      </w:r>
    </w:p>
    <w:p w14:paraId="5C04FE20">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根据《沼气常温氧化铁脱硫催化剂的研制》（武汉工程大学学报 2010.07）可知：常温下，理论上每100g活性氧化铁一次可吸收脱除57.5g硫化氢气体。项目硫化氢的吸收量为348.15kg/a，则脱硫剂使用量为605kg/a，废脱硫剂产生量为0.95t/a。沼气脱硫装置中失去活性的废脱硫剂，主要成分为单质硫、氧化铁等。废脱硫剂未列入《国家危险废物名录》（2025年版），不属于危险废物，属于一般固废，由供应商回收利用。</w:t>
      </w:r>
      <w:r>
        <w:rPr>
          <w:rFonts w:hint="eastAsia" w:cs="Times New Roman"/>
          <w:color w:val="0D0D0D" w:themeColor="text1" w:themeTint="F2"/>
          <w:szCs w:val="24"/>
          <w:u w:val="single"/>
          <w14:textFill>
            <w14:solidFill>
              <w14:schemeClr w14:val="tx1">
                <w14:lumMod w14:val="95000"/>
                <w14:lumOff w14:val="5000"/>
              </w14:schemeClr>
            </w14:solidFill>
          </w14:textFill>
        </w:rPr>
        <w:t>根据《固体废物分类与代码目录》（生态环境部公告2024年第4号），</w:t>
      </w:r>
      <w:r>
        <w:rPr>
          <w:rFonts w:hint="eastAsia"/>
          <w:color w:val="0D0D0D" w:themeColor="text1" w:themeTint="F2"/>
          <w:u w:val="single"/>
          <w14:textFill>
            <w14:solidFill>
              <w14:schemeClr w14:val="tx1">
                <w14:lumMod w14:val="95000"/>
                <w14:lumOff w14:val="5000"/>
              </w14:schemeClr>
            </w14:solidFill>
          </w14:textFill>
        </w:rPr>
        <w:t>废脱硫剂</w:t>
      </w:r>
      <w:r>
        <w:rPr>
          <w:rFonts w:hint="eastAsia" w:cs="Times New Roman"/>
          <w:color w:val="0D0D0D" w:themeColor="text1" w:themeTint="F2"/>
          <w:szCs w:val="24"/>
          <w:u w:val="single"/>
          <w14:textFill>
            <w14:solidFill>
              <w14:schemeClr w14:val="tx1">
                <w14:lumMod w14:val="95000"/>
                <w14:lumOff w14:val="5000"/>
              </w14:schemeClr>
            </w14:solidFill>
          </w14:textFill>
        </w:rPr>
        <w:t>废物代码为</w:t>
      </w:r>
      <w:r>
        <w:rPr>
          <w:rFonts w:cs="Times New Roman"/>
          <w:color w:val="0D0D0D" w:themeColor="text1" w:themeTint="F2"/>
          <w:szCs w:val="24"/>
          <w:u w:val="single"/>
          <w14:textFill>
            <w14:solidFill>
              <w14:schemeClr w14:val="tx1">
                <w14:lumMod w14:val="95000"/>
                <w14:lumOff w14:val="5000"/>
              </w14:schemeClr>
            </w14:solidFill>
          </w14:textFill>
        </w:rPr>
        <w:t>900-099-S</w:t>
      </w:r>
      <w:r>
        <w:rPr>
          <w:rFonts w:hint="eastAsia" w:cs="Times New Roman"/>
          <w:color w:val="0D0D0D" w:themeColor="text1" w:themeTint="F2"/>
          <w:szCs w:val="24"/>
          <w:u w:val="single"/>
          <w14:textFill>
            <w14:solidFill>
              <w14:schemeClr w14:val="tx1">
                <w14:lumMod w14:val="95000"/>
                <w14:lumOff w14:val="5000"/>
              </w14:schemeClr>
            </w14:solidFill>
          </w14:textFill>
        </w:rPr>
        <w:t>59。</w:t>
      </w:r>
    </w:p>
    <w:p w14:paraId="49EB5362">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（11）废导热油</w:t>
      </w:r>
    </w:p>
    <w:p w14:paraId="45161DF6">
      <w:pPr>
        <w:autoSpaceDE w:val="0"/>
        <w:autoSpaceDN w:val="0"/>
        <w:adjustRightInd w:val="0"/>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项目导热油炉导热油循环使用，每5年定期更换1次，导热油使用量约为10t，废导热油产生量为2t/a。</w:t>
      </w:r>
    </w:p>
    <w:p w14:paraId="3011C853">
      <w:pPr>
        <w:autoSpaceDE w:val="0"/>
        <w:autoSpaceDN w:val="0"/>
        <w:adjustRightInd w:val="0"/>
        <w:ind w:firstLine="480" w:firstLineChars="200"/>
        <w:rPr>
          <w:rFonts w:cs="Times New Roman"/>
          <w:color w:val="0D0D0D" w:themeColor="text1" w:themeTint="F2"/>
          <w:szCs w:val="24"/>
          <w:u w:val="single"/>
          <w14:textFill>
            <w14:solidFill>
              <w14:schemeClr w14:val="tx1">
                <w14:lumMod w14:val="95000"/>
                <w14:lumOff w14:val="5000"/>
              </w14:schemeClr>
            </w14:solidFill>
          </w14:textFill>
        </w:rPr>
      </w:pPr>
      <w:r>
        <w:rPr>
          <w:rFonts w:hint="eastAsia" w:cs="Times New Roman"/>
          <w:color w:val="0D0D0D" w:themeColor="text1" w:themeTint="F2"/>
          <w:szCs w:val="24"/>
          <w:u w:val="single"/>
          <w14:textFill>
            <w14:solidFill>
              <w14:schemeClr w14:val="tx1">
                <w14:lumMod w14:val="95000"/>
                <w14:lumOff w14:val="5000"/>
              </w14:schemeClr>
            </w14:solidFill>
          </w14:textFill>
        </w:rPr>
        <w:t>根据《国家危险废物名录（2025年版）》，废导热油属于危险废物，废物类别为HW08废矿物油与含矿物油废物，废物代码为</w:t>
      </w:r>
      <w:r>
        <w:rPr>
          <w:rFonts w:cs="Times New Roman"/>
          <w:color w:val="0D0D0D" w:themeColor="text1" w:themeTint="F2"/>
          <w:szCs w:val="24"/>
          <w:u w:val="single"/>
          <w14:textFill>
            <w14:solidFill>
              <w14:schemeClr w14:val="tx1">
                <w14:lumMod w14:val="95000"/>
                <w14:lumOff w14:val="5000"/>
              </w14:schemeClr>
            </w14:solidFill>
          </w14:textFill>
        </w:rPr>
        <w:t>900-249-08</w:t>
      </w:r>
      <w:r>
        <w:rPr>
          <w:rFonts w:hint="eastAsia" w:cs="Times New Roman"/>
          <w:color w:val="0D0D0D" w:themeColor="text1" w:themeTint="F2"/>
          <w:szCs w:val="24"/>
          <w:u w:val="single"/>
          <w14:textFill>
            <w14:solidFill>
              <w14:schemeClr w14:val="tx1">
                <w14:lumMod w14:val="95000"/>
                <w14:lumOff w14:val="5000"/>
              </w14:schemeClr>
            </w14:solidFill>
          </w14:textFill>
        </w:rPr>
        <w:t>其他生产、销售、使用过程中产生的废矿物油及沾染矿物油的废弃包装物，危险特性为毒性和易燃性，废导热油在更换时委托有资质单位清运处置，不在厂内暂存。</w:t>
      </w:r>
    </w:p>
    <w:p w14:paraId="7D499AC5">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（12）废机油</w:t>
      </w:r>
    </w:p>
    <w:p w14:paraId="5F24164A">
      <w:pPr>
        <w:autoSpaceDE w:val="0"/>
        <w:autoSpaceDN w:val="0"/>
        <w:adjustRightInd w:val="0"/>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项目设备维护过程中会产生少量的废机油，根据项目设计资料和类比同类型项目，</w:t>
      </w:r>
      <w:r>
        <w:rPr>
          <w:rFonts w:hint="eastAsia"/>
          <w:color w:val="0D0D0D" w:themeColor="text1" w:themeTint="F2"/>
          <w14:textFill>
            <w14:solidFill>
              <w14:schemeClr w14:val="tx1">
                <w14:lumMod w14:val="95000"/>
                <w14:lumOff w14:val="5000"/>
              </w14:schemeClr>
            </w14:solidFill>
          </w14:textFill>
        </w:rPr>
        <w:t>废机油</w:t>
      </w:r>
      <w:r>
        <w:rPr>
          <w:rFonts w:hint="eastAsia" w:cs="Times New Roman"/>
          <w:color w:val="0D0D0D" w:themeColor="text1" w:themeTint="F2"/>
          <w:szCs w:val="24"/>
          <w14:textFill>
            <w14:solidFill>
              <w14:schemeClr w14:val="tx1">
                <w14:lumMod w14:val="95000"/>
                <w14:lumOff w14:val="5000"/>
              </w14:schemeClr>
            </w14:solidFill>
          </w14:textFill>
        </w:rPr>
        <w:t>产生量约为0.5t/a。</w:t>
      </w:r>
    </w:p>
    <w:p w14:paraId="74993045">
      <w:pPr>
        <w:autoSpaceDE w:val="0"/>
        <w:autoSpaceDN w:val="0"/>
        <w:adjustRightInd w:val="0"/>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根据《国家危险废物名录（2025年版）》，</w:t>
      </w:r>
      <w:r>
        <w:rPr>
          <w:rFonts w:hint="eastAsia"/>
          <w:color w:val="0D0D0D" w:themeColor="text1" w:themeTint="F2"/>
          <w14:textFill>
            <w14:solidFill>
              <w14:schemeClr w14:val="tx1">
                <w14:lumMod w14:val="95000"/>
                <w14:lumOff w14:val="5000"/>
              </w14:schemeClr>
            </w14:solidFill>
          </w14:textFill>
        </w:rPr>
        <w:t>废机油</w:t>
      </w:r>
      <w:r>
        <w:rPr>
          <w:rFonts w:hint="eastAsia" w:cs="Times New Roman"/>
          <w:color w:val="0D0D0D" w:themeColor="text1" w:themeTint="F2"/>
          <w:szCs w:val="24"/>
          <w14:textFill>
            <w14:solidFill>
              <w14:schemeClr w14:val="tx1">
                <w14:lumMod w14:val="95000"/>
                <w14:lumOff w14:val="5000"/>
              </w14:schemeClr>
            </w14:solidFill>
          </w14:textFill>
        </w:rPr>
        <w:t>属于危险废物，废物类别为HW08废矿物油与含矿物油废物，废物代码为</w:t>
      </w:r>
      <w:r>
        <w:rPr>
          <w:rFonts w:cs="Times New Roman"/>
          <w:color w:val="0D0D0D" w:themeColor="text1" w:themeTint="F2"/>
          <w:szCs w:val="24"/>
          <w14:textFill>
            <w14:solidFill>
              <w14:schemeClr w14:val="tx1">
                <w14:lumMod w14:val="95000"/>
                <w14:lumOff w14:val="5000"/>
              </w14:schemeClr>
            </w14:solidFill>
          </w14:textFill>
        </w:rPr>
        <w:t>900-214-08</w:t>
      </w:r>
      <w:r>
        <w:rPr>
          <w:rFonts w:hint="eastAsia" w:cs="Times New Roman"/>
          <w:color w:val="0D0D0D" w:themeColor="text1" w:themeTint="F2"/>
          <w:szCs w:val="24"/>
          <w14:textFill>
            <w14:solidFill>
              <w14:schemeClr w14:val="tx1">
                <w14:lumMod w14:val="95000"/>
                <w14:lumOff w14:val="5000"/>
              </w14:schemeClr>
            </w14:solidFill>
          </w14:textFill>
        </w:rPr>
        <w:t>车辆、轮船及其它机械维修过程中产生的废发动机油、制动器油、自动变速器油、齿轮油等废润滑油，危险特性为毒性和易燃性，</w:t>
      </w:r>
      <w:r>
        <w:rPr>
          <w:rFonts w:hint="eastAsia"/>
          <w:color w:val="0D0D0D" w:themeColor="text1" w:themeTint="F2"/>
          <w14:textFill>
            <w14:solidFill>
              <w14:schemeClr w14:val="tx1">
                <w14:lumMod w14:val="95000"/>
                <w14:lumOff w14:val="5000"/>
              </w14:schemeClr>
            </w14:solidFill>
          </w14:textFill>
        </w:rPr>
        <w:t>废机油</w:t>
      </w:r>
      <w:r>
        <w:rPr>
          <w:rFonts w:hint="eastAsia" w:cs="Times New Roman"/>
          <w:color w:val="0D0D0D" w:themeColor="text1" w:themeTint="F2"/>
          <w:szCs w:val="24"/>
          <w14:textFill>
            <w14:solidFill>
              <w14:schemeClr w14:val="tx1">
                <w14:lumMod w14:val="95000"/>
                <w14:lumOff w14:val="5000"/>
              </w14:schemeClr>
            </w14:solidFill>
          </w14:textFill>
        </w:rPr>
        <w:t>采用密闭专用容器收集，暂存在危废暂存间，委托有资质单位清运处置。</w:t>
      </w:r>
    </w:p>
    <w:p w14:paraId="0BC37586">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（13）废油桶</w:t>
      </w:r>
    </w:p>
    <w:p w14:paraId="114F8465">
      <w:pPr>
        <w:autoSpaceDE w:val="0"/>
        <w:autoSpaceDN w:val="0"/>
        <w:adjustRightInd w:val="0"/>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项目设备维护过程中会产生少量</w:t>
      </w:r>
      <w:r>
        <w:rPr>
          <w:rFonts w:hint="eastAsia"/>
          <w:color w:val="0D0D0D" w:themeColor="text1" w:themeTint="F2"/>
          <w14:textFill>
            <w14:solidFill>
              <w14:schemeClr w14:val="tx1">
                <w14:lumMod w14:val="95000"/>
                <w14:lumOff w14:val="5000"/>
              </w14:schemeClr>
            </w14:solidFill>
          </w14:textFill>
        </w:rPr>
        <w:t>废油桶</w:t>
      </w:r>
      <w:r>
        <w:rPr>
          <w:rFonts w:hint="eastAsia" w:cs="Times New Roman"/>
          <w:color w:val="0D0D0D" w:themeColor="text1" w:themeTint="F2"/>
          <w:szCs w:val="24"/>
          <w14:textFill>
            <w14:solidFill>
              <w14:schemeClr w14:val="tx1">
                <w14:lumMod w14:val="95000"/>
                <w14:lumOff w14:val="5000"/>
              </w14:schemeClr>
            </w14:solidFill>
          </w14:textFill>
        </w:rPr>
        <w:t>，根据项目设计资料和类比同类型项目，</w:t>
      </w:r>
      <w:r>
        <w:rPr>
          <w:rFonts w:hint="eastAsia"/>
          <w:color w:val="0D0D0D" w:themeColor="text1" w:themeTint="F2"/>
          <w14:textFill>
            <w14:solidFill>
              <w14:schemeClr w14:val="tx1">
                <w14:lumMod w14:val="95000"/>
                <w14:lumOff w14:val="5000"/>
              </w14:schemeClr>
            </w14:solidFill>
          </w14:textFill>
        </w:rPr>
        <w:t>废油桶</w:t>
      </w:r>
      <w:r>
        <w:rPr>
          <w:rFonts w:hint="eastAsia" w:cs="Times New Roman"/>
          <w:color w:val="0D0D0D" w:themeColor="text1" w:themeTint="F2"/>
          <w:szCs w:val="24"/>
          <w14:textFill>
            <w14:solidFill>
              <w14:schemeClr w14:val="tx1">
                <w14:lumMod w14:val="95000"/>
                <w14:lumOff w14:val="5000"/>
              </w14:schemeClr>
            </w14:solidFill>
          </w14:textFill>
        </w:rPr>
        <w:t>产生量约为0.1t/a。</w:t>
      </w:r>
    </w:p>
    <w:p w14:paraId="162D2042">
      <w:pPr>
        <w:autoSpaceDE w:val="0"/>
        <w:autoSpaceDN w:val="0"/>
        <w:adjustRightInd w:val="0"/>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根据《国家危险废物名录（2025年版）》，</w:t>
      </w:r>
      <w:r>
        <w:rPr>
          <w:rFonts w:hint="eastAsia"/>
          <w:color w:val="0D0D0D" w:themeColor="text1" w:themeTint="F2"/>
          <w14:textFill>
            <w14:solidFill>
              <w14:schemeClr w14:val="tx1">
                <w14:lumMod w14:val="95000"/>
                <w14:lumOff w14:val="5000"/>
              </w14:schemeClr>
            </w14:solidFill>
          </w14:textFill>
        </w:rPr>
        <w:t>废油桶</w:t>
      </w:r>
      <w:r>
        <w:rPr>
          <w:rFonts w:hint="eastAsia" w:cs="Times New Roman"/>
          <w:color w:val="0D0D0D" w:themeColor="text1" w:themeTint="F2"/>
          <w:szCs w:val="24"/>
          <w14:textFill>
            <w14:solidFill>
              <w14:schemeClr w14:val="tx1">
                <w14:lumMod w14:val="95000"/>
                <w14:lumOff w14:val="5000"/>
              </w14:schemeClr>
            </w14:solidFill>
          </w14:textFill>
        </w:rPr>
        <w:t>属于危险废物，废物类别为HW49其他废物，废物代码为900-041-49含有或者沾染毒性、感染性危险废物的废弃的包装物、容器、过滤吸附介质，危险特性为毒性和感染性，</w:t>
      </w:r>
      <w:r>
        <w:rPr>
          <w:rFonts w:hint="eastAsia"/>
          <w:color w:val="0D0D0D" w:themeColor="text1" w:themeTint="F2"/>
          <w14:textFill>
            <w14:solidFill>
              <w14:schemeClr w14:val="tx1">
                <w14:lumMod w14:val="95000"/>
                <w14:lumOff w14:val="5000"/>
              </w14:schemeClr>
            </w14:solidFill>
          </w14:textFill>
        </w:rPr>
        <w:t>废油桶</w:t>
      </w:r>
      <w:r>
        <w:rPr>
          <w:rFonts w:hint="eastAsia" w:cs="Times New Roman"/>
          <w:color w:val="0D0D0D" w:themeColor="text1" w:themeTint="F2"/>
          <w:szCs w:val="24"/>
          <w14:textFill>
            <w14:solidFill>
              <w14:schemeClr w14:val="tx1">
                <w14:lumMod w14:val="95000"/>
                <w14:lumOff w14:val="5000"/>
              </w14:schemeClr>
            </w14:solidFill>
          </w14:textFill>
        </w:rPr>
        <w:t>收集后暂存在危废暂存间，委托有资质单位清运处置。</w:t>
      </w:r>
    </w:p>
    <w:p w14:paraId="64805631">
      <w:pPr>
        <w:ind w:firstLine="482" w:firstLineChars="200"/>
        <w:rPr>
          <w:b/>
          <w:bCs/>
          <w:color w:val="0D0D0D" w:themeColor="text1" w:themeTint="F2"/>
          <w14:textFill>
            <w14:solidFill>
              <w14:schemeClr w14:val="tx1">
                <w14:lumMod w14:val="95000"/>
                <w14:lumOff w14:val="5000"/>
              </w14:schemeClr>
            </w14:solidFill>
          </w14:textFill>
        </w:rPr>
      </w:pPr>
      <w:r>
        <w:rPr>
          <w:rFonts w:hint="eastAsia" w:cs="Times New Roman"/>
          <w:b/>
          <w:bCs/>
          <w:color w:val="0D0D0D" w:themeColor="text1" w:themeTint="F2"/>
          <w:szCs w:val="24"/>
          <w14:textFill>
            <w14:solidFill>
              <w14:schemeClr w14:val="tx1">
                <w14:lumMod w14:val="95000"/>
                <w14:lumOff w14:val="5000"/>
              </w14:schemeClr>
            </w14:solidFill>
          </w14:textFill>
        </w:rPr>
        <w:t>（14）</w:t>
      </w:r>
      <w:r>
        <w:rPr>
          <w:rFonts w:hint="eastAsia"/>
          <w:b/>
          <w:bCs/>
          <w:color w:val="0D0D0D" w:themeColor="text1" w:themeTint="F2"/>
          <w14:textFill>
            <w14:solidFill>
              <w14:schemeClr w14:val="tx1">
                <w14:lumMod w14:val="95000"/>
                <w14:lumOff w14:val="5000"/>
              </w14:schemeClr>
            </w14:solidFill>
          </w14:textFill>
        </w:rPr>
        <w:t>废含油抹布</w:t>
      </w:r>
    </w:p>
    <w:p w14:paraId="595052A1">
      <w:pPr>
        <w:autoSpaceDE w:val="0"/>
        <w:autoSpaceDN w:val="0"/>
        <w:adjustRightInd w:val="0"/>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项目设备维护过程中会产生少量废含油抹布，根据项目设计资料和类比同类型项目，废含油抹布产生量约为0.01t/a。</w:t>
      </w:r>
    </w:p>
    <w:p w14:paraId="43AA2750">
      <w:pPr>
        <w:autoSpaceDE w:val="0"/>
        <w:autoSpaceDN w:val="0"/>
        <w:adjustRightInd w:val="0"/>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根据《国家危险废物名录（2025年版）》，废含油抹布属于危险废物，废物类别为HW49其他废物，废物代码为</w:t>
      </w:r>
      <w:r>
        <w:rPr>
          <w:rFonts w:cs="Times New Roman"/>
          <w:color w:val="0D0D0D" w:themeColor="text1" w:themeTint="F2"/>
          <w:szCs w:val="24"/>
          <w14:textFill>
            <w14:solidFill>
              <w14:schemeClr w14:val="tx1">
                <w14:lumMod w14:val="95000"/>
                <w14:lumOff w14:val="5000"/>
              </w14:schemeClr>
            </w14:solidFill>
          </w14:textFill>
        </w:rPr>
        <w:t>900-041-49</w:t>
      </w:r>
      <w:r>
        <w:rPr>
          <w:rFonts w:hint="eastAsia" w:cs="Times New Roman"/>
          <w:color w:val="0D0D0D" w:themeColor="text1" w:themeTint="F2"/>
          <w:szCs w:val="24"/>
          <w14:textFill>
            <w14:solidFill>
              <w14:schemeClr w14:val="tx1">
                <w14:lumMod w14:val="95000"/>
                <w14:lumOff w14:val="5000"/>
              </w14:schemeClr>
            </w14:solidFill>
          </w14:textFill>
        </w:rPr>
        <w:t>含有或者沾染毒性、感染性危险废物的废弃的包装物、容器、过滤吸附介质，危险特性为毒性和感染性，废含油抹布收集后暂存在危废暂存间，委托有资质单位清运处置。</w:t>
      </w:r>
    </w:p>
    <w:p w14:paraId="2A777EB4">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（15）化验室废液</w:t>
      </w:r>
    </w:p>
    <w:p w14:paraId="33F78386">
      <w:pPr>
        <w:autoSpaceDE w:val="0"/>
        <w:autoSpaceDN w:val="0"/>
        <w:adjustRightInd w:val="0"/>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项目化验室检测原料及产品时，会产生化验室废液，产生量约为0.1t/a。</w:t>
      </w:r>
    </w:p>
    <w:p w14:paraId="0FF53096">
      <w:pPr>
        <w:autoSpaceDE w:val="0"/>
        <w:autoSpaceDN w:val="0"/>
        <w:adjustRightInd w:val="0"/>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根据《国家危险废物名录（2025年版）》，</w:t>
      </w:r>
      <w:r>
        <w:rPr>
          <w:rFonts w:hint="eastAsia"/>
          <w:color w:val="0D0D0D" w:themeColor="text1" w:themeTint="F2"/>
          <w14:textFill>
            <w14:solidFill>
              <w14:schemeClr w14:val="tx1">
                <w14:lumMod w14:val="95000"/>
                <w14:lumOff w14:val="5000"/>
              </w14:schemeClr>
            </w14:solidFill>
          </w14:textFill>
        </w:rPr>
        <w:t>化验室废液</w:t>
      </w:r>
      <w:r>
        <w:rPr>
          <w:rFonts w:hint="eastAsia" w:cs="Times New Roman"/>
          <w:color w:val="0D0D0D" w:themeColor="text1" w:themeTint="F2"/>
          <w:szCs w:val="24"/>
          <w14:textFill>
            <w14:solidFill>
              <w14:schemeClr w14:val="tx1">
                <w14:lumMod w14:val="95000"/>
                <w14:lumOff w14:val="5000"/>
              </w14:schemeClr>
            </w14:solidFill>
          </w14:textFill>
        </w:rPr>
        <w:t>属于危险废物，废物类别为HW49其他废物，废物代码为</w:t>
      </w:r>
      <w:r>
        <w:rPr>
          <w:rFonts w:cs="Times New Roman"/>
          <w:color w:val="0D0D0D" w:themeColor="text1" w:themeTint="F2"/>
          <w:szCs w:val="24"/>
          <w14:textFill>
            <w14:solidFill>
              <w14:schemeClr w14:val="tx1">
                <w14:lumMod w14:val="95000"/>
                <w14:lumOff w14:val="5000"/>
              </w14:schemeClr>
            </w14:solidFill>
          </w14:textFill>
        </w:rPr>
        <w:t>900-047-49</w:t>
      </w:r>
      <w:r>
        <w:rPr>
          <w:rFonts w:hint="eastAsia" w:cs="Times New Roman"/>
          <w:color w:val="0D0D0D" w:themeColor="text1" w:themeTint="F2"/>
          <w:szCs w:val="24"/>
          <w14:textFill>
            <w14:solidFill>
              <w14:schemeClr w14:val="tx1">
                <w14:lumMod w14:val="95000"/>
                <w14:lumOff w14:val="5000"/>
              </w14:schemeClr>
            </w14:solidFill>
          </w14:textFill>
        </w:rPr>
        <w:t>生产、研究、开发、教学、环境检测（监测）活动中，化学和生物实验室（不包含感染性医学实验室及医疗机构化验室）产生的含氰、氟、重金属无机废液及无机废液处理产生的残渣、残液，含矿物油、有机溶剂、甲醛有机废液，废酸、废碱，具有危险特性的残留样品，以及沾染上述物质的一次性实验用品（不包括按实验室管理要求进行清洗后的废弃的烧杯、量器、漏斗等实验室用品）、包装物（不包括按实验室管理要求进行清洗后的试剂包装物、容器）、过滤吸附介质等，危险特性为毒性、腐蚀性、易燃性和反应性，</w:t>
      </w:r>
      <w:r>
        <w:rPr>
          <w:rFonts w:hint="eastAsia"/>
          <w:color w:val="0D0D0D" w:themeColor="text1" w:themeTint="F2"/>
          <w14:textFill>
            <w14:solidFill>
              <w14:schemeClr w14:val="tx1">
                <w14:lumMod w14:val="95000"/>
                <w14:lumOff w14:val="5000"/>
              </w14:schemeClr>
            </w14:solidFill>
          </w14:textFill>
        </w:rPr>
        <w:t>化验室废液</w:t>
      </w:r>
      <w:r>
        <w:rPr>
          <w:rFonts w:hint="eastAsia" w:cs="Times New Roman"/>
          <w:color w:val="0D0D0D" w:themeColor="text1" w:themeTint="F2"/>
          <w:szCs w:val="24"/>
          <w14:textFill>
            <w14:solidFill>
              <w14:schemeClr w14:val="tx1">
                <w14:lumMod w14:val="95000"/>
                <w14:lumOff w14:val="5000"/>
              </w14:schemeClr>
            </w14:solidFill>
          </w14:textFill>
        </w:rPr>
        <w:t>采用密闭专用容器收集，暂存在危废暂存间，委托有资质单位清运处置。</w:t>
      </w:r>
    </w:p>
    <w:p w14:paraId="5E2265F7">
      <w:pPr>
        <w:ind w:firstLine="482" w:firstLineChars="200"/>
        <w:rPr>
          <w:b/>
          <w:bCs/>
          <w:color w:val="0D0D0D" w:themeColor="text1" w:themeTint="F2"/>
          <w:u w:val="single"/>
          <w14:textFill>
            <w14:solidFill>
              <w14:schemeClr w14:val="tx1">
                <w14:lumMod w14:val="95000"/>
                <w14:lumOff w14:val="5000"/>
              </w14:schemeClr>
            </w14:solidFill>
          </w14:textFill>
        </w:rPr>
      </w:pPr>
      <w:r>
        <w:rPr>
          <w:rFonts w:hint="eastAsia"/>
          <w:b/>
          <w:bCs/>
          <w:color w:val="0D0D0D" w:themeColor="text1" w:themeTint="F2"/>
          <w:u w:val="single"/>
          <w14:textFill>
            <w14:solidFill>
              <w14:schemeClr w14:val="tx1">
                <w14:lumMod w14:val="95000"/>
                <w14:lumOff w14:val="5000"/>
              </w14:schemeClr>
            </w14:solidFill>
          </w14:textFill>
        </w:rPr>
        <w:t>（16）废催化剂</w:t>
      </w:r>
    </w:p>
    <w:p w14:paraId="4849B05C">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项目RCO催化燃烧装置需要用到贵金属钯、铂镀在蜂窝陶瓷载体上作为催化剂，需要定期更换。每5年更换1次，每次更换0.05t，即0.01t/a。</w:t>
      </w:r>
    </w:p>
    <w:p w14:paraId="4DD0832A">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国家危险废物名录（2025年版）》，废催化剂属于危险废物，废物类别为HW50废催化剂，代码900-049-50机动车和非道路移动机械尾气净化废催化剂，使用专用容器收集后暂存于危废暂存间，委托有资质单位清运处置。</w:t>
      </w:r>
    </w:p>
    <w:p w14:paraId="6EE26562">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（17）生活垃圾</w:t>
      </w:r>
    </w:p>
    <w:p w14:paraId="59101AC1">
      <w:pPr>
        <w:autoSpaceDE w:val="0"/>
        <w:autoSpaceDN w:val="0"/>
        <w:adjustRightInd w:val="0"/>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项目运营期劳动定员60人，生活垃圾的成分主要是废纸、瓜果皮核、饮料包装瓶、包装纸等。生活垃圾产生系数按1kg/d人计，年工作时间300天，则生活垃圾产生量为0.06t/d，18t/a。生活垃圾分类集中收集后由环卫部门清运处置。</w:t>
      </w:r>
    </w:p>
    <w:p w14:paraId="4FB53BD2">
      <w:pPr>
        <w:pStyle w:val="11"/>
        <w:sectPr>
          <w:pgSz w:w="11906" w:h="16838"/>
          <w:pgMar w:top="1440" w:right="1440" w:bottom="1440" w:left="1440" w:header="851" w:footer="992" w:gutter="0"/>
          <w:cols w:space="425" w:num="1"/>
          <w:docGrid w:type="lines" w:linePitch="312" w:charSpace="0"/>
        </w:sectPr>
      </w:pPr>
    </w:p>
    <w:p w14:paraId="75E25079">
      <w:pPr>
        <w:pStyle w:val="11"/>
      </w:pPr>
      <w:r>
        <w:rPr>
          <w:rFonts w:hint="eastAsia"/>
        </w:rPr>
        <w:t xml:space="preserve"> 危险废物特征一览表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9"/>
        <w:gridCol w:w="2050"/>
        <w:gridCol w:w="1871"/>
        <w:gridCol w:w="1293"/>
        <w:gridCol w:w="859"/>
        <w:gridCol w:w="1131"/>
        <w:gridCol w:w="706"/>
        <w:gridCol w:w="1270"/>
        <w:gridCol w:w="1131"/>
        <w:gridCol w:w="706"/>
        <w:gridCol w:w="1131"/>
        <w:gridCol w:w="1487"/>
      </w:tblGrid>
      <w:tr w14:paraId="23CD6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0" w:type="pct"/>
            <w:vAlign w:val="center"/>
          </w:tcPr>
          <w:p w14:paraId="0636234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序号</w:t>
            </w:r>
          </w:p>
        </w:tc>
        <w:tc>
          <w:tcPr>
            <w:tcW w:w="723" w:type="pct"/>
            <w:vAlign w:val="center"/>
          </w:tcPr>
          <w:p w14:paraId="65F31A4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危险废物名称</w:t>
            </w:r>
          </w:p>
        </w:tc>
        <w:tc>
          <w:tcPr>
            <w:tcW w:w="660" w:type="pct"/>
            <w:vAlign w:val="center"/>
          </w:tcPr>
          <w:p w14:paraId="3A44E3D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危险废物类别</w:t>
            </w:r>
          </w:p>
        </w:tc>
        <w:tc>
          <w:tcPr>
            <w:tcW w:w="456" w:type="pct"/>
            <w:vAlign w:val="center"/>
          </w:tcPr>
          <w:p w14:paraId="7FE4E60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废物代码</w:t>
            </w:r>
          </w:p>
        </w:tc>
        <w:tc>
          <w:tcPr>
            <w:tcW w:w="303" w:type="pct"/>
            <w:vAlign w:val="center"/>
          </w:tcPr>
          <w:p w14:paraId="0B5A56B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产生量</w:t>
            </w:r>
          </w:p>
          <w:p w14:paraId="23BE7E9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（t/a）</w:t>
            </w:r>
          </w:p>
        </w:tc>
        <w:tc>
          <w:tcPr>
            <w:tcW w:w="399" w:type="pct"/>
            <w:vAlign w:val="center"/>
          </w:tcPr>
          <w:p w14:paraId="5E0ADF8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产生工序及装置</w:t>
            </w:r>
          </w:p>
        </w:tc>
        <w:tc>
          <w:tcPr>
            <w:tcW w:w="249" w:type="pct"/>
            <w:vAlign w:val="center"/>
          </w:tcPr>
          <w:p w14:paraId="622D861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形态</w:t>
            </w:r>
          </w:p>
        </w:tc>
        <w:tc>
          <w:tcPr>
            <w:tcW w:w="448" w:type="pct"/>
            <w:vAlign w:val="center"/>
          </w:tcPr>
          <w:p w14:paraId="077D467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主要成分</w:t>
            </w:r>
          </w:p>
        </w:tc>
        <w:tc>
          <w:tcPr>
            <w:tcW w:w="399" w:type="pct"/>
            <w:vAlign w:val="center"/>
          </w:tcPr>
          <w:p w14:paraId="6C04381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有害成分</w:t>
            </w:r>
          </w:p>
        </w:tc>
        <w:tc>
          <w:tcPr>
            <w:tcW w:w="249" w:type="pct"/>
            <w:vAlign w:val="center"/>
          </w:tcPr>
          <w:p w14:paraId="78E8986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产废</w:t>
            </w:r>
          </w:p>
          <w:p w14:paraId="0E2C984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周期</w:t>
            </w:r>
          </w:p>
        </w:tc>
        <w:tc>
          <w:tcPr>
            <w:tcW w:w="399" w:type="pct"/>
            <w:vAlign w:val="center"/>
          </w:tcPr>
          <w:p w14:paraId="5FDB311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危险特性</w:t>
            </w:r>
          </w:p>
        </w:tc>
        <w:tc>
          <w:tcPr>
            <w:tcW w:w="524" w:type="pct"/>
            <w:vAlign w:val="center"/>
          </w:tcPr>
          <w:p w14:paraId="76F8046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污染防治措施</w:t>
            </w:r>
          </w:p>
        </w:tc>
      </w:tr>
      <w:tr w14:paraId="247FD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0" w:type="pct"/>
            <w:vAlign w:val="center"/>
          </w:tcPr>
          <w:p w14:paraId="0B0A034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w:t>
            </w:r>
          </w:p>
        </w:tc>
        <w:tc>
          <w:tcPr>
            <w:tcW w:w="723" w:type="pct"/>
            <w:vAlign w:val="center"/>
          </w:tcPr>
          <w:p w14:paraId="1A2BA58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废导热油</w:t>
            </w:r>
          </w:p>
        </w:tc>
        <w:tc>
          <w:tcPr>
            <w:tcW w:w="660" w:type="pct"/>
            <w:vAlign w:val="center"/>
          </w:tcPr>
          <w:p w14:paraId="177A593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HW08废矿物油与含矿物油废物</w:t>
            </w:r>
          </w:p>
        </w:tc>
        <w:tc>
          <w:tcPr>
            <w:tcW w:w="456" w:type="pct"/>
            <w:vAlign w:val="center"/>
          </w:tcPr>
          <w:p w14:paraId="4BBCF0F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900-249-08</w:t>
            </w:r>
          </w:p>
        </w:tc>
        <w:tc>
          <w:tcPr>
            <w:tcW w:w="303" w:type="pct"/>
            <w:vAlign w:val="center"/>
          </w:tcPr>
          <w:p w14:paraId="2A74FBB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w:t>
            </w:r>
          </w:p>
        </w:tc>
        <w:tc>
          <w:tcPr>
            <w:tcW w:w="399" w:type="pct"/>
            <w:vAlign w:val="center"/>
          </w:tcPr>
          <w:p w14:paraId="64EA4A7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导热油炉</w:t>
            </w:r>
          </w:p>
        </w:tc>
        <w:tc>
          <w:tcPr>
            <w:tcW w:w="249" w:type="pct"/>
            <w:vAlign w:val="center"/>
          </w:tcPr>
          <w:p w14:paraId="0B388C8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液态</w:t>
            </w:r>
          </w:p>
        </w:tc>
        <w:tc>
          <w:tcPr>
            <w:tcW w:w="448" w:type="pct"/>
            <w:vAlign w:val="center"/>
          </w:tcPr>
          <w:p w14:paraId="1373FF3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导热油</w:t>
            </w:r>
          </w:p>
        </w:tc>
        <w:tc>
          <w:tcPr>
            <w:tcW w:w="399" w:type="pct"/>
            <w:vAlign w:val="center"/>
          </w:tcPr>
          <w:p w14:paraId="6411E71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废矿物油</w:t>
            </w:r>
          </w:p>
        </w:tc>
        <w:tc>
          <w:tcPr>
            <w:tcW w:w="249" w:type="pct"/>
            <w:vAlign w:val="center"/>
          </w:tcPr>
          <w:p w14:paraId="1DDA897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1年</w:t>
            </w:r>
          </w:p>
        </w:tc>
        <w:tc>
          <w:tcPr>
            <w:tcW w:w="399" w:type="pct"/>
            <w:vAlign w:val="center"/>
          </w:tcPr>
          <w:p w14:paraId="63D756B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T、I</w:t>
            </w:r>
          </w:p>
        </w:tc>
        <w:tc>
          <w:tcPr>
            <w:tcW w:w="524" w:type="pct"/>
            <w:vMerge w:val="restart"/>
            <w:vAlign w:val="center"/>
          </w:tcPr>
          <w:p w14:paraId="572794AF">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委托有资质单位清运处置</w:t>
            </w:r>
          </w:p>
        </w:tc>
      </w:tr>
      <w:tr w14:paraId="134F6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0" w:type="pct"/>
            <w:vAlign w:val="center"/>
          </w:tcPr>
          <w:p w14:paraId="1B23A60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w:t>
            </w:r>
          </w:p>
        </w:tc>
        <w:tc>
          <w:tcPr>
            <w:tcW w:w="723" w:type="pct"/>
            <w:vAlign w:val="center"/>
          </w:tcPr>
          <w:p w14:paraId="41A415E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废机油</w:t>
            </w:r>
          </w:p>
        </w:tc>
        <w:tc>
          <w:tcPr>
            <w:tcW w:w="660" w:type="pct"/>
            <w:vAlign w:val="center"/>
          </w:tcPr>
          <w:p w14:paraId="4EEA33B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HW08废矿物油与含矿物油废物</w:t>
            </w:r>
          </w:p>
        </w:tc>
        <w:tc>
          <w:tcPr>
            <w:tcW w:w="456" w:type="pct"/>
            <w:vAlign w:val="center"/>
          </w:tcPr>
          <w:p w14:paraId="09CDB3D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900-214-08</w:t>
            </w:r>
          </w:p>
        </w:tc>
        <w:tc>
          <w:tcPr>
            <w:tcW w:w="303" w:type="pct"/>
            <w:vAlign w:val="center"/>
          </w:tcPr>
          <w:p w14:paraId="33781A5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0.5</w:t>
            </w:r>
          </w:p>
        </w:tc>
        <w:tc>
          <w:tcPr>
            <w:tcW w:w="399" w:type="pct"/>
            <w:vAlign w:val="center"/>
          </w:tcPr>
          <w:p w14:paraId="2197450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设备维护</w:t>
            </w:r>
          </w:p>
        </w:tc>
        <w:tc>
          <w:tcPr>
            <w:tcW w:w="249" w:type="pct"/>
            <w:vAlign w:val="center"/>
          </w:tcPr>
          <w:p w14:paraId="4340446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液态</w:t>
            </w:r>
          </w:p>
        </w:tc>
        <w:tc>
          <w:tcPr>
            <w:tcW w:w="448" w:type="pct"/>
            <w:vAlign w:val="center"/>
          </w:tcPr>
          <w:p w14:paraId="138D375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废矿物油</w:t>
            </w:r>
          </w:p>
        </w:tc>
        <w:tc>
          <w:tcPr>
            <w:tcW w:w="399" w:type="pct"/>
            <w:vAlign w:val="center"/>
          </w:tcPr>
          <w:p w14:paraId="2B905A6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废矿物油</w:t>
            </w:r>
          </w:p>
        </w:tc>
        <w:tc>
          <w:tcPr>
            <w:tcW w:w="249" w:type="pct"/>
            <w:vAlign w:val="center"/>
          </w:tcPr>
          <w:p w14:paraId="5BE9B0F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1年</w:t>
            </w:r>
          </w:p>
        </w:tc>
        <w:tc>
          <w:tcPr>
            <w:tcW w:w="399" w:type="pct"/>
            <w:vAlign w:val="center"/>
          </w:tcPr>
          <w:p w14:paraId="2F368B0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T、I</w:t>
            </w:r>
          </w:p>
        </w:tc>
        <w:tc>
          <w:tcPr>
            <w:tcW w:w="524" w:type="pct"/>
            <w:vMerge w:val="continue"/>
            <w:vAlign w:val="center"/>
          </w:tcPr>
          <w:p w14:paraId="5A809E8D">
            <w:pPr>
              <w:spacing w:line="240" w:lineRule="auto"/>
              <w:rPr>
                <w:color w:val="0D0D0D" w:themeColor="text1" w:themeTint="F2"/>
                <w:sz w:val="21"/>
                <w:szCs w:val="21"/>
                <w:u w:val="single"/>
                <w14:textFill>
                  <w14:solidFill>
                    <w14:schemeClr w14:val="tx1">
                      <w14:lumMod w14:val="95000"/>
                      <w14:lumOff w14:val="5000"/>
                    </w14:schemeClr>
                  </w14:solidFill>
                </w14:textFill>
              </w:rPr>
            </w:pPr>
          </w:p>
        </w:tc>
      </w:tr>
      <w:tr w14:paraId="721F1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0" w:type="pct"/>
            <w:vAlign w:val="center"/>
          </w:tcPr>
          <w:p w14:paraId="0D76204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w:t>
            </w:r>
          </w:p>
        </w:tc>
        <w:tc>
          <w:tcPr>
            <w:tcW w:w="723" w:type="pct"/>
            <w:vAlign w:val="center"/>
          </w:tcPr>
          <w:p w14:paraId="07C19EB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废油桶</w:t>
            </w:r>
          </w:p>
        </w:tc>
        <w:tc>
          <w:tcPr>
            <w:tcW w:w="660" w:type="pct"/>
            <w:vAlign w:val="center"/>
          </w:tcPr>
          <w:p w14:paraId="29F362B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HW49其他废物</w:t>
            </w:r>
          </w:p>
        </w:tc>
        <w:tc>
          <w:tcPr>
            <w:tcW w:w="456" w:type="pct"/>
            <w:vAlign w:val="center"/>
          </w:tcPr>
          <w:p w14:paraId="791E1CA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900-041-49</w:t>
            </w:r>
          </w:p>
        </w:tc>
        <w:tc>
          <w:tcPr>
            <w:tcW w:w="303" w:type="pct"/>
            <w:vAlign w:val="center"/>
          </w:tcPr>
          <w:p w14:paraId="133F2D2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0.1</w:t>
            </w:r>
          </w:p>
        </w:tc>
        <w:tc>
          <w:tcPr>
            <w:tcW w:w="399" w:type="pct"/>
            <w:vAlign w:val="center"/>
          </w:tcPr>
          <w:p w14:paraId="79B336C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设备维护</w:t>
            </w:r>
          </w:p>
        </w:tc>
        <w:tc>
          <w:tcPr>
            <w:tcW w:w="249" w:type="pct"/>
            <w:vAlign w:val="center"/>
          </w:tcPr>
          <w:p w14:paraId="6B4A8BA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固态</w:t>
            </w:r>
          </w:p>
        </w:tc>
        <w:tc>
          <w:tcPr>
            <w:tcW w:w="448" w:type="pct"/>
            <w:vAlign w:val="center"/>
          </w:tcPr>
          <w:p w14:paraId="25DC413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油桶</w:t>
            </w:r>
          </w:p>
        </w:tc>
        <w:tc>
          <w:tcPr>
            <w:tcW w:w="399" w:type="pct"/>
            <w:vAlign w:val="center"/>
          </w:tcPr>
          <w:p w14:paraId="0DBF843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废矿物油</w:t>
            </w:r>
          </w:p>
        </w:tc>
        <w:tc>
          <w:tcPr>
            <w:tcW w:w="249" w:type="pct"/>
            <w:vAlign w:val="center"/>
          </w:tcPr>
          <w:p w14:paraId="074047F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1年</w:t>
            </w:r>
          </w:p>
        </w:tc>
        <w:tc>
          <w:tcPr>
            <w:tcW w:w="399" w:type="pct"/>
            <w:vAlign w:val="center"/>
          </w:tcPr>
          <w:p w14:paraId="4816811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T/In</w:t>
            </w:r>
          </w:p>
        </w:tc>
        <w:tc>
          <w:tcPr>
            <w:tcW w:w="524" w:type="pct"/>
            <w:vMerge w:val="continue"/>
            <w:vAlign w:val="center"/>
          </w:tcPr>
          <w:p w14:paraId="226404F6">
            <w:pPr>
              <w:spacing w:line="240" w:lineRule="auto"/>
              <w:rPr>
                <w:color w:val="0D0D0D" w:themeColor="text1" w:themeTint="F2"/>
                <w:sz w:val="21"/>
                <w:szCs w:val="21"/>
                <w:u w:val="single"/>
                <w14:textFill>
                  <w14:solidFill>
                    <w14:schemeClr w14:val="tx1">
                      <w14:lumMod w14:val="95000"/>
                      <w14:lumOff w14:val="5000"/>
                    </w14:schemeClr>
                  </w14:solidFill>
                </w14:textFill>
              </w:rPr>
            </w:pPr>
          </w:p>
        </w:tc>
      </w:tr>
      <w:tr w14:paraId="5B220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0" w:type="pct"/>
            <w:vAlign w:val="center"/>
          </w:tcPr>
          <w:p w14:paraId="69791B6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w:t>
            </w:r>
          </w:p>
        </w:tc>
        <w:tc>
          <w:tcPr>
            <w:tcW w:w="723" w:type="pct"/>
            <w:vAlign w:val="center"/>
          </w:tcPr>
          <w:p w14:paraId="661CD13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废含油抹布</w:t>
            </w:r>
          </w:p>
        </w:tc>
        <w:tc>
          <w:tcPr>
            <w:tcW w:w="660" w:type="pct"/>
            <w:vAlign w:val="center"/>
          </w:tcPr>
          <w:p w14:paraId="7A93683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HW49其他废物</w:t>
            </w:r>
          </w:p>
        </w:tc>
        <w:tc>
          <w:tcPr>
            <w:tcW w:w="456" w:type="pct"/>
            <w:vAlign w:val="center"/>
          </w:tcPr>
          <w:p w14:paraId="0413325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900-041-49</w:t>
            </w:r>
          </w:p>
        </w:tc>
        <w:tc>
          <w:tcPr>
            <w:tcW w:w="303" w:type="pct"/>
            <w:vAlign w:val="center"/>
          </w:tcPr>
          <w:p w14:paraId="6F7F44B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0.01</w:t>
            </w:r>
          </w:p>
        </w:tc>
        <w:tc>
          <w:tcPr>
            <w:tcW w:w="399" w:type="pct"/>
            <w:vAlign w:val="center"/>
          </w:tcPr>
          <w:p w14:paraId="007D00A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设备维护</w:t>
            </w:r>
          </w:p>
        </w:tc>
        <w:tc>
          <w:tcPr>
            <w:tcW w:w="249" w:type="pct"/>
            <w:vAlign w:val="center"/>
          </w:tcPr>
          <w:p w14:paraId="568E88B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固态</w:t>
            </w:r>
          </w:p>
        </w:tc>
        <w:tc>
          <w:tcPr>
            <w:tcW w:w="448" w:type="pct"/>
            <w:vAlign w:val="center"/>
          </w:tcPr>
          <w:p w14:paraId="351EC47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抹布</w:t>
            </w:r>
          </w:p>
        </w:tc>
        <w:tc>
          <w:tcPr>
            <w:tcW w:w="399" w:type="pct"/>
            <w:vAlign w:val="center"/>
          </w:tcPr>
          <w:p w14:paraId="7864108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废矿物油</w:t>
            </w:r>
          </w:p>
        </w:tc>
        <w:tc>
          <w:tcPr>
            <w:tcW w:w="249" w:type="pct"/>
            <w:vAlign w:val="center"/>
          </w:tcPr>
          <w:p w14:paraId="31DBCCB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1年</w:t>
            </w:r>
          </w:p>
        </w:tc>
        <w:tc>
          <w:tcPr>
            <w:tcW w:w="399" w:type="pct"/>
            <w:vAlign w:val="center"/>
          </w:tcPr>
          <w:p w14:paraId="584933B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T/In</w:t>
            </w:r>
          </w:p>
        </w:tc>
        <w:tc>
          <w:tcPr>
            <w:tcW w:w="524" w:type="pct"/>
            <w:vMerge w:val="continue"/>
            <w:vAlign w:val="center"/>
          </w:tcPr>
          <w:p w14:paraId="0B51C5E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01D64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0" w:type="pct"/>
            <w:vAlign w:val="center"/>
          </w:tcPr>
          <w:p w14:paraId="4297591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5</w:t>
            </w:r>
          </w:p>
        </w:tc>
        <w:tc>
          <w:tcPr>
            <w:tcW w:w="723" w:type="pct"/>
            <w:vAlign w:val="center"/>
          </w:tcPr>
          <w:p w14:paraId="43414A2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化验室废液</w:t>
            </w:r>
          </w:p>
        </w:tc>
        <w:tc>
          <w:tcPr>
            <w:tcW w:w="660" w:type="pct"/>
            <w:vAlign w:val="center"/>
          </w:tcPr>
          <w:p w14:paraId="3AC5A31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HW49其他废物</w:t>
            </w:r>
          </w:p>
        </w:tc>
        <w:tc>
          <w:tcPr>
            <w:tcW w:w="456" w:type="pct"/>
            <w:vAlign w:val="center"/>
          </w:tcPr>
          <w:p w14:paraId="4B0F622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900-047-49</w:t>
            </w:r>
          </w:p>
        </w:tc>
        <w:tc>
          <w:tcPr>
            <w:tcW w:w="303" w:type="pct"/>
            <w:vAlign w:val="center"/>
          </w:tcPr>
          <w:p w14:paraId="283665F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0.1</w:t>
            </w:r>
          </w:p>
        </w:tc>
        <w:tc>
          <w:tcPr>
            <w:tcW w:w="399" w:type="pct"/>
            <w:vAlign w:val="center"/>
          </w:tcPr>
          <w:p w14:paraId="49F273B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化验室</w:t>
            </w:r>
          </w:p>
        </w:tc>
        <w:tc>
          <w:tcPr>
            <w:tcW w:w="249" w:type="pct"/>
            <w:vAlign w:val="center"/>
          </w:tcPr>
          <w:p w14:paraId="754F370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液态</w:t>
            </w:r>
          </w:p>
        </w:tc>
        <w:tc>
          <w:tcPr>
            <w:tcW w:w="448" w:type="pct"/>
            <w:vAlign w:val="center"/>
          </w:tcPr>
          <w:p w14:paraId="7AFE32A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酸、碱等</w:t>
            </w:r>
          </w:p>
        </w:tc>
        <w:tc>
          <w:tcPr>
            <w:tcW w:w="399" w:type="pct"/>
            <w:vAlign w:val="center"/>
          </w:tcPr>
          <w:p w14:paraId="04E9EBF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酸、碱等</w:t>
            </w:r>
          </w:p>
        </w:tc>
        <w:tc>
          <w:tcPr>
            <w:tcW w:w="249" w:type="pct"/>
            <w:vAlign w:val="center"/>
          </w:tcPr>
          <w:p w14:paraId="1D0D23B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1年</w:t>
            </w:r>
          </w:p>
        </w:tc>
        <w:tc>
          <w:tcPr>
            <w:tcW w:w="399" w:type="pct"/>
            <w:vAlign w:val="center"/>
          </w:tcPr>
          <w:p w14:paraId="1C20E36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T/C/I/R</w:t>
            </w:r>
          </w:p>
        </w:tc>
        <w:tc>
          <w:tcPr>
            <w:tcW w:w="524" w:type="pct"/>
            <w:vMerge w:val="continue"/>
            <w:vAlign w:val="center"/>
          </w:tcPr>
          <w:p w14:paraId="34C1974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58875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0" w:type="pct"/>
            <w:vAlign w:val="center"/>
          </w:tcPr>
          <w:p w14:paraId="6861238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6</w:t>
            </w:r>
          </w:p>
        </w:tc>
        <w:tc>
          <w:tcPr>
            <w:tcW w:w="723" w:type="pct"/>
            <w:vAlign w:val="center"/>
          </w:tcPr>
          <w:p w14:paraId="719C9AA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废催化剂</w:t>
            </w:r>
          </w:p>
        </w:tc>
        <w:tc>
          <w:tcPr>
            <w:tcW w:w="660" w:type="pct"/>
            <w:vAlign w:val="center"/>
          </w:tcPr>
          <w:p w14:paraId="1FE5E3B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HW50废催化剂</w:t>
            </w:r>
          </w:p>
        </w:tc>
        <w:tc>
          <w:tcPr>
            <w:tcW w:w="456" w:type="pct"/>
            <w:vAlign w:val="center"/>
          </w:tcPr>
          <w:p w14:paraId="515EB93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900-0</w:t>
            </w:r>
            <w:r>
              <w:rPr>
                <w:rFonts w:hint="eastAsia"/>
                <w:color w:val="0D0D0D" w:themeColor="text1" w:themeTint="F2"/>
                <w:sz w:val="21"/>
                <w:szCs w:val="21"/>
                <w:u w:val="single"/>
                <w14:textFill>
                  <w14:solidFill>
                    <w14:schemeClr w14:val="tx1">
                      <w14:lumMod w14:val="95000"/>
                      <w14:lumOff w14:val="5000"/>
                    </w14:schemeClr>
                  </w14:solidFill>
                </w14:textFill>
              </w:rPr>
              <w:t>49</w:t>
            </w:r>
            <w:r>
              <w:rPr>
                <w:color w:val="0D0D0D" w:themeColor="text1" w:themeTint="F2"/>
                <w:sz w:val="21"/>
                <w:szCs w:val="21"/>
                <w:u w:val="single"/>
                <w14:textFill>
                  <w14:solidFill>
                    <w14:schemeClr w14:val="tx1">
                      <w14:lumMod w14:val="95000"/>
                      <w14:lumOff w14:val="5000"/>
                    </w14:schemeClr>
                  </w14:solidFill>
                </w14:textFill>
              </w:rPr>
              <w:t>-</w:t>
            </w:r>
            <w:r>
              <w:rPr>
                <w:rFonts w:hint="eastAsia"/>
                <w:color w:val="0D0D0D" w:themeColor="text1" w:themeTint="F2"/>
                <w:sz w:val="21"/>
                <w:szCs w:val="21"/>
                <w:u w:val="single"/>
                <w14:textFill>
                  <w14:solidFill>
                    <w14:schemeClr w14:val="tx1">
                      <w14:lumMod w14:val="95000"/>
                      <w14:lumOff w14:val="5000"/>
                    </w14:schemeClr>
                  </w14:solidFill>
                </w14:textFill>
              </w:rPr>
              <w:t>50</w:t>
            </w:r>
          </w:p>
        </w:tc>
        <w:tc>
          <w:tcPr>
            <w:tcW w:w="303" w:type="pct"/>
            <w:vAlign w:val="center"/>
          </w:tcPr>
          <w:p w14:paraId="39F4D1A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0.01</w:t>
            </w:r>
          </w:p>
        </w:tc>
        <w:tc>
          <w:tcPr>
            <w:tcW w:w="399" w:type="pct"/>
            <w:vAlign w:val="center"/>
          </w:tcPr>
          <w:p w14:paraId="001C60A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废气处理</w:t>
            </w:r>
          </w:p>
        </w:tc>
        <w:tc>
          <w:tcPr>
            <w:tcW w:w="249" w:type="pct"/>
            <w:vAlign w:val="center"/>
          </w:tcPr>
          <w:p w14:paraId="5BB547E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固态</w:t>
            </w:r>
          </w:p>
        </w:tc>
        <w:tc>
          <w:tcPr>
            <w:tcW w:w="448" w:type="pct"/>
            <w:vAlign w:val="center"/>
          </w:tcPr>
          <w:p w14:paraId="5494433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废催化剂</w:t>
            </w:r>
          </w:p>
        </w:tc>
        <w:tc>
          <w:tcPr>
            <w:tcW w:w="399" w:type="pct"/>
            <w:vAlign w:val="center"/>
          </w:tcPr>
          <w:p w14:paraId="56E32BC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废催化剂</w:t>
            </w:r>
          </w:p>
        </w:tc>
        <w:tc>
          <w:tcPr>
            <w:tcW w:w="249" w:type="pct"/>
            <w:vAlign w:val="center"/>
          </w:tcPr>
          <w:p w14:paraId="641293B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1年</w:t>
            </w:r>
          </w:p>
        </w:tc>
        <w:tc>
          <w:tcPr>
            <w:tcW w:w="399" w:type="pct"/>
            <w:vAlign w:val="center"/>
          </w:tcPr>
          <w:p w14:paraId="37B9659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T</w:t>
            </w:r>
          </w:p>
        </w:tc>
        <w:tc>
          <w:tcPr>
            <w:tcW w:w="524" w:type="pct"/>
            <w:vMerge w:val="continue"/>
            <w:vAlign w:val="center"/>
          </w:tcPr>
          <w:p w14:paraId="5E7C103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bl>
    <w:p w14:paraId="0FA2C6E3">
      <w:pPr>
        <w:widowControl/>
        <w:spacing w:line="240" w:lineRule="auto"/>
        <w:jc w:val="left"/>
        <w:rPr>
          <w:color w:val="0D0D0D" w:themeColor="text1" w:themeTint="F2"/>
          <w14:textFill>
            <w14:solidFill>
              <w14:schemeClr w14:val="tx1">
                <w14:lumMod w14:val="95000"/>
                <w14:lumOff w14:val="5000"/>
              </w14:schemeClr>
            </w14:solidFill>
          </w14:textFill>
        </w:rPr>
        <w:sectPr>
          <w:pgSz w:w="16838" w:h="11906" w:orient="landscape"/>
          <w:pgMar w:top="1440" w:right="1440" w:bottom="1440" w:left="1440" w:header="851" w:footer="992" w:gutter="0"/>
          <w:cols w:space="425" w:num="1"/>
          <w:docGrid w:type="linesAndChars" w:linePitch="312" w:charSpace="0"/>
        </w:sectPr>
      </w:pPr>
    </w:p>
    <w:p w14:paraId="6AC4B660">
      <w:pPr>
        <w:pStyle w:val="11"/>
      </w:pPr>
      <w:r>
        <w:rPr>
          <w:rFonts w:hint="eastAsia"/>
        </w:rPr>
        <w:t xml:space="preserve"> </w:t>
      </w:r>
      <w:r>
        <w:t>固体废物</w:t>
      </w:r>
      <w:r>
        <w:rPr>
          <w:rFonts w:hint="eastAsia"/>
        </w:rPr>
        <w:t>核算一览</w:t>
      </w:r>
      <w:r>
        <w:t>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874"/>
        <w:gridCol w:w="1874"/>
        <w:gridCol w:w="1585"/>
        <w:gridCol w:w="862"/>
        <w:gridCol w:w="2018"/>
        <w:gridCol w:w="1298"/>
        <w:gridCol w:w="2883"/>
        <w:gridCol w:w="1066"/>
      </w:tblGrid>
      <w:tr w14:paraId="63504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52" w:type="pct"/>
            <w:vAlign w:val="center"/>
          </w:tcPr>
          <w:p w14:paraId="17956D4D">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bookmarkStart w:id="111" w:name="_Hlk166954786"/>
            <w:r>
              <w:rPr>
                <w:rFonts w:cs="Times New Roman"/>
                <w:color w:val="0D0D0D" w:themeColor="text1" w:themeTint="F2"/>
                <w:sz w:val="21"/>
                <w:u w:val="single"/>
                <w14:textFill>
                  <w14:solidFill>
                    <w14:schemeClr w14:val="tx1">
                      <w14:lumMod w14:val="95000"/>
                      <w14:lumOff w14:val="5000"/>
                    </w14:schemeClr>
                  </w14:solidFill>
                </w14:textFill>
              </w:rPr>
              <w:t>序号</w:t>
            </w:r>
          </w:p>
        </w:tc>
        <w:tc>
          <w:tcPr>
            <w:tcW w:w="661" w:type="pct"/>
            <w:vAlign w:val="center"/>
          </w:tcPr>
          <w:p w14:paraId="5A8ED027">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固废名称</w:t>
            </w:r>
          </w:p>
        </w:tc>
        <w:tc>
          <w:tcPr>
            <w:tcW w:w="661" w:type="pct"/>
            <w:vAlign w:val="center"/>
          </w:tcPr>
          <w:p w14:paraId="33D45650">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属性</w:t>
            </w:r>
          </w:p>
        </w:tc>
        <w:tc>
          <w:tcPr>
            <w:tcW w:w="559" w:type="pct"/>
            <w:vAlign w:val="center"/>
          </w:tcPr>
          <w:p w14:paraId="74001559">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产生工序</w:t>
            </w:r>
          </w:p>
        </w:tc>
        <w:tc>
          <w:tcPr>
            <w:tcW w:w="304" w:type="pct"/>
            <w:vAlign w:val="center"/>
          </w:tcPr>
          <w:p w14:paraId="423FF2D0">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形态</w:t>
            </w:r>
          </w:p>
        </w:tc>
        <w:tc>
          <w:tcPr>
            <w:tcW w:w="712" w:type="pct"/>
            <w:vAlign w:val="center"/>
          </w:tcPr>
          <w:p w14:paraId="2A52FC97">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主要成分</w:t>
            </w:r>
          </w:p>
        </w:tc>
        <w:tc>
          <w:tcPr>
            <w:tcW w:w="458" w:type="pct"/>
            <w:vAlign w:val="center"/>
          </w:tcPr>
          <w:p w14:paraId="4CB0FD54">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产生量（t/a）</w:t>
            </w:r>
          </w:p>
        </w:tc>
        <w:tc>
          <w:tcPr>
            <w:tcW w:w="1017" w:type="pct"/>
            <w:vAlign w:val="center"/>
          </w:tcPr>
          <w:p w14:paraId="3CF35C81">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处置</w:t>
            </w:r>
            <w:r>
              <w:rPr>
                <w:rFonts w:hint="eastAsia" w:cs="Times New Roman"/>
                <w:color w:val="0D0D0D" w:themeColor="text1" w:themeTint="F2"/>
                <w:sz w:val="21"/>
                <w:u w:val="single"/>
                <w14:textFill>
                  <w14:solidFill>
                    <w14:schemeClr w14:val="tx1">
                      <w14:lumMod w14:val="95000"/>
                      <w14:lumOff w14:val="5000"/>
                    </w14:schemeClr>
                  </w14:solidFill>
                </w14:textFill>
              </w:rPr>
              <w:t>措施</w:t>
            </w:r>
          </w:p>
        </w:tc>
        <w:tc>
          <w:tcPr>
            <w:tcW w:w="376" w:type="pct"/>
            <w:vAlign w:val="center"/>
          </w:tcPr>
          <w:p w14:paraId="5F30844C">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处置</w:t>
            </w:r>
            <w:r>
              <w:rPr>
                <w:rFonts w:cs="Times New Roman"/>
                <w:color w:val="0D0D0D" w:themeColor="text1" w:themeTint="F2"/>
                <w:sz w:val="21"/>
                <w:u w:val="single"/>
                <w14:textFill>
                  <w14:solidFill>
                    <w14:schemeClr w14:val="tx1">
                      <w14:lumMod w14:val="95000"/>
                      <w14:lumOff w14:val="5000"/>
                    </w14:schemeClr>
                  </w14:solidFill>
                </w14:textFill>
              </w:rPr>
              <w:t>量（t/a）</w:t>
            </w:r>
          </w:p>
        </w:tc>
      </w:tr>
      <w:tr w14:paraId="32F52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Align w:val="center"/>
          </w:tcPr>
          <w:p w14:paraId="19433AE5">
            <w:pPr>
              <w:pStyle w:val="46"/>
              <w:numPr>
                <w:ilvl w:val="0"/>
                <w:numId w:val="35"/>
              </w:numPr>
              <w:spacing w:line="240" w:lineRule="auto"/>
              <w:contextualSpacing w:val="0"/>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661" w:type="pct"/>
            <w:vAlign w:val="center"/>
          </w:tcPr>
          <w:p w14:paraId="4337347D">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废包装物</w:t>
            </w:r>
          </w:p>
        </w:tc>
        <w:tc>
          <w:tcPr>
            <w:tcW w:w="661" w:type="pct"/>
            <w:vMerge w:val="restart"/>
            <w:vAlign w:val="center"/>
          </w:tcPr>
          <w:p w14:paraId="37E57C52">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一般固废</w:t>
            </w:r>
          </w:p>
        </w:tc>
        <w:tc>
          <w:tcPr>
            <w:tcW w:w="559" w:type="pct"/>
            <w:vAlign w:val="center"/>
          </w:tcPr>
          <w:p w14:paraId="79DF389E">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原料使用</w:t>
            </w:r>
          </w:p>
        </w:tc>
        <w:tc>
          <w:tcPr>
            <w:tcW w:w="304" w:type="pct"/>
            <w:vAlign w:val="center"/>
          </w:tcPr>
          <w:p w14:paraId="038BF5A5">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固</w:t>
            </w:r>
          </w:p>
        </w:tc>
        <w:tc>
          <w:tcPr>
            <w:tcW w:w="712" w:type="pct"/>
            <w:vAlign w:val="center"/>
          </w:tcPr>
          <w:p w14:paraId="2B5B7251">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包装桶、袋</w:t>
            </w:r>
          </w:p>
        </w:tc>
        <w:tc>
          <w:tcPr>
            <w:tcW w:w="458" w:type="pct"/>
            <w:vAlign w:val="center"/>
          </w:tcPr>
          <w:p w14:paraId="6E3D49D1">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10.63</w:t>
            </w:r>
          </w:p>
        </w:tc>
        <w:tc>
          <w:tcPr>
            <w:tcW w:w="1017" w:type="pct"/>
            <w:vAlign w:val="center"/>
          </w:tcPr>
          <w:p w14:paraId="4045C033">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外售第三方单位</w:t>
            </w:r>
          </w:p>
        </w:tc>
        <w:tc>
          <w:tcPr>
            <w:tcW w:w="376" w:type="pct"/>
            <w:vAlign w:val="center"/>
          </w:tcPr>
          <w:p w14:paraId="4EEB464F">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10.63</w:t>
            </w:r>
          </w:p>
        </w:tc>
      </w:tr>
      <w:tr w14:paraId="162E7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Align w:val="center"/>
          </w:tcPr>
          <w:p w14:paraId="70553599">
            <w:pPr>
              <w:pStyle w:val="46"/>
              <w:numPr>
                <w:ilvl w:val="0"/>
                <w:numId w:val="35"/>
              </w:numPr>
              <w:spacing w:line="240" w:lineRule="auto"/>
              <w:contextualSpacing w:val="0"/>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661" w:type="pct"/>
            <w:vAlign w:val="center"/>
          </w:tcPr>
          <w:p w14:paraId="0FF624E6">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废白土</w:t>
            </w:r>
          </w:p>
        </w:tc>
        <w:tc>
          <w:tcPr>
            <w:tcW w:w="661" w:type="pct"/>
            <w:vMerge w:val="continue"/>
            <w:vAlign w:val="center"/>
          </w:tcPr>
          <w:p w14:paraId="70F237D6">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559" w:type="pct"/>
            <w:vAlign w:val="center"/>
          </w:tcPr>
          <w:p w14:paraId="1754F3FF">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过滤</w:t>
            </w:r>
          </w:p>
        </w:tc>
        <w:tc>
          <w:tcPr>
            <w:tcW w:w="304" w:type="pct"/>
            <w:vAlign w:val="center"/>
          </w:tcPr>
          <w:p w14:paraId="31213CCD">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固</w:t>
            </w:r>
          </w:p>
        </w:tc>
        <w:tc>
          <w:tcPr>
            <w:tcW w:w="712" w:type="pct"/>
            <w:vAlign w:val="center"/>
          </w:tcPr>
          <w:p w14:paraId="63266308">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白土、杂质</w:t>
            </w:r>
          </w:p>
        </w:tc>
        <w:tc>
          <w:tcPr>
            <w:tcW w:w="458" w:type="pct"/>
            <w:vAlign w:val="center"/>
          </w:tcPr>
          <w:p w14:paraId="52B20C96">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1349.73</w:t>
            </w:r>
          </w:p>
        </w:tc>
        <w:tc>
          <w:tcPr>
            <w:tcW w:w="1017" w:type="pct"/>
            <w:vAlign w:val="center"/>
          </w:tcPr>
          <w:p w14:paraId="1399B8CD">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外售第三方单位</w:t>
            </w:r>
          </w:p>
        </w:tc>
        <w:tc>
          <w:tcPr>
            <w:tcW w:w="376" w:type="pct"/>
            <w:vAlign w:val="center"/>
          </w:tcPr>
          <w:p w14:paraId="0B534FF1">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1349.73</w:t>
            </w:r>
          </w:p>
        </w:tc>
      </w:tr>
      <w:tr w14:paraId="7DB6F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Align w:val="center"/>
          </w:tcPr>
          <w:p w14:paraId="00DDC318">
            <w:pPr>
              <w:pStyle w:val="46"/>
              <w:numPr>
                <w:ilvl w:val="0"/>
                <w:numId w:val="35"/>
              </w:numPr>
              <w:spacing w:line="240" w:lineRule="auto"/>
              <w:contextualSpacing w:val="0"/>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661" w:type="pct"/>
            <w:vAlign w:val="center"/>
          </w:tcPr>
          <w:p w14:paraId="569218EE">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废渣</w:t>
            </w:r>
          </w:p>
        </w:tc>
        <w:tc>
          <w:tcPr>
            <w:tcW w:w="661" w:type="pct"/>
            <w:vMerge w:val="continue"/>
            <w:vAlign w:val="center"/>
          </w:tcPr>
          <w:p w14:paraId="3DD3388E">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559" w:type="pct"/>
            <w:vAlign w:val="center"/>
          </w:tcPr>
          <w:p w14:paraId="6B2D7993">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生产过程</w:t>
            </w:r>
          </w:p>
        </w:tc>
        <w:tc>
          <w:tcPr>
            <w:tcW w:w="304" w:type="pct"/>
            <w:vAlign w:val="center"/>
          </w:tcPr>
          <w:p w14:paraId="4A9DDC03">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固</w:t>
            </w:r>
          </w:p>
        </w:tc>
        <w:tc>
          <w:tcPr>
            <w:tcW w:w="712" w:type="pct"/>
            <w:vAlign w:val="center"/>
          </w:tcPr>
          <w:p w14:paraId="250E303D">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杂质</w:t>
            </w:r>
          </w:p>
        </w:tc>
        <w:tc>
          <w:tcPr>
            <w:tcW w:w="458" w:type="pct"/>
            <w:vAlign w:val="center"/>
          </w:tcPr>
          <w:p w14:paraId="2C5D6323">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1976.6</w:t>
            </w:r>
          </w:p>
        </w:tc>
        <w:tc>
          <w:tcPr>
            <w:tcW w:w="1017" w:type="pct"/>
            <w:vAlign w:val="center"/>
          </w:tcPr>
          <w:p w14:paraId="15B0FA6D">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外售第三方单位</w:t>
            </w:r>
          </w:p>
        </w:tc>
        <w:tc>
          <w:tcPr>
            <w:tcW w:w="376" w:type="pct"/>
            <w:vAlign w:val="center"/>
          </w:tcPr>
          <w:p w14:paraId="4183F0BA">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1976.6</w:t>
            </w:r>
          </w:p>
        </w:tc>
      </w:tr>
      <w:tr w14:paraId="3A40F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Align w:val="center"/>
          </w:tcPr>
          <w:p w14:paraId="6EC32031">
            <w:pPr>
              <w:pStyle w:val="46"/>
              <w:numPr>
                <w:ilvl w:val="0"/>
                <w:numId w:val="35"/>
              </w:numPr>
              <w:spacing w:line="240" w:lineRule="auto"/>
              <w:contextualSpacing w:val="0"/>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661" w:type="pct"/>
            <w:vAlign w:val="center"/>
          </w:tcPr>
          <w:p w14:paraId="4EB6E5B8">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污泥</w:t>
            </w:r>
          </w:p>
        </w:tc>
        <w:tc>
          <w:tcPr>
            <w:tcW w:w="661" w:type="pct"/>
            <w:vMerge w:val="continue"/>
            <w:vAlign w:val="center"/>
          </w:tcPr>
          <w:p w14:paraId="5997AFAA">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559" w:type="pct"/>
            <w:vAlign w:val="center"/>
          </w:tcPr>
          <w:p w14:paraId="2B3AF536">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废水处理</w:t>
            </w:r>
          </w:p>
        </w:tc>
        <w:tc>
          <w:tcPr>
            <w:tcW w:w="304" w:type="pct"/>
            <w:vAlign w:val="center"/>
          </w:tcPr>
          <w:p w14:paraId="0FDDD40A">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固</w:t>
            </w:r>
          </w:p>
        </w:tc>
        <w:tc>
          <w:tcPr>
            <w:tcW w:w="712" w:type="pct"/>
            <w:vAlign w:val="center"/>
          </w:tcPr>
          <w:p w14:paraId="4C1C38AE">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污泥</w:t>
            </w:r>
          </w:p>
        </w:tc>
        <w:tc>
          <w:tcPr>
            <w:tcW w:w="458" w:type="pct"/>
            <w:vAlign w:val="center"/>
          </w:tcPr>
          <w:p w14:paraId="71B75C20">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43.27</w:t>
            </w:r>
          </w:p>
        </w:tc>
        <w:tc>
          <w:tcPr>
            <w:tcW w:w="1017" w:type="pct"/>
            <w:vAlign w:val="center"/>
          </w:tcPr>
          <w:p w14:paraId="22562D90">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污泥处置单位处置</w:t>
            </w:r>
          </w:p>
        </w:tc>
        <w:tc>
          <w:tcPr>
            <w:tcW w:w="376" w:type="pct"/>
            <w:vAlign w:val="center"/>
          </w:tcPr>
          <w:p w14:paraId="5F1EC38E">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43.27</w:t>
            </w:r>
          </w:p>
        </w:tc>
      </w:tr>
      <w:tr w14:paraId="126B9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Align w:val="center"/>
          </w:tcPr>
          <w:p w14:paraId="4B80CDE0">
            <w:pPr>
              <w:pStyle w:val="46"/>
              <w:numPr>
                <w:ilvl w:val="0"/>
                <w:numId w:val="35"/>
              </w:numPr>
              <w:spacing w:line="240" w:lineRule="auto"/>
              <w:contextualSpacing w:val="0"/>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661" w:type="pct"/>
            <w:vAlign w:val="center"/>
          </w:tcPr>
          <w:p w14:paraId="2766E50A">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废MBR膜</w:t>
            </w:r>
          </w:p>
        </w:tc>
        <w:tc>
          <w:tcPr>
            <w:tcW w:w="661" w:type="pct"/>
            <w:vMerge w:val="continue"/>
            <w:vAlign w:val="center"/>
          </w:tcPr>
          <w:p w14:paraId="316D823B">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559" w:type="pct"/>
            <w:vAlign w:val="center"/>
          </w:tcPr>
          <w:p w14:paraId="5129E3DB">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废水处理</w:t>
            </w:r>
          </w:p>
        </w:tc>
        <w:tc>
          <w:tcPr>
            <w:tcW w:w="304" w:type="pct"/>
            <w:vAlign w:val="center"/>
          </w:tcPr>
          <w:p w14:paraId="4F171AE7">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固</w:t>
            </w:r>
          </w:p>
        </w:tc>
        <w:tc>
          <w:tcPr>
            <w:tcW w:w="712" w:type="pct"/>
            <w:vAlign w:val="center"/>
          </w:tcPr>
          <w:p w14:paraId="447001A9">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废MBR膜</w:t>
            </w:r>
          </w:p>
        </w:tc>
        <w:tc>
          <w:tcPr>
            <w:tcW w:w="458" w:type="pct"/>
            <w:vAlign w:val="center"/>
          </w:tcPr>
          <w:p w14:paraId="17FC7FE5">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0.1</w:t>
            </w:r>
          </w:p>
        </w:tc>
        <w:tc>
          <w:tcPr>
            <w:tcW w:w="1017" w:type="pct"/>
            <w:vAlign w:val="center"/>
          </w:tcPr>
          <w:p w14:paraId="4CC34351">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生产厂家回收</w:t>
            </w:r>
          </w:p>
        </w:tc>
        <w:tc>
          <w:tcPr>
            <w:tcW w:w="376" w:type="pct"/>
            <w:vAlign w:val="center"/>
          </w:tcPr>
          <w:p w14:paraId="79FA4D12">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0.1</w:t>
            </w:r>
          </w:p>
        </w:tc>
      </w:tr>
      <w:tr w14:paraId="55D2D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Align w:val="center"/>
          </w:tcPr>
          <w:p w14:paraId="57D64519">
            <w:pPr>
              <w:pStyle w:val="46"/>
              <w:numPr>
                <w:ilvl w:val="0"/>
                <w:numId w:val="35"/>
              </w:numPr>
              <w:spacing w:line="240" w:lineRule="auto"/>
              <w:contextualSpacing w:val="0"/>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661" w:type="pct"/>
            <w:vAlign w:val="center"/>
          </w:tcPr>
          <w:p w14:paraId="5225A832">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除尘器收集粉尘</w:t>
            </w:r>
          </w:p>
        </w:tc>
        <w:tc>
          <w:tcPr>
            <w:tcW w:w="661" w:type="pct"/>
            <w:vMerge w:val="continue"/>
            <w:vAlign w:val="center"/>
          </w:tcPr>
          <w:p w14:paraId="09B27762">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559" w:type="pct"/>
            <w:vAlign w:val="center"/>
          </w:tcPr>
          <w:p w14:paraId="1E9AAFB0">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废气处理</w:t>
            </w:r>
          </w:p>
        </w:tc>
        <w:tc>
          <w:tcPr>
            <w:tcW w:w="304" w:type="pct"/>
            <w:vAlign w:val="center"/>
          </w:tcPr>
          <w:p w14:paraId="2F52B88C">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固态</w:t>
            </w:r>
          </w:p>
        </w:tc>
        <w:tc>
          <w:tcPr>
            <w:tcW w:w="712" w:type="pct"/>
            <w:vAlign w:val="center"/>
          </w:tcPr>
          <w:p w14:paraId="137EA2E3">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粉尘</w:t>
            </w:r>
          </w:p>
        </w:tc>
        <w:tc>
          <w:tcPr>
            <w:tcW w:w="458" w:type="pct"/>
            <w:vAlign w:val="center"/>
          </w:tcPr>
          <w:p w14:paraId="7C3B91A3">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110.64</w:t>
            </w:r>
          </w:p>
        </w:tc>
        <w:tc>
          <w:tcPr>
            <w:tcW w:w="1017" w:type="pct"/>
            <w:vAlign w:val="center"/>
          </w:tcPr>
          <w:p w14:paraId="144F1CBE">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外售第三方单位</w:t>
            </w:r>
          </w:p>
        </w:tc>
        <w:tc>
          <w:tcPr>
            <w:tcW w:w="376" w:type="pct"/>
            <w:vAlign w:val="center"/>
          </w:tcPr>
          <w:p w14:paraId="3A0E68AF">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110.64</w:t>
            </w:r>
          </w:p>
        </w:tc>
      </w:tr>
      <w:tr w14:paraId="278C6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Align w:val="center"/>
          </w:tcPr>
          <w:p w14:paraId="41AF3FBA">
            <w:pPr>
              <w:pStyle w:val="46"/>
              <w:numPr>
                <w:ilvl w:val="0"/>
                <w:numId w:val="35"/>
              </w:numPr>
              <w:spacing w:line="240" w:lineRule="auto"/>
              <w:contextualSpacing w:val="0"/>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661" w:type="pct"/>
            <w:vAlign w:val="center"/>
          </w:tcPr>
          <w:p w14:paraId="7B2CA1CD">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废布袋</w:t>
            </w:r>
          </w:p>
        </w:tc>
        <w:tc>
          <w:tcPr>
            <w:tcW w:w="661" w:type="pct"/>
            <w:vMerge w:val="continue"/>
            <w:vAlign w:val="center"/>
          </w:tcPr>
          <w:p w14:paraId="7A483080">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559" w:type="pct"/>
            <w:vAlign w:val="center"/>
          </w:tcPr>
          <w:p w14:paraId="3E79A898">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废气处理</w:t>
            </w:r>
          </w:p>
        </w:tc>
        <w:tc>
          <w:tcPr>
            <w:tcW w:w="304" w:type="pct"/>
            <w:vAlign w:val="center"/>
          </w:tcPr>
          <w:p w14:paraId="5C45A011">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固态</w:t>
            </w:r>
          </w:p>
        </w:tc>
        <w:tc>
          <w:tcPr>
            <w:tcW w:w="712" w:type="pct"/>
            <w:vAlign w:val="center"/>
          </w:tcPr>
          <w:p w14:paraId="761A85A3">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布袋</w:t>
            </w:r>
          </w:p>
        </w:tc>
        <w:tc>
          <w:tcPr>
            <w:tcW w:w="458" w:type="pct"/>
            <w:vAlign w:val="center"/>
          </w:tcPr>
          <w:p w14:paraId="7285B9C5">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0.05</w:t>
            </w:r>
          </w:p>
        </w:tc>
        <w:tc>
          <w:tcPr>
            <w:tcW w:w="1017" w:type="pct"/>
            <w:vAlign w:val="center"/>
          </w:tcPr>
          <w:p w14:paraId="0F34A8A4">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外售第三方单位</w:t>
            </w:r>
          </w:p>
        </w:tc>
        <w:tc>
          <w:tcPr>
            <w:tcW w:w="376" w:type="pct"/>
            <w:vAlign w:val="center"/>
          </w:tcPr>
          <w:p w14:paraId="7236489B">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0.05</w:t>
            </w:r>
          </w:p>
        </w:tc>
      </w:tr>
      <w:tr w14:paraId="6F29A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Align w:val="center"/>
          </w:tcPr>
          <w:p w14:paraId="6A3B7E6F">
            <w:pPr>
              <w:pStyle w:val="46"/>
              <w:numPr>
                <w:ilvl w:val="0"/>
                <w:numId w:val="35"/>
              </w:numPr>
              <w:spacing w:line="240" w:lineRule="auto"/>
              <w:contextualSpacing w:val="0"/>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661" w:type="pct"/>
            <w:vAlign w:val="center"/>
          </w:tcPr>
          <w:p w14:paraId="076E6A7A">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废脱硫剂</w:t>
            </w:r>
          </w:p>
        </w:tc>
        <w:tc>
          <w:tcPr>
            <w:tcW w:w="661" w:type="pct"/>
            <w:vMerge w:val="continue"/>
            <w:vAlign w:val="center"/>
          </w:tcPr>
          <w:p w14:paraId="31F7915B">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559" w:type="pct"/>
            <w:vAlign w:val="center"/>
          </w:tcPr>
          <w:p w14:paraId="01900B08">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废气处理</w:t>
            </w:r>
          </w:p>
        </w:tc>
        <w:tc>
          <w:tcPr>
            <w:tcW w:w="304" w:type="pct"/>
            <w:vAlign w:val="center"/>
          </w:tcPr>
          <w:p w14:paraId="0E03E383">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固态</w:t>
            </w:r>
          </w:p>
        </w:tc>
        <w:tc>
          <w:tcPr>
            <w:tcW w:w="712" w:type="pct"/>
            <w:vAlign w:val="center"/>
          </w:tcPr>
          <w:p w14:paraId="463BD582">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氧化铁</w:t>
            </w:r>
          </w:p>
        </w:tc>
        <w:tc>
          <w:tcPr>
            <w:tcW w:w="458" w:type="pct"/>
            <w:vAlign w:val="center"/>
          </w:tcPr>
          <w:p w14:paraId="007AB50F">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0.95</w:t>
            </w:r>
          </w:p>
        </w:tc>
        <w:tc>
          <w:tcPr>
            <w:tcW w:w="1017" w:type="pct"/>
            <w:vAlign w:val="center"/>
          </w:tcPr>
          <w:p w14:paraId="7E80AD8D">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供应商回收</w:t>
            </w:r>
          </w:p>
        </w:tc>
        <w:tc>
          <w:tcPr>
            <w:tcW w:w="376" w:type="pct"/>
            <w:vAlign w:val="center"/>
          </w:tcPr>
          <w:p w14:paraId="298F07C4">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0.95</w:t>
            </w:r>
          </w:p>
        </w:tc>
      </w:tr>
      <w:tr w14:paraId="5CDC5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Align w:val="center"/>
          </w:tcPr>
          <w:p w14:paraId="642624B5">
            <w:pPr>
              <w:pStyle w:val="46"/>
              <w:numPr>
                <w:ilvl w:val="0"/>
                <w:numId w:val="35"/>
              </w:numPr>
              <w:spacing w:line="240" w:lineRule="auto"/>
              <w:contextualSpacing w:val="0"/>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661" w:type="pct"/>
            <w:vAlign w:val="center"/>
          </w:tcPr>
          <w:p w14:paraId="265B2BCA">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炉渣</w:t>
            </w:r>
          </w:p>
        </w:tc>
        <w:tc>
          <w:tcPr>
            <w:tcW w:w="661" w:type="pct"/>
            <w:vMerge w:val="continue"/>
            <w:vAlign w:val="center"/>
          </w:tcPr>
          <w:p w14:paraId="12ABBDC6">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559" w:type="pct"/>
            <w:vAlign w:val="center"/>
          </w:tcPr>
          <w:p w14:paraId="619C2327">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锅炉</w:t>
            </w:r>
          </w:p>
        </w:tc>
        <w:tc>
          <w:tcPr>
            <w:tcW w:w="304" w:type="pct"/>
            <w:vAlign w:val="center"/>
          </w:tcPr>
          <w:p w14:paraId="3DFD8149">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固态</w:t>
            </w:r>
          </w:p>
        </w:tc>
        <w:tc>
          <w:tcPr>
            <w:tcW w:w="712" w:type="pct"/>
            <w:vAlign w:val="center"/>
          </w:tcPr>
          <w:p w14:paraId="4155997F">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炉渣</w:t>
            </w:r>
          </w:p>
        </w:tc>
        <w:tc>
          <w:tcPr>
            <w:tcW w:w="458" w:type="pct"/>
            <w:vAlign w:val="center"/>
          </w:tcPr>
          <w:p w14:paraId="0BEE7E06">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490.77</w:t>
            </w:r>
          </w:p>
        </w:tc>
        <w:tc>
          <w:tcPr>
            <w:tcW w:w="1017" w:type="pct"/>
            <w:vAlign w:val="center"/>
          </w:tcPr>
          <w:p w14:paraId="57655A56">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外售第三方单位</w:t>
            </w:r>
          </w:p>
        </w:tc>
        <w:tc>
          <w:tcPr>
            <w:tcW w:w="376" w:type="pct"/>
            <w:vAlign w:val="center"/>
          </w:tcPr>
          <w:p w14:paraId="66476AE2">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490.77</w:t>
            </w:r>
          </w:p>
        </w:tc>
      </w:tr>
      <w:tr w14:paraId="2D628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Align w:val="center"/>
          </w:tcPr>
          <w:p w14:paraId="5B749885">
            <w:pPr>
              <w:pStyle w:val="46"/>
              <w:numPr>
                <w:ilvl w:val="0"/>
                <w:numId w:val="35"/>
              </w:numPr>
              <w:spacing w:line="240" w:lineRule="auto"/>
              <w:contextualSpacing w:val="0"/>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661" w:type="pct"/>
            <w:vAlign w:val="center"/>
          </w:tcPr>
          <w:p w14:paraId="230BFD89">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废离子交换树脂</w:t>
            </w:r>
          </w:p>
        </w:tc>
        <w:tc>
          <w:tcPr>
            <w:tcW w:w="661" w:type="pct"/>
            <w:vMerge w:val="continue"/>
            <w:vAlign w:val="center"/>
          </w:tcPr>
          <w:p w14:paraId="1E0A34BB">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559" w:type="pct"/>
            <w:vAlign w:val="center"/>
          </w:tcPr>
          <w:p w14:paraId="0895BA1C">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纯水制备</w:t>
            </w:r>
          </w:p>
        </w:tc>
        <w:tc>
          <w:tcPr>
            <w:tcW w:w="304" w:type="pct"/>
            <w:vAlign w:val="center"/>
          </w:tcPr>
          <w:p w14:paraId="73118548">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固态</w:t>
            </w:r>
          </w:p>
        </w:tc>
        <w:tc>
          <w:tcPr>
            <w:tcW w:w="712" w:type="pct"/>
            <w:vAlign w:val="center"/>
          </w:tcPr>
          <w:p w14:paraId="02331571">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废离子交换树脂</w:t>
            </w:r>
          </w:p>
        </w:tc>
        <w:tc>
          <w:tcPr>
            <w:tcW w:w="458" w:type="pct"/>
            <w:vAlign w:val="center"/>
          </w:tcPr>
          <w:p w14:paraId="7CCA544F">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0.1</w:t>
            </w:r>
          </w:p>
        </w:tc>
        <w:tc>
          <w:tcPr>
            <w:tcW w:w="1017" w:type="pct"/>
            <w:vAlign w:val="center"/>
          </w:tcPr>
          <w:p w14:paraId="791146BF">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生产厂家回收</w:t>
            </w:r>
          </w:p>
        </w:tc>
        <w:tc>
          <w:tcPr>
            <w:tcW w:w="376" w:type="pct"/>
            <w:vAlign w:val="center"/>
          </w:tcPr>
          <w:p w14:paraId="26D3FB75">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0.1</w:t>
            </w:r>
          </w:p>
        </w:tc>
      </w:tr>
      <w:tr w14:paraId="2CD9B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Align w:val="center"/>
          </w:tcPr>
          <w:p w14:paraId="31944B86">
            <w:pPr>
              <w:pStyle w:val="46"/>
              <w:numPr>
                <w:ilvl w:val="0"/>
                <w:numId w:val="35"/>
              </w:numPr>
              <w:spacing w:line="240" w:lineRule="auto"/>
              <w:contextualSpacing w:val="0"/>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661" w:type="pct"/>
            <w:vAlign w:val="center"/>
          </w:tcPr>
          <w:p w14:paraId="21223397">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废导热油</w:t>
            </w:r>
          </w:p>
        </w:tc>
        <w:tc>
          <w:tcPr>
            <w:tcW w:w="661" w:type="pct"/>
            <w:vMerge w:val="restart"/>
            <w:vAlign w:val="center"/>
          </w:tcPr>
          <w:p w14:paraId="3821EE83">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危险废物</w:t>
            </w:r>
          </w:p>
        </w:tc>
        <w:tc>
          <w:tcPr>
            <w:tcW w:w="559" w:type="pct"/>
            <w:vAlign w:val="center"/>
          </w:tcPr>
          <w:p w14:paraId="08C7FC72">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导热油炉</w:t>
            </w:r>
          </w:p>
        </w:tc>
        <w:tc>
          <w:tcPr>
            <w:tcW w:w="304" w:type="pct"/>
            <w:vAlign w:val="center"/>
          </w:tcPr>
          <w:p w14:paraId="7B2C679E">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液态</w:t>
            </w:r>
          </w:p>
        </w:tc>
        <w:tc>
          <w:tcPr>
            <w:tcW w:w="712" w:type="pct"/>
            <w:vAlign w:val="center"/>
          </w:tcPr>
          <w:p w14:paraId="7190202A">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废导热油</w:t>
            </w:r>
          </w:p>
        </w:tc>
        <w:tc>
          <w:tcPr>
            <w:tcW w:w="458" w:type="pct"/>
            <w:vAlign w:val="center"/>
          </w:tcPr>
          <w:p w14:paraId="412EF08E">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2</w:t>
            </w:r>
          </w:p>
        </w:tc>
        <w:tc>
          <w:tcPr>
            <w:tcW w:w="1017" w:type="pct"/>
            <w:vAlign w:val="center"/>
          </w:tcPr>
          <w:p w14:paraId="40CF56D2">
            <w:pPr>
              <w:spacing w:line="240" w:lineRule="auto"/>
              <w:rPr>
                <w:color w:val="0D0D0D" w:themeColor="text1" w:themeTint="F2"/>
                <w:sz w:val="21"/>
                <w:u w:val="single"/>
                <w14:textFill>
                  <w14:solidFill>
                    <w14:schemeClr w14:val="tx1">
                      <w14:lumMod w14:val="95000"/>
                      <w14:lumOff w14:val="5000"/>
                    </w14:schemeClr>
                  </w14:solidFill>
                </w14:textFill>
              </w:rPr>
            </w:pPr>
            <w:r>
              <w:rPr>
                <w:rFonts w:hint="eastAsia"/>
                <w:color w:val="0D0D0D" w:themeColor="text1" w:themeTint="F2"/>
                <w:sz w:val="21"/>
                <w:u w:val="single"/>
                <w14:textFill>
                  <w14:solidFill>
                    <w14:schemeClr w14:val="tx1">
                      <w14:lumMod w14:val="95000"/>
                      <w14:lumOff w14:val="5000"/>
                    </w14:schemeClr>
                  </w14:solidFill>
                </w14:textFill>
              </w:rPr>
              <w:t>不在厂内暂存，委托有资质单位清运处置</w:t>
            </w:r>
          </w:p>
        </w:tc>
        <w:tc>
          <w:tcPr>
            <w:tcW w:w="376" w:type="pct"/>
            <w:vAlign w:val="center"/>
          </w:tcPr>
          <w:p w14:paraId="6D428AF5">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2</w:t>
            </w:r>
          </w:p>
        </w:tc>
      </w:tr>
      <w:tr w14:paraId="39BA8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Align w:val="center"/>
          </w:tcPr>
          <w:p w14:paraId="56339992">
            <w:pPr>
              <w:pStyle w:val="46"/>
              <w:numPr>
                <w:ilvl w:val="0"/>
                <w:numId w:val="35"/>
              </w:numPr>
              <w:spacing w:line="240" w:lineRule="auto"/>
              <w:contextualSpacing w:val="0"/>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661" w:type="pct"/>
            <w:vAlign w:val="center"/>
          </w:tcPr>
          <w:p w14:paraId="149764DC">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废机油</w:t>
            </w:r>
          </w:p>
        </w:tc>
        <w:tc>
          <w:tcPr>
            <w:tcW w:w="661" w:type="pct"/>
            <w:vMerge w:val="continue"/>
            <w:vAlign w:val="center"/>
          </w:tcPr>
          <w:p w14:paraId="0F051834">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559" w:type="pct"/>
            <w:vAlign w:val="center"/>
          </w:tcPr>
          <w:p w14:paraId="517E32EB">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设备维护</w:t>
            </w:r>
          </w:p>
        </w:tc>
        <w:tc>
          <w:tcPr>
            <w:tcW w:w="304" w:type="pct"/>
            <w:vAlign w:val="center"/>
          </w:tcPr>
          <w:p w14:paraId="71744BC4">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液</w:t>
            </w:r>
          </w:p>
        </w:tc>
        <w:tc>
          <w:tcPr>
            <w:tcW w:w="712" w:type="pct"/>
            <w:vAlign w:val="center"/>
          </w:tcPr>
          <w:p w14:paraId="158B9BB6">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废机油</w:t>
            </w:r>
          </w:p>
        </w:tc>
        <w:tc>
          <w:tcPr>
            <w:tcW w:w="458" w:type="pct"/>
            <w:vAlign w:val="center"/>
          </w:tcPr>
          <w:p w14:paraId="27E1522F">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0.5</w:t>
            </w:r>
          </w:p>
        </w:tc>
        <w:tc>
          <w:tcPr>
            <w:tcW w:w="1017" w:type="pct"/>
            <w:vMerge w:val="restart"/>
            <w:vAlign w:val="center"/>
          </w:tcPr>
          <w:p w14:paraId="0A1AB057">
            <w:pPr>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暂存在危废暂存间，</w:t>
            </w:r>
            <w:r>
              <w:rPr>
                <w:rFonts w:hint="eastAsia"/>
                <w:color w:val="0D0D0D" w:themeColor="text1" w:themeTint="F2"/>
                <w:sz w:val="21"/>
                <w:u w:val="single"/>
                <w14:textFill>
                  <w14:solidFill>
                    <w14:schemeClr w14:val="tx1">
                      <w14:lumMod w14:val="95000"/>
                      <w14:lumOff w14:val="5000"/>
                    </w14:schemeClr>
                  </w14:solidFill>
                </w14:textFill>
              </w:rPr>
              <w:t>委托有资质单位清运处置</w:t>
            </w:r>
          </w:p>
        </w:tc>
        <w:tc>
          <w:tcPr>
            <w:tcW w:w="376" w:type="pct"/>
            <w:vAlign w:val="center"/>
          </w:tcPr>
          <w:p w14:paraId="3CEBB639">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0.5</w:t>
            </w:r>
          </w:p>
        </w:tc>
      </w:tr>
      <w:tr w14:paraId="7E78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Align w:val="center"/>
          </w:tcPr>
          <w:p w14:paraId="38131F43">
            <w:pPr>
              <w:pStyle w:val="46"/>
              <w:numPr>
                <w:ilvl w:val="0"/>
                <w:numId w:val="35"/>
              </w:numPr>
              <w:spacing w:line="240" w:lineRule="auto"/>
              <w:contextualSpacing w:val="0"/>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661" w:type="pct"/>
            <w:vAlign w:val="center"/>
          </w:tcPr>
          <w:p w14:paraId="50A31C8A">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废油桶</w:t>
            </w:r>
          </w:p>
        </w:tc>
        <w:tc>
          <w:tcPr>
            <w:tcW w:w="661" w:type="pct"/>
            <w:vMerge w:val="continue"/>
            <w:vAlign w:val="center"/>
          </w:tcPr>
          <w:p w14:paraId="1C8AB3C0">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559" w:type="pct"/>
            <w:vAlign w:val="center"/>
          </w:tcPr>
          <w:p w14:paraId="101E8985">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设备维护</w:t>
            </w:r>
          </w:p>
        </w:tc>
        <w:tc>
          <w:tcPr>
            <w:tcW w:w="304" w:type="pct"/>
            <w:vAlign w:val="center"/>
          </w:tcPr>
          <w:p w14:paraId="7E8E72B4">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固</w:t>
            </w:r>
          </w:p>
        </w:tc>
        <w:tc>
          <w:tcPr>
            <w:tcW w:w="712" w:type="pct"/>
            <w:vAlign w:val="center"/>
          </w:tcPr>
          <w:p w14:paraId="39D356DB">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油桶</w:t>
            </w:r>
          </w:p>
        </w:tc>
        <w:tc>
          <w:tcPr>
            <w:tcW w:w="458" w:type="pct"/>
            <w:vAlign w:val="center"/>
          </w:tcPr>
          <w:p w14:paraId="7BB7E5F3">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0.1</w:t>
            </w:r>
          </w:p>
        </w:tc>
        <w:tc>
          <w:tcPr>
            <w:tcW w:w="1017" w:type="pct"/>
            <w:vMerge w:val="continue"/>
            <w:vAlign w:val="center"/>
          </w:tcPr>
          <w:p w14:paraId="58FD85AD">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376" w:type="pct"/>
            <w:vAlign w:val="center"/>
          </w:tcPr>
          <w:p w14:paraId="10FE14FE">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0.1</w:t>
            </w:r>
          </w:p>
        </w:tc>
      </w:tr>
      <w:tr w14:paraId="0F61B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Align w:val="center"/>
          </w:tcPr>
          <w:p w14:paraId="42E16A06">
            <w:pPr>
              <w:pStyle w:val="46"/>
              <w:numPr>
                <w:ilvl w:val="0"/>
                <w:numId w:val="35"/>
              </w:numPr>
              <w:spacing w:line="240" w:lineRule="auto"/>
              <w:contextualSpacing w:val="0"/>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661" w:type="pct"/>
            <w:vAlign w:val="center"/>
          </w:tcPr>
          <w:p w14:paraId="5CAD3DBF">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废含油抹布</w:t>
            </w:r>
          </w:p>
        </w:tc>
        <w:tc>
          <w:tcPr>
            <w:tcW w:w="661" w:type="pct"/>
            <w:vMerge w:val="continue"/>
            <w:vAlign w:val="center"/>
          </w:tcPr>
          <w:p w14:paraId="7D26B2DB">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559" w:type="pct"/>
            <w:vAlign w:val="center"/>
          </w:tcPr>
          <w:p w14:paraId="50A88008">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设备维护</w:t>
            </w:r>
          </w:p>
        </w:tc>
        <w:tc>
          <w:tcPr>
            <w:tcW w:w="304" w:type="pct"/>
            <w:vAlign w:val="center"/>
          </w:tcPr>
          <w:p w14:paraId="6B449223">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固</w:t>
            </w:r>
          </w:p>
        </w:tc>
        <w:tc>
          <w:tcPr>
            <w:tcW w:w="712" w:type="pct"/>
            <w:vAlign w:val="center"/>
          </w:tcPr>
          <w:p w14:paraId="40A743BF">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抹布</w:t>
            </w:r>
          </w:p>
        </w:tc>
        <w:tc>
          <w:tcPr>
            <w:tcW w:w="458" w:type="pct"/>
            <w:vAlign w:val="center"/>
          </w:tcPr>
          <w:p w14:paraId="6BDEDA1D">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0.01</w:t>
            </w:r>
          </w:p>
        </w:tc>
        <w:tc>
          <w:tcPr>
            <w:tcW w:w="1017" w:type="pct"/>
            <w:vMerge w:val="continue"/>
            <w:vAlign w:val="center"/>
          </w:tcPr>
          <w:p w14:paraId="5F6281AB">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376" w:type="pct"/>
            <w:vAlign w:val="center"/>
          </w:tcPr>
          <w:p w14:paraId="61157621">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0.01</w:t>
            </w:r>
          </w:p>
        </w:tc>
      </w:tr>
      <w:tr w14:paraId="25C22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Align w:val="center"/>
          </w:tcPr>
          <w:p w14:paraId="32BF848A">
            <w:pPr>
              <w:pStyle w:val="46"/>
              <w:numPr>
                <w:ilvl w:val="0"/>
                <w:numId w:val="35"/>
              </w:numPr>
              <w:spacing w:line="240" w:lineRule="auto"/>
              <w:contextualSpacing w:val="0"/>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661" w:type="pct"/>
            <w:vAlign w:val="center"/>
          </w:tcPr>
          <w:p w14:paraId="784C72C1">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化验室废液</w:t>
            </w:r>
          </w:p>
        </w:tc>
        <w:tc>
          <w:tcPr>
            <w:tcW w:w="661" w:type="pct"/>
            <w:vMerge w:val="continue"/>
            <w:vAlign w:val="center"/>
          </w:tcPr>
          <w:p w14:paraId="27DB410A">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559" w:type="pct"/>
            <w:vAlign w:val="center"/>
          </w:tcPr>
          <w:p w14:paraId="215AD7E7">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化验室</w:t>
            </w:r>
          </w:p>
        </w:tc>
        <w:tc>
          <w:tcPr>
            <w:tcW w:w="304" w:type="pct"/>
            <w:vAlign w:val="center"/>
          </w:tcPr>
          <w:p w14:paraId="35198665">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液</w:t>
            </w:r>
          </w:p>
        </w:tc>
        <w:tc>
          <w:tcPr>
            <w:tcW w:w="712" w:type="pct"/>
            <w:vAlign w:val="center"/>
          </w:tcPr>
          <w:p w14:paraId="2F45A37D">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酸、碱</w:t>
            </w:r>
          </w:p>
        </w:tc>
        <w:tc>
          <w:tcPr>
            <w:tcW w:w="458" w:type="pct"/>
            <w:vAlign w:val="center"/>
          </w:tcPr>
          <w:p w14:paraId="1D9DC13D">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0.1</w:t>
            </w:r>
          </w:p>
        </w:tc>
        <w:tc>
          <w:tcPr>
            <w:tcW w:w="1017" w:type="pct"/>
            <w:vMerge w:val="continue"/>
            <w:vAlign w:val="center"/>
          </w:tcPr>
          <w:p w14:paraId="480AF7EF">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376" w:type="pct"/>
            <w:vAlign w:val="center"/>
          </w:tcPr>
          <w:p w14:paraId="67D65D32">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0.1</w:t>
            </w:r>
          </w:p>
        </w:tc>
      </w:tr>
      <w:tr w14:paraId="2D5D2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Align w:val="center"/>
          </w:tcPr>
          <w:p w14:paraId="12029653">
            <w:pPr>
              <w:pStyle w:val="46"/>
              <w:numPr>
                <w:ilvl w:val="0"/>
                <w:numId w:val="35"/>
              </w:numPr>
              <w:spacing w:line="240" w:lineRule="auto"/>
              <w:contextualSpacing w:val="0"/>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661" w:type="pct"/>
            <w:vAlign w:val="center"/>
          </w:tcPr>
          <w:p w14:paraId="084D98DD">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废催化剂</w:t>
            </w:r>
          </w:p>
        </w:tc>
        <w:tc>
          <w:tcPr>
            <w:tcW w:w="661" w:type="pct"/>
            <w:vMerge w:val="continue"/>
            <w:vAlign w:val="center"/>
          </w:tcPr>
          <w:p w14:paraId="23EE1E4B">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559" w:type="pct"/>
            <w:vAlign w:val="center"/>
          </w:tcPr>
          <w:p w14:paraId="010CEC15">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废气处理</w:t>
            </w:r>
          </w:p>
        </w:tc>
        <w:tc>
          <w:tcPr>
            <w:tcW w:w="304" w:type="pct"/>
            <w:vAlign w:val="center"/>
          </w:tcPr>
          <w:p w14:paraId="67C98405">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固</w:t>
            </w:r>
          </w:p>
        </w:tc>
        <w:tc>
          <w:tcPr>
            <w:tcW w:w="712" w:type="pct"/>
            <w:vAlign w:val="center"/>
          </w:tcPr>
          <w:p w14:paraId="38DA9BF8">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废催化剂</w:t>
            </w:r>
          </w:p>
        </w:tc>
        <w:tc>
          <w:tcPr>
            <w:tcW w:w="458" w:type="pct"/>
            <w:vAlign w:val="center"/>
          </w:tcPr>
          <w:p w14:paraId="359E4A78">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0.01</w:t>
            </w:r>
          </w:p>
        </w:tc>
        <w:tc>
          <w:tcPr>
            <w:tcW w:w="1017" w:type="pct"/>
            <w:vMerge w:val="continue"/>
            <w:vAlign w:val="center"/>
          </w:tcPr>
          <w:p w14:paraId="149B9B1D">
            <w:pPr>
              <w:spacing w:line="240" w:lineRule="auto"/>
              <w:rPr>
                <w:rFonts w:cs="Times New Roman"/>
                <w:color w:val="0D0D0D" w:themeColor="text1" w:themeTint="F2"/>
                <w:sz w:val="21"/>
                <w:u w:val="single"/>
                <w14:textFill>
                  <w14:solidFill>
                    <w14:schemeClr w14:val="tx1">
                      <w14:lumMod w14:val="95000"/>
                      <w14:lumOff w14:val="5000"/>
                    </w14:schemeClr>
                  </w14:solidFill>
                </w14:textFill>
              </w:rPr>
            </w:pPr>
          </w:p>
        </w:tc>
        <w:tc>
          <w:tcPr>
            <w:tcW w:w="376" w:type="pct"/>
            <w:vAlign w:val="center"/>
          </w:tcPr>
          <w:p w14:paraId="309A5FE2">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0.01</w:t>
            </w:r>
          </w:p>
        </w:tc>
      </w:tr>
      <w:tr w14:paraId="76080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Align w:val="center"/>
          </w:tcPr>
          <w:p w14:paraId="3985D3A8">
            <w:pPr>
              <w:pStyle w:val="46"/>
              <w:numPr>
                <w:ilvl w:val="0"/>
                <w:numId w:val="35"/>
              </w:numPr>
              <w:spacing w:line="240" w:lineRule="auto"/>
              <w:contextualSpacing w:val="0"/>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661" w:type="pct"/>
            <w:vAlign w:val="center"/>
          </w:tcPr>
          <w:p w14:paraId="5E15AA0C">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生活垃圾</w:t>
            </w:r>
          </w:p>
        </w:tc>
        <w:tc>
          <w:tcPr>
            <w:tcW w:w="661" w:type="pct"/>
            <w:vAlign w:val="center"/>
          </w:tcPr>
          <w:p w14:paraId="00297C49">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生活垃圾</w:t>
            </w:r>
          </w:p>
        </w:tc>
        <w:tc>
          <w:tcPr>
            <w:tcW w:w="559" w:type="pct"/>
            <w:vAlign w:val="center"/>
          </w:tcPr>
          <w:p w14:paraId="52919B8A">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职工生活</w:t>
            </w:r>
          </w:p>
        </w:tc>
        <w:tc>
          <w:tcPr>
            <w:tcW w:w="304" w:type="pct"/>
            <w:vAlign w:val="center"/>
          </w:tcPr>
          <w:p w14:paraId="3708DE9E">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固</w:t>
            </w:r>
          </w:p>
        </w:tc>
        <w:tc>
          <w:tcPr>
            <w:tcW w:w="712" w:type="pct"/>
            <w:vAlign w:val="center"/>
          </w:tcPr>
          <w:p w14:paraId="6A512152">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生活垃圾</w:t>
            </w:r>
          </w:p>
        </w:tc>
        <w:tc>
          <w:tcPr>
            <w:tcW w:w="458" w:type="pct"/>
            <w:vAlign w:val="center"/>
          </w:tcPr>
          <w:p w14:paraId="45784365">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18</w:t>
            </w:r>
          </w:p>
        </w:tc>
        <w:tc>
          <w:tcPr>
            <w:tcW w:w="1017" w:type="pct"/>
            <w:vAlign w:val="center"/>
          </w:tcPr>
          <w:p w14:paraId="31BE5627">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分类集中收集后由环卫部门清运处置</w:t>
            </w:r>
          </w:p>
        </w:tc>
        <w:tc>
          <w:tcPr>
            <w:tcW w:w="376" w:type="pct"/>
            <w:vAlign w:val="center"/>
          </w:tcPr>
          <w:p w14:paraId="6DFBF58D">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18</w:t>
            </w:r>
          </w:p>
        </w:tc>
      </w:tr>
      <w:bookmarkEnd w:id="111"/>
    </w:tbl>
    <w:p w14:paraId="252AC109">
      <w:pPr>
        <w:ind w:firstLine="480" w:firstLineChars="200"/>
        <w:rPr>
          <w:color w:val="0D0D0D" w:themeColor="text1" w:themeTint="F2"/>
          <w14:textFill>
            <w14:solidFill>
              <w14:schemeClr w14:val="tx1">
                <w14:lumMod w14:val="95000"/>
                <w14:lumOff w14:val="5000"/>
              </w14:schemeClr>
            </w14:solidFill>
          </w14:textFill>
        </w:rPr>
        <w:sectPr>
          <w:pgSz w:w="16838" w:h="11906" w:orient="landscape"/>
          <w:pgMar w:top="1440" w:right="1440" w:bottom="1440" w:left="1440" w:header="851" w:footer="992" w:gutter="0"/>
          <w:cols w:space="425" w:num="1"/>
          <w:docGrid w:type="linesAndChars" w:linePitch="312" w:charSpace="0"/>
        </w:sectPr>
      </w:pPr>
    </w:p>
    <w:p w14:paraId="484070DB">
      <w:pPr>
        <w:pStyle w:val="10"/>
      </w:pPr>
      <w:r>
        <w:rPr>
          <w:rFonts w:hint="eastAsia"/>
        </w:rPr>
        <w:t>污染物排放汇总</w:t>
      </w:r>
    </w:p>
    <w:p w14:paraId="1E4C160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项目运营期污染物产排情况详见表3.3-26。</w:t>
      </w:r>
    </w:p>
    <w:p w14:paraId="3F405866">
      <w:pPr>
        <w:pStyle w:val="11"/>
      </w:pPr>
      <w:r>
        <w:rPr>
          <w:rFonts w:hint="eastAsia"/>
        </w:rPr>
        <w:t xml:space="preserve"> 污染物产排情况汇总表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2325"/>
        <w:gridCol w:w="865"/>
        <w:gridCol w:w="1030"/>
        <w:gridCol w:w="1006"/>
        <w:gridCol w:w="1030"/>
        <w:gridCol w:w="2266"/>
      </w:tblGrid>
      <w:tr w14:paraId="3FF1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blHeader/>
        </w:trPr>
        <w:tc>
          <w:tcPr>
            <w:tcW w:w="390" w:type="pct"/>
            <w:vAlign w:val="center"/>
          </w:tcPr>
          <w:p w14:paraId="6A14495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类别</w:t>
            </w:r>
          </w:p>
        </w:tc>
        <w:tc>
          <w:tcPr>
            <w:tcW w:w="1258" w:type="pct"/>
            <w:vAlign w:val="center"/>
          </w:tcPr>
          <w:p w14:paraId="274E228A">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污染物</w:t>
            </w:r>
          </w:p>
        </w:tc>
        <w:tc>
          <w:tcPr>
            <w:tcW w:w="468" w:type="pct"/>
            <w:vAlign w:val="center"/>
          </w:tcPr>
          <w:p w14:paraId="7B8FC7BE">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单位</w:t>
            </w:r>
          </w:p>
        </w:tc>
        <w:tc>
          <w:tcPr>
            <w:tcW w:w="557" w:type="pct"/>
            <w:vAlign w:val="center"/>
          </w:tcPr>
          <w:p w14:paraId="55EECC64">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产生量</w:t>
            </w:r>
          </w:p>
        </w:tc>
        <w:tc>
          <w:tcPr>
            <w:tcW w:w="544" w:type="pct"/>
            <w:vAlign w:val="center"/>
          </w:tcPr>
          <w:p w14:paraId="452408A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削减量</w:t>
            </w:r>
          </w:p>
        </w:tc>
        <w:tc>
          <w:tcPr>
            <w:tcW w:w="557" w:type="pct"/>
            <w:vAlign w:val="center"/>
          </w:tcPr>
          <w:p w14:paraId="126C8680">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排放量</w:t>
            </w:r>
          </w:p>
        </w:tc>
        <w:tc>
          <w:tcPr>
            <w:tcW w:w="1226" w:type="pct"/>
            <w:vAlign w:val="center"/>
          </w:tcPr>
          <w:p w14:paraId="687086D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备注</w:t>
            </w:r>
          </w:p>
        </w:tc>
      </w:tr>
      <w:tr w14:paraId="4F3D9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restart"/>
            <w:vAlign w:val="center"/>
          </w:tcPr>
          <w:p w14:paraId="0F703BA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废气</w:t>
            </w:r>
          </w:p>
        </w:tc>
        <w:tc>
          <w:tcPr>
            <w:tcW w:w="1258" w:type="pct"/>
            <w:vAlign w:val="center"/>
          </w:tcPr>
          <w:p w14:paraId="5FAC4FC6">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颗粒物</w:t>
            </w:r>
          </w:p>
        </w:tc>
        <w:tc>
          <w:tcPr>
            <w:tcW w:w="468" w:type="pct"/>
            <w:vAlign w:val="center"/>
          </w:tcPr>
          <w:p w14:paraId="707D5949">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13D7371D">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111.96</w:t>
            </w:r>
          </w:p>
        </w:tc>
        <w:tc>
          <w:tcPr>
            <w:tcW w:w="544" w:type="pct"/>
            <w:vAlign w:val="center"/>
          </w:tcPr>
          <w:p w14:paraId="426A1519">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110.64</w:t>
            </w:r>
          </w:p>
        </w:tc>
        <w:tc>
          <w:tcPr>
            <w:tcW w:w="557" w:type="pct"/>
            <w:vAlign w:val="center"/>
          </w:tcPr>
          <w:p w14:paraId="7AB83772">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1.32</w:t>
            </w:r>
          </w:p>
        </w:tc>
        <w:tc>
          <w:tcPr>
            <w:tcW w:w="1226" w:type="pct"/>
            <w:vAlign w:val="center"/>
          </w:tcPr>
          <w:p w14:paraId="083408AD">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w:t>
            </w:r>
          </w:p>
        </w:tc>
      </w:tr>
      <w:tr w14:paraId="340C7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14:paraId="09B74664">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258" w:type="pct"/>
            <w:vAlign w:val="center"/>
          </w:tcPr>
          <w:p w14:paraId="5714331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SO</w:t>
            </w:r>
            <w:r>
              <w:rPr>
                <w:rFonts w:cs="Times New Roman"/>
                <w:color w:val="0D0D0D" w:themeColor="text1" w:themeTint="F2"/>
                <w:kern w:val="0"/>
                <w:sz w:val="21"/>
                <w:szCs w:val="21"/>
                <w:u w:val="single"/>
                <w:vertAlign w:val="subscript"/>
                <w14:textFill>
                  <w14:solidFill>
                    <w14:schemeClr w14:val="tx1">
                      <w14:lumMod w14:val="95000"/>
                      <w14:lumOff w14:val="5000"/>
                    </w14:schemeClr>
                  </w14:solidFill>
                </w14:textFill>
              </w:rPr>
              <w:t>2</w:t>
            </w:r>
          </w:p>
        </w:tc>
        <w:tc>
          <w:tcPr>
            <w:tcW w:w="468" w:type="pct"/>
            <w:vAlign w:val="center"/>
          </w:tcPr>
          <w:p w14:paraId="3CF894C8">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2770829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0.97</w:t>
            </w:r>
          </w:p>
        </w:tc>
        <w:tc>
          <w:tcPr>
            <w:tcW w:w="544" w:type="pct"/>
            <w:vAlign w:val="center"/>
          </w:tcPr>
          <w:p w14:paraId="224DBA36">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w:t>
            </w:r>
          </w:p>
        </w:tc>
        <w:tc>
          <w:tcPr>
            <w:tcW w:w="557" w:type="pct"/>
            <w:vAlign w:val="center"/>
          </w:tcPr>
          <w:p w14:paraId="1AED72AD">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0.97</w:t>
            </w:r>
          </w:p>
        </w:tc>
        <w:tc>
          <w:tcPr>
            <w:tcW w:w="1226" w:type="pct"/>
            <w:vAlign w:val="center"/>
          </w:tcPr>
          <w:p w14:paraId="22550E26">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w:t>
            </w:r>
          </w:p>
        </w:tc>
      </w:tr>
      <w:tr w14:paraId="3E94F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14:paraId="5E2D0777">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258" w:type="pct"/>
            <w:vAlign w:val="center"/>
          </w:tcPr>
          <w:p w14:paraId="0084419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NOx</w:t>
            </w:r>
          </w:p>
        </w:tc>
        <w:tc>
          <w:tcPr>
            <w:tcW w:w="468" w:type="pct"/>
            <w:vAlign w:val="center"/>
          </w:tcPr>
          <w:p w14:paraId="6CD40947">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1D74CC14">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21.72</w:t>
            </w:r>
          </w:p>
        </w:tc>
        <w:tc>
          <w:tcPr>
            <w:tcW w:w="544" w:type="pct"/>
            <w:vAlign w:val="center"/>
          </w:tcPr>
          <w:p w14:paraId="24C5CDD8">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w:t>
            </w:r>
          </w:p>
        </w:tc>
        <w:tc>
          <w:tcPr>
            <w:tcW w:w="557" w:type="pct"/>
            <w:vAlign w:val="center"/>
          </w:tcPr>
          <w:p w14:paraId="5376A23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21.72</w:t>
            </w:r>
          </w:p>
        </w:tc>
        <w:tc>
          <w:tcPr>
            <w:tcW w:w="1226" w:type="pct"/>
            <w:vAlign w:val="center"/>
          </w:tcPr>
          <w:p w14:paraId="093B2F5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w:t>
            </w:r>
          </w:p>
        </w:tc>
      </w:tr>
      <w:tr w14:paraId="4C03A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14:paraId="73367162">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258" w:type="pct"/>
            <w:vAlign w:val="center"/>
          </w:tcPr>
          <w:p w14:paraId="0AA8C008">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非甲烷总烃</w:t>
            </w:r>
          </w:p>
        </w:tc>
        <w:tc>
          <w:tcPr>
            <w:tcW w:w="468" w:type="pct"/>
            <w:vAlign w:val="center"/>
          </w:tcPr>
          <w:p w14:paraId="06DB971A">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314069A8">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93.48</w:t>
            </w:r>
          </w:p>
        </w:tc>
        <w:tc>
          <w:tcPr>
            <w:tcW w:w="544" w:type="pct"/>
            <w:vAlign w:val="center"/>
          </w:tcPr>
          <w:p w14:paraId="0F22282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79.91</w:t>
            </w:r>
          </w:p>
        </w:tc>
        <w:tc>
          <w:tcPr>
            <w:tcW w:w="557" w:type="pct"/>
            <w:vAlign w:val="center"/>
          </w:tcPr>
          <w:p w14:paraId="2C6A2227">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13.57</w:t>
            </w:r>
          </w:p>
        </w:tc>
        <w:tc>
          <w:tcPr>
            <w:tcW w:w="1226" w:type="pct"/>
            <w:vAlign w:val="center"/>
          </w:tcPr>
          <w:p w14:paraId="7EACF36D">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w:t>
            </w:r>
          </w:p>
        </w:tc>
      </w:tr>
      <w:tr w14:paraId="63D5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14:paraId="42D6C87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258" w:type="pct"/>
            <w:vAlign w:val="center"/>
          </w:tcPr>
          <w:p w14:paraId="44D504E0">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甲醇</w:t>
            </w:r>
          </w:p>
        </w:tc>
        <w:tc>
          <w:tcPr>
            <w:tcW w:w="468" w:type="pct"/>
            <w:vAlign w:val="center"/>
          </w:tcPr>
          <w:p w14:paraId="3B28CD1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275071F3">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51.25</w:t>
            </w:r>
          </w:p>
        </w:tc>
        <w:tc>
          <w:tcPr>
            <w:tcW w:w="544" w:type="pct"/>
            <w:vAlign w:val="center"/>
          </w:tcPr>
          <w:p w14:paraId="54305084">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43.83</w:t>
            </w:r>
          </w:p>
        </w:tc>
        <w:tc>
          <w:tcPr>
            <w:tcW w:w="557" w:type="pct"/>
            <w:vAlign w:val="center"/>
          </w:tcPr>
          <w:p w14:paraId="5C8DBE9A">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7.42</w:t>
            </w:r>
          </w:p>
        </w:tc>
        <w:tc>
          <w:tcPr>
            <w:tcW w:w="1226" w:type="pct"/>
            <w:vAlign w:val="center"/>
          </w:tcPr>
          <w:p w14:paraId="44D6144E">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w:t>
            </w:r>
          </w:p>
        </w:tc>
      </w:tr>
      <w:tr w14:paraId="2F595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14:paraId="1A22DF3E">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258" w:type="pct"/>
            <w:vAlign w:val="center"/>
          </w:tcPr>
          <w:p w14:paraId="46DAFE87">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N</w:t>
            </w:r>
            <w:r>
              <w:rPr>
                <w:rFonts w:cs="Times New Roman"/>
                <w:color w:val="0D0D0D" w:themeColor="text1" w:themeTint="F2"/>
                <w:kern w:val="0"/>
                <w:sz w:val="21"/>
                <w:szCs w:val="21"/>
                <w:u w:val="single"/>
                <w14:textFill>
                  <w14:solidFill>
                    <w14:schemeClr w14:val="tx1">
                      <w14:lumMod w14:val="95000"/>
                      <w14:lumOff w14:val="5000"/>
                    </w14:schemeClr>
                  </w14:solidFill>
                </w14:textFill>
              </w:rPr>
              <w:t>H</w:t>
            </w:r>
            <w:r>
              <w:rPr>
                <w:rFonts w:cs="Times New Roman"/>
                <w:color w:val="0D0D0D" w:themeColor="text1" w:themeTint="F2"/>
                <w:kern w:val="0"/>
                <w:sz w:val="21"/>
                <w:szCs w:val="21"/>
                <w:u w:val="single"/>
                <w:vertAlign w:val="subscript"/>
                <w14:textFill>
                  <w14:solidFill>
                    <w14:schemeClr w14:val="tx1">
                      <w14:lumMod w14:val="95000"/>
                      <w14:lumOff w14:val="5000"/>
                    </w14:schemeClr>
                  </w14:solidFill>
                </w14:textFill>
              </w:rPr>
              <w:t>3</w:t>
            </w:r>
          </w:p>
        </w:tc>
        <w:tc>
          <w:tcPr>
            <w:tcW w:w="468" w:type="pct"/>
            <w:vAlign w:val="center"/>
          </w:tcPr>
          <w:p w14:paraId="5A6352F0">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2F71AF7C">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0.63</w:t>
            </w:r>
          </w:p>
        </w:tc>
        <w:tc>
          <w:tcPr>
            <w:tcW w:w="544" w:type="pct"/>
            <w:vAlign w:val="center"/>
          </w:tcPr>
          <w:p w14:paraId="3765E9E9">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w:t>
            </w:r>
          </w:p>
        </w:tc>
        <w:tc>
          <w:tcPr>
            <w:tcW w:w="557" w:type="pct"/>
            <w:vAlign w:val="center"/>
          </w:tcPr>
          <w:p w14:paraId="5BCB5C8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0.63</w:t>
            </w:r>
          </w:p>
        </w:tc>
        <w:tc>
          <w:tcPr>
            <w:tcW w:w="1226" w:type="pct"/>
            <w:vAlign w:val="center"/>
          </w:tcPr>
          <w:p w14:paraId="23A94218">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w:t>
            </w:r>
          </w:p>
        </w:tc>
      </w:tr>
      <w:tr w14:paraId="6A0C4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14:paraId="1230F7F2">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258" w:type="pct"/>
            <w:vAlign w:val="center"/>
          </w:tcPr>
          <w:p w14:paraId="7BA4C618">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H</w:t>
            </w:r>
            <w:r>
              <w:rPr>
                <w:rFonts w:cs="Times New Roman"/>
                <w:color w:val="0D0D0D" w:themeColor="text1" w:themeTint="F2"/>
                <w:kern w:val="0"/>
                <w:sz w:val="21"/>
                <w:szCs w:val="21"/>
                <w:u w:val="single"/>
                <w:vertAlign w:val="subscript"/>
                <w14:textFill>
                  <w14:solidFill>
                    <w14:schemeClr w14:val="tx1">
                      <w14:lumMod w14:val="95000"/>
                      <w14:lumOff w14:val="5000"/>
                    </w14:schemeClr>
                  </w14:solidFill>
                </w14:textFill>
              </w:rPr>
              <w:t>2</w:t>
            </w:r>
            <w:r>
              <w:rPr>
                <w:rFonts w:cs="Times New Roman"/>
                <w:color w:val="0D0D0D" w:themeColor="text1" w:themeTint="F2"/>
                <w:kern w:val="0"/>
                <w:sz w:val="21"/>
                <w:szCs w:val="21"/>
                <w:u w:val="single"/>
                <w14:textFill>
                  <w14:solidFill>
                    <w14:schemeClr w14:val="tx1">
                      <w14:lumMod w14:val="95000"/>
                      <w14:lumOff w14:val="5000"/>
                    </w14:schemeClr>
                  </w14:solidFill>
                </w14:textFill>
              </w:rPr>
              <w:t>S</w:t>
            </w:r>
          </w:p>
        </w:tc>
        <w:tc>
          <w:tcPr>
            <w:tcW w:w="468" w:type="pct"/>
            <w:vAlign w:val="center"/>
          </w:tcPr>
          <w:p w14:paraId="7B5075FC">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58CB3AB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0.021</w:t>
            </w:r>
          </w:p>
        </w:tc>
        <w:tc>
          <w:tcPr>
            <w:tcW w:w="544" w:type="pct"/>
            <w:vAlign w:val="center"/>
          </w:tcPr>
          <w:p w14:paraId="07981CD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0.01</w:t>
            </w:r>
          </w:p>
        </w:tc>
        <w:tc>
          <w:tcPr>
            <w:tcW w:w="557" w:type="pct"/>
            <w:vAlign w:val="center"/>
          </w:tcPr>
          <w:p w14:paraId="7196BA2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0.011</w:t>
            </w:r>
          </w:p>
        </w:tc>
        <w:tc>
          <w:tcPr>
            <w:tcW w:w="1226" w:type="pct"/>
            <w:vAlign w:val="center"/>
          </w:tcPr>
          <w:p w14:paraId="3E700212">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w:t>
            </w:r>
          </w:p>
        </w:tc>
      </w:tr>
      <w:tr w14:paraId="0B5A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restart"/>
            <w:vAlign w:val="center"/>
          </w:tcPr>
          <w:p w14:paraId="3B25E65A">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废水</w:t>
            </w:r>
          </w:p>
        </w:tc>
        <w:tc>
          <w:tcPr>
            <w:tcW w:w="1258" w:type="pct"/>
            <w:vAlign w:val="center"/>
          </w:tcPr>
          <w:p w14:paraId="3802D267">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生活污水量</w:t>
            </w:r>
          </w:p>
        </w:tc>
        <w:tc>
          <w:tcPr>
            <w:tcW w:w="468" w:type="pct"/>
            <w:vAlign w:val="center"/>
          </w:tcPr>
          <w:p w14:paraId="5F4E8CBD">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m</w:t>
            </w:r>
            <w:r>
              <w:rPr>
                <w:rFonts w:cs="Times New Roman"/>
                <w:color w:val="0D0D0D" w:themeColor="text1" w:themeTint="F2"/>
                <w:kern w:val="0"/>
                <w:sz w:val="21"/>
                <w:szCs w:val="21"/>
                <w:u w:val="single"/>
                <w:vertAlign w:val="superscript"/>
                <w14:textFill>
                  <w14:solidFill>
                    <w14:schemeClr w14:val="tx1">
                      <w14:lumMod w14:val="95000"/>
                      <w14:lumOff w14:val="5000"/>
                    </w14:schemeClr>
                  </w14:solidFill>
                </w14:textFill>
              </w:rPr>
              <w:t>3</w:t>
            </w:r>
            <w:r>
              <w:rPr>
                <w:rFonts w:cs="Times New Roman"/>
                <w:color w:val="0D0D0D" w:themeColor="text1" w:themeTint="F2"/>
                <w:kern w:val="0"/>
                <w:sz w:val="21"/>
                <w:szCs w:val="21"/>
                <w:u w:val="single"/>
                <w14:textFill>
                  <w14:solidFill>
                    <w14:schemeClr w14:val="tx1">
                      <w14:lumMod w14:val="95000"/>
                      <w14:lumOff w14:val="5000"/>
                    </w14:schemeClr>
                  </w14:solidFill>
                </w14:textFill>
              </w:rPr>
              <w:t>/a</w:t>
            </w:r>
          </w:p>
        </w:tc>
        <w:tc>
          <w:tcPr>
            <w:tcW w:w="557" w:type="pct"/>
            <w:vAlign w:val="center"/>
          </w:tcPr>
          <w:p w14:paraId="637A07E6">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2160</w:t>
            </w:r>
          </w:p>
        </w:tc>
        <w:tc>
          <w:tcPr>
            <w:tcW w:w="544" w:type="pct"/>
            <w:vAlign w:val="center"/>
          </w:tcPr>
          <w:p w14:paraId="5B8DE93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w:t>
            </w:r>
          </w:p>
        </w:tc>
        <w:tc>
          <w:tcPr>
            <w:tcW w:w="557" w:type="pct"/>
            <w:vAlign w:val="center"/>
          </w:tcPr>
          <w:p w14:paraId="6E386A3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2160</w:t>
            </w:r>
          </w:p>
        </w:tc>
        <w:tc>
          <w:tcPr>
            <w:tcW w:w="1226" w:type="pct"/>
            <w:vMerge w:val="restart"/>
            <w:vAlign w:val="center"/>
          </w:tcPr>
          <w:p w14:paraId="0550E47B">
            <w:pPr>
              <w:spacing w:line="240" w:lineRule="auto"/>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三级化粪池处理后排入市政污水管网，输送至钦州胜科水务有限公司污水处理厂进一步处理。</w:t>
            </w:r>
          </w:p>
        </w:tc>
      </w:tr>
      <w:tr w14:paraId="30BEA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90" w:type="pct"/>
            <w:vMerge w:val="continue"/>
            <w:vAlign w:val="center"/>
          </w:tcPr>
          <w:p w14:paraId="68CAEE33">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258" w:type="pct"/>
            <w:vAlign w:val="center"/>
          </w:tcPr>
          <w:p w14:paraId="4C210812">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COD</w:t>
            </w:r>
          </w:p>
        </w:tc>
        <w:tc>
          <w:tcPr>
            <w:tcW w:w="468" w:type="pct"/>
            <w:vAlign w:val="center"/>
          </w:tcPr>
          <w:p w14:paraId="2A3F89C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629699EC">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0.65</w:t>
            </w:r>
          </w:p>
        </w:tc>
        <w:tc>
          <w:tcPr>
            <w:tcW w:w="544" w:type="pct"/>
            <w:vAlign w:val="center"/>
          </w:tcPr>
          <w:p w14:paraId="469BD6C3">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0.564</w:t>
            </w:r>
          </w:p>
        </w:tc>
        <w:tc>
          <w:tcPr>
            <w:tcW w:w="557" w:type="pct"/>
            <w:vAlign w:val="center"/>
          </w:tcPr>
          <w:p w14:paraId="638AE37C">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0.086</w:t>
            </w:r>
          </w:p>
        </w:tc>
        <w:tc>
          <w:tcPr>
            <w:tcW w:w="1226" w:type="pct"/>
            <w:vMerge w:val="continue"/>
            <w:vAlign w:val="center"/>
          </w:tcPr>
          <w:p w14:paraId="6245F46C">
            <w:pPr>
              <w:spacing w:line="240" w:lineRule="auto"/>
              <w:rPr>
                <w:rFonts w:cs="Times New Roman"/>
                <w:color w:val="0D0D0D" w:themeColor="text1" w:themeTint="F2"/>
                <w:kern w:val="0"/>
                <w:sz w:val="21"/>
                <w:szCs w:val="21"/>
                <w:u w:val="single"/>
                <w14:textFill>
                  <w14:solidFill>
                    <w14:schemeClr w14:val="tx1">
                      <w14:lumMod w14:val="95000"/>
                      <w14:lumOff w14:val="5000"/>
                    </w14:schemeClr>
                  </w14:solidFill>
                </w14:textFill>
              </w:rPr>
            </w:pPr>
          </w:p>
        </w:tc>
      </w:tr>
      <w:tr w14:paraId="2C16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14:paraId="1357A23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258" w:type="pct"/>
            <w:vAlign w:val="center"/>
          </w:tcPr>
          <w:p w14:paraId="23F5F8C3">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B</w:t>
            </w:r>
            <w:r>
              <w:rPr>
                <w:rFonts w:cs="Times New Roman"/>
                <w:color w:val="0D0D0D" w:themeColor="text1" w:themeTint="F2"/>
                <w:kern w:val="0"/>
                <w:sz w:val="21"/>
                <w:szCs w:val="21"/>
                <w:u w:val="single"/>
                <w14:textFill>
                  <w14:solidFill>
                    <w14:schemeClr w14:val="tx1">
                      <w14:lumMod w14:val="95000"/>
                      <w14:lumOff w14:val="5000"/>
                    </w14:schemeClr>
                  </w14:solidFill>
                </w14:textFill>
              </w:rPr>
              <w:t>OD</w:t>
            </w:r>
            <w:r>
              <w:rPr>
                <w:rFonts w:cs="Times New Roman"/>
                <w:color w:val="0D0D0D" w:themeColor="text1" w:themeTint="F2"/>
                <w:kern w:val="0"/>
                <w:sz w:val="21"/>
                <w:szCs w:val="21"/>
                <w:u w:val="single"/>
                <w:vertAlign w:val="subscript"/>
                <w14:textFill>
                  <w14:solidFill>
                    <w14:schemeClr w14:val="tx1">
                      <w14:lumMod w14:val="95000"/>
                      <w14:lumOff w14:val="5000"/>
                    </w14:schemeClr>
                  </w14:solidFill>
                </w14:textFill>
              </w:rPr>
              <w:t>5</w:t>
            </w:r>
          </w:p>
        </w:tc>
        <w:tc>
          <w:tcPr>
            <w:tcW w:w="468" w:type="pct"/>
            <w:vAlign w:val="center"/>
          </w:tcPr>
          <w:p w14:paraId="2E5504D7">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0EA78832">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0.43</w:t>
            </w:r>
          </w:p>
        </w:tc>
        <w:tc>
          <w:tcPr>
            <w:tcW w:w="544" w:type="pct"/>
            <w:vAlign w:val="center"/>
          </w:tcPr>
          <w:p w14:paraId="4C20A2B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0.365</w:t>
            </w:r>
          </w:p>
        </w:tc>
        <w:tc>
          <w:tcPr>
            <w:tcW w:w="557" w:type="pct"/>
            <w:vAlign w:val="center"/>
          </w:tcPr>
          <w:p w14:paraId="1B0ECA9B">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0.065</w:t>
            </w:r>
          </w:p>
        </w:tc>
        <w:tc>
          <w:tcPr>
            <w:tcW w:w="1226" w:type="pct"/>
            <w:vMerge w:val="continue"/>
            <w:vAlign w:val="center"/>
          </w:tcPr>
          <w:p w14:paraId="217F4F69">
            <w:pPr>
              <w:spacing w:line="240" w:lineRule="auto"/>
              <w:rPr>
                <w:rFonts w:cs="Times New Roman"/>
                <w:color w:val="0D0D0D" w:themeColor="text1" w:themeTint="F2"/>
                <w:kern w:val="0"/>
                <w:sz w:val="21"/>
                <w:szCs w:val="21"/>
                <w:u w:val="single"/>
                <w14:textFill>
                  <w14:solidFill>
                    <w14:schemeClr w14:val="tx1">
                      <w14:lumMod w14:val="95000"/>
                      <w14:lumOff w14:val="5000"/>
                    </w14:schemeClr>
                  </w14:solidFill>
                </w14:textFill>
              </w:rPr>
            </w:pPr>
          </w:p>
        </w:tc>
      </w:tr>
      <w:tr w14:paraId="4D559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14:paraId="1E0F9B43">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258" w:type="pct"/>
            <w:vAlign w:val="center"/>
          </w:tcPr>
          <w:p w14:paraId="57C429D0">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NH</w:t>
            </w:r>
            <w:r>
              <w:rPr>
                <w:rFonts w:cs="Times New Roman"/>
                <w:color w:val="0D0D0D" w:themeColor="text1" w:themeTint="F2"/>
                <w:kern w:val="0"/>
                <w:sz w:val="21"/>
                <w:szCs w:val="21"/>
                <w:u w:val="single"/>
                <w:vertAlign w:val="subscript"/>
                <w14:textFill>
                  <w14:solidFill>
                    <w14:schemeClr w14:val="tx1">
                      <w14:lumMod w14:val="95000"/>
                      <w14:lumOff w14:val="5000"/>
                    </w14:schemeClr>
                  </w14:solidFill>
                </w14:textFill>
              </w:rPr>
              <w:t>3</w:t>
            </w:r>
            <w:r>
              <w:rPr>
                <w:rFonts w:cs="Times New Roman"/>
                <w:color w:val="0D0D0D" w:themeColor="text1" w:themeTint="F2"/>
                <w:kern w:val="0"/>
                <w:sz w:val="21"/>
                <w:szCs w:val="21"/>
                <w:u w:val="single"/>
                <w14:textFill>
                  <w14:solidFill>
                    <w14:schemeClr w14:val="tx1">
                      <w14:lumMod w14:val="95000"/>
                      <w14:lumOff w14:val="5000"/>
                    </w14:schemeClr>
                  </w14:solidFill>
                </w14:textFill>
              </w:rPr>
              <w:t>-N</w:t>
            </w:r>
          </w:p>
        </w:tc>
        <w:tc>
          <w:tcPr>
            <w:tcW w:w="468" w:type="pct"/>
            <w:vAlign w:val="center"/>
          </w:tcPr>
          <w:p w14:paraId="1B84ED8D">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5599FDA8">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0.07</w:t>
            </w:r>
          </w:p>
        </w:tc>
        <w:tc>
          <w:tcPr>
            <w:tcW w:w="544" w:type="pct"/>
            <w:vAlign w:val="center"/>
          </w:tcPr>
          <w:p w14:paraId="0FA50228">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w:t>
            </w:r>
          </w:p>
        </w:tc>
        <w:tc>
          <w:tcPr>
            <w:tcW w:w="557" w:type="pct"/>
            <w:vAlign w:val="center"/>
          </w:tcPr>
          <w:p w14:paraId="4850702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0.07</w:t>
            </w:r>
          </w:p>
        </w:tc>
        <w:tc>
          <w:tcPr>
            <w:tcW w:w="1226" w:type="pct"/>
            <w:vMerge w:val="continue"/>
            <w:vAlign w:val="center"/>
          </w:tcPr>
          <w:p w14:paraId="50EA7349">
            <w:pPr>
              <w:spacing w:line="240" w:lineRule="auto"/>
              <w:rPr>
                <w:rFonts w:cs="Times New Roman"/>
                <w:color w:val="0D0D0D" w:themeColor="text1" w:themeTint="F2"/>
                <w:kern w:val="0"/>
                <w:sz w:val="21"/>
                <w:szCs w:val="21"/>
                <w:u w:val="single"/>
                <w14:textFill>
                  <w14:solidFill>
                    <w14:schemeClr w14:val="tx1">
                      <w14:lumMod w14:val="95000"/>
                      <w14:lumOff w14:val="5000"/>
                    </w14:schemeClr>
                  </w14:solidFill>
                </w14:textFill>
              </w:rPr>
            </w:pPr>
          </w:p>
        </w:tc>
      </w:tr>
      <w:tr w14:paraId="01DA4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14:paraId="36F91BA8">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258" w:type="pct"/>
            <w:vAlign w:val="center"/>
          </w:tcPr>
          <w:p w14:paraId="0DA6CF8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SS</w:t>
            </w:r>
          </w:p>
        </w:tc>
        <w:tc>
          <w:tcPr>
            <w:tcW w:w="468" w:type="pct"/>
            <w:vAlign w:val="center"/>
          </w:tcPr>
          <w:p w14:paraId="537348AD">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08B7F343">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0.43</w:t>
            </w:r>
          </w:p>
        </w:tc>
        <w:tc>
          <w:tcPr>
            <w:tcW w:w="544" w:type="pct"/>
            <w:vAlign w:val="center"/>
          </w:tcPr>
          <w:p w14:paraId="13FBFFB9">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0.3</w:t>
            </w:r>
          </w:p>
        </w:tc>
        <w:tc>
          <w:tcPr>
            <w:tcW w:w="557" w:type="pct"/>
            <w:vAlign w:val="center"/>
          </w:tcPr>
          <w:p w14:paraId="458E2064">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0.13</w:t>
            </w:r>
          </w:p>
        </w:tc>
        <w:tc>
          <w:tcPr>
            <w:tcW w:w="1226" w:type="pct"/>
            <w:vMerge w:val="continue"/>
            <w:vAlign w:val="center"/>
          </w:tcPr>
          <w:p w14:paraId="787D8167">
            <w:pPr>
              <w:spacing w:line="240" w:lineRule="auto"/>
              <w:rPr>
                <w:rFonts w:cs="Times New Roman"/>
                <w:color w:val="0D0D0D" w:themeColor="text1" w:themeTint="F2"/>
                <w:kern w:val="0"/>
                <w:sz w:val="21"/>
                <w:szCs w:val="21"/>
                <w:u w:val="single"/>
                <w14:textFill>
                  <w14:solidFill>
                    <w14:schemeClr w14:val="tx1">
                      <w14:lumMod w14:val="95000"/>
                      <w14:lumOff w14:val="5000"/>
                    </w14:schemeClr>
                  </w14:solidFill>
                </w14:textFill>
              </w:rPr>
            </w:pPr>
          </w:p>
        </w:tc>
      </w:tr>
      <w:tr w14:paraId="2FC6B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14:paraId="73A44C87">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258" w:type="pct"/>
            <w:vAlign w:val="center"/>
          </w:tcPr>
          <w:p w14:paraId="0118D719">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综合</w:t>
            </w:r>
            <w:r>
              <w:rPr>
                <w:rFonts w:cs="Times New Roman"/>
                <w:color w:val="0D0D0D" w:themeColor="text1" w:themeTint="F2"/>
                <w:kern w:val="0"/>
                <w:sz w:val="21"/>
                <w:szCs w:val="21"/>
                <w:u w:val="single"/>
                <w14:textFill>
                  <w14:solidFill>
                    <w14:schemeClr w14:val="tx1">
                      <w14:lumMod w14:val="95000"/>
                      <w14:lumOff w14:val="5000"/>
                    </w14:schemeClr>
                  </w14:solidFill>
                </w14:textFill>
              </w:rPr>
              <w:t>废水量</w:t>
            </w:r>
          </w:p>
        </w:tc>
        <w:tc>
          <w:tcPr>
            <w:tcW w:w="468" w:type="pct"/>
            <w:vAlign w:val="center"/>
          </w:tcPr>
          <w:p w14:paraId="31009DE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m</w:t>
            </w:r>
            <w:r>
              <w:rPr>
                <w:rFonts w:cs="Times New Roman"/>
                <w:color w:val="0D0D0D" w:themeColor="text1" w:themeTint="F2"/>
                <w:kern w:val="0"/>
                <w:sz w:val="21"/>
                <w:szCs w:val="21"/>
                <w:u w:val="single"/>
                <w:vertAlign w:val="superscript"/>
                <w14:textFill>
                  <w14:solidFill>
                    <w14:schemeClr w14:val="tx1">
                      <w14:lumMod w14:val="95000"/>
                      <w14:lumOff w14:val="5000"/>
                    </w14:schemeClr>
                  </w14:solidFill>
                </w14:textFill>
              </w:rPr>
              <w:t>3</w:t>
            </w:r>
            <w:r>
              <w:rPr>
                <w:rFonts w:cs="Times New Roman"/>
                <w:color w:val="0D0D0D" w:themeColor="text1" w:themeTint="F2"/>
                <w:kern w:val="0"/>
                <w:sz w:val="21"/>
                <w:szCs w:val="21"/>
                <w:u w:val="single"/>
                <w14:textFill>
                  <w14:solidFill>
                    <w14:schemeClr w14:val="tx1">
                      <w14:lumMod w14:val="95000"/>
                      <w14:lumOff w14:val="5000"/>
                    </w14:schemeClr>
                  </w14:solidFill>
                </w14:textFill>
              </w:rPr>
              <w:t>/a</w:t>
            </w:r>
          </w:p>
        </w:tc>
        <w:tc>
          <w:tcPr>
            <w:tcW w:w="557" w:type="pct"/>
            <w:vAlign w:val="center"/>
          </w:tcPr>
          <w:p w14:paraId="7FB61C6D">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38156.44</w:t>
            </w:r>
          </w:p>
        </w:tc>
        <w:tc>
          <w:tcPr>
            <w:tcW w:w="544" w:type="pct"/>
            <w:vAlign w:val="center"/>
          </w:tcPr>
          <w:p w14:paraId="086D7CD2">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w:t>
            </w:r>
          </w:p>
        </w:tc>
        <w:tc>
          <w:tcPr>
            <w:tcW w:w="557" w:type="pct"/>
            <w:vAlign w:val="center"/>
          </w:tcPr>
          <w:p w14:paraId="6B5A3FDB">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38156.44</w:t>
            </w:r>
          </w:p>
        </w:tc>
        <w:tc>
          <w:tcPr>
            <w:tcW w:w="1226" w:type="pct"/>
            <w:vMerge w:val="restart"/>
            <w:vAlign w:val="center"/>
          </w:tcPr>
          <w:p w14:paraId="00509DE9">
            <w:pPr>
              <w:spacing w:line="240" w:lineRule="auto"/>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经厂区污水处理站处理后排入市政污水管网，输送至钦州胜科水务有限公司污水处理厂进一步处理。</w:t>
            </w:r>
          </w:p>
        </w:tc>
      </w:tr>
      <w:tr w14:paraId="18EDC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14:paraId="7545081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258" w:type="pct"/>
            <w:vAlign w:val="center"/>
          </w:tcPr>
          <w:p w14:paraId="74536FBB">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COD</w:t>
            </w:r>
          </w:p>
        </w:tc>
        <w:tc>
          <w:tcPr>
            <w:tcW w:w="468" w:type="pct"/>
            <w:vAlign w:val="center"/>
          </w:tcPr>
          <w:p w14:paraId="3FF2470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4C9AC4C2">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579.98</w:t>
            </w:r>
          </w:p>
        </w:tc>
        <w:tc>
          <w:tcPr>
            <w:tcW w:w="544" w:type="pct"/>
            <w:vAlign w:val="center"/>
          </w:tcPr>
          <w:p w14:paraId="687B26A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573.37</w:t>
            </w:r>
          </w:p>
        </w:tc>
        <w:tc>
          <w:tcPr>
            <w:tcW w:w="557" w:type="pct"/>
            <w:vAlign w:val="center"/>
          </w:tcPr>
          <w:p w14:paraId="5787EA1B">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6.61</w:t>
            </w:r>
          </w:p>
        </w:tc>
        <w:tc>
          <w:tcPr>
            <w:tcW w:w="1226" w:type="pct"/>
            <w:vMerge w:val="continue"/>
            <w:vAlign w:val="center"/>
          </w:tcPr>
          <w:p w14:paraId="142CE22E">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r>
      <w:tr w14:paraId="55375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14:paraId="74E1CA30">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258" w:type="pct"/>
            <w:vAlign w:val="center"/>
          </w:tcPr>
          <w:p w14:paraId="1516930B">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B</w:t>
            </w:r>
            <w:r>
              <w:rPr>
                <w:rFonts w:cs="Times New Roman"/>
                <w:color w:val="0D0D0D" w:themeColor="text1" w:themeTint="F2"/>
                <w:kern w:val="0"/>
                <w:sz w:val="21"/>
                <w:szCs w:val="21"/>
                <w:u w:val="single"/>
                <w14:textFill>
                  <w14:solidFill>
                    <w14:schemeClr w14:val="tx1">
                      <w14:lumMod w14:val="95000"/>
                      <w14:lumOff w14:val="5000"/>
                    </w14:schemeClr>
                  </w14:solidFill>
                </w14:textFill>
              </w:rPr>
              <w:t>OD</w:t>
            </w:r>
            <w:r>
              <w:rPr>
                <w:rFonts w:cs="Times New Roman"/>
                <w:color w:val="0D0D0D" w:themeColor="text1" w:themeTint="F2"/>
                <w:kern w:val="0"/>
                <w:sz w:val="21"/>
                <w:szCs w:val="21"/>
                <w:u w:val="single"/>
                <w:vertAlign w:val="subscript"/>
                <w14:textFill>
                  <w14:solidFill>
                    <w14:schemeClr w14:val="tx1">
                      <w14:lumMod w14:val="95000"/>
                      <w14:lumOff w14:val="5000"/>
                    </w14:schemeClr>
                  </w14:solidFill>
                </w14:textFill>
              </w:rPr>
              <w:t>5</w:t>
            </w:r>
          </w:p>
        </w:tc>
        <w:tc>
          <w:tcPr>
            <w:tcW w:w="468" w:type="pct"/>
            <w:vAlign w:val="center"/>
          </w:tcPr>
          <w:p w14:paraId="1E13CD5D">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78BA1D62">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206.81</w:t>
            </w:r>
          </w:p>
        </w:tc>
        <w:tc>
          <w:tcPr>
            <w:tcW w:w="544" w:type="pct"/>
            <w:vAlign w:val="center"/>
          </w:tcPr>
          <w:p w14:paraId="17062613">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205.22</w:t>
            </w:r>
          </w:p>
        </w:tc>
        <w:tc>
          <w:tcPr>
            <w:tcW w:w="557" w:type="pct"/>
            <w:vAlign w:val="center"/>
          </w:tcPr>
          <w:p w14:paraId="61EF68EA">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1.59</w:t>
            </w:r>
          </w:p>
        </w:tc>
        <w:tc>
          <w:tcPr>
            <w:tcW w:w="1226" w:type="pct"/>
            <w:vMerge w:val="continue"/>
            <w:vAlign w:val="center"/>
          </w:tcPr>
          <w:p w14:paraId="3898B3D2">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r>
      <w:tr w14:paraId="701AE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14:paraId="483D8ED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258" w:type="pct"/>
            <w:vAlign w:val="center"/>
          </w:tcPr>
          <w:p w14:paraId="7C9D5479">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NH</w:t>
            </w:r>
            <w:r>
              <w:rPr>
                <w:rFonts w:cs="Times New Roman"/>
                <w:color w:val="0D0D0D" w:themeColor="text1" w:themeTint="F2"/>
                <w:kern w:val="0"/>
                <w:sz w:val="21"/>
                <w:szCs w:val="21"/>
                <w:u w:val="single"/>
                <w:vertAlign w:val="subscript"/>
                <w14:textFill>
                  <w14:solidFill>
                    <w14:schemeClr w14:val="tx1">
                      <w14:lumMod w14:val="95000"/>
                      <w14:lumOff w14:val="5000"/>
                    </w14:schemeClr>
                  </w14:solidFill>
                </w14:textFill>
              </w:rPr>
              <w:t>3</w:t>
            </w:r>
            <w:r>
              <w:rPr>
                <w:rFonts w:cs="Times New Roman"/>
                <w:color w:val="0D0D0D" w:themeColor="text1" w:themeTint="F2"/>
                <w:kern w:val="0"/>
                <w:sz w:val="21"/>
                <w:szCs w:val="21"/>
                <w:u w:val="single"/>
                <w14:textFill>
                  <w14:solidFill>
                    <w14:schemeClr w14:val="tx1">
                      <w14:lumMod w14:val="95000"/>
                      <w14:lumOff w14:val="5000"/>
                    </w14:schemeClr>
                  </w14:solidFill>
                </w14:textFill>
              </w:rPr>
              <w:t>-N</w:t>
            </w:r>
          </w:p>
        </w:tc>
        <w:tc>
          <w:tcPr>
            <w:tcW w:w="468" w:type="pct"/>
            <w:vAlign w:val="center"/>
          </w:tcPr>
          <w:p w14:paraId="3ABE90A8">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3BC049A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18.43</w:t>
            </w:r>
          </w:p>
        </w:tc>
        <w:tc>
          <w:tcPr>
            <w:tcW w:w="544" w:type="pct"/>
            <w:vAlign w:val="center"/>
          </w:tcPr>
          <w:p w14:paraId="5AD79172">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16.77</w:t>
            </w:r>
          </w:p>
        </w:tc>
        <w:tc>
          <w:tcPr>
            <w:tcW w:w="557" w:type="pct"/>
            <w:vAlign w:val="center"/>
          </w:tcPr>
          <w:p w14:paraId="1AF39836">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1.66</w:t>
            </w:r>
          </w:p>
        </w:tc>
        <w:tc>
          <w:tcPr>
            <w:tcW w:w="1226" w:type="pct"/>
            <w:vMerge w:val="continue"/>
            <w:vAlign w:val="center"/>
          </w:tcPr>
          <w:p w14:paraId="0E230246">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r>
      <w:tr w14:paraId="24115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14:paraId="527C25EB">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258" w:type="pct"/>
            <w:vAlign w:val="center"/>
          </w:tcPr>
          <w:p w14:paraId="7FC798FC">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SS</w:t>
            </w:r>
          </w:p>
        </w:tc>
        <w:tc>
          <w:tcPr>
            <w:tcW w:w="468" w:type="pct"/>
            <w:vAlign w:val="center"/>
          </w:tcPr>
          <w:p w14:paraId="2744FBFA">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1C836630">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29.27</w:t>
            </w:r>
          </w:p>
        </w:tc>
        <w:tc>
          <w:tcPr>
            <w:tcW w:w="544" w:type="pct"/>
            <w:vAlign w:val="center"/>
          </w:tcPr>
          <w:p w14:paraId="77F3F409">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29.15</w:t>
            </w:r>
          </w:p>
        </w:tc>
        <w:tc>
          <w:tcPr>
            <w:tcW w:w="557" w:type="pct"/>
            <w:vAlign w:val="center"/>
          </w:tcPr>
          <w:p w14:paraId="64E5EABD">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0.12</w:t>
            </w:r>
          </w:p>
        </w:tc>
        <w:tc>
          <w:tcPr>
            <w:tcW w:w="1226" w:type="pct"/>
            <w:vMerge w:val="continue"/>
            <w:vAlign w:val="center"/>
          </w:tcPr>
          <w:p w14:paraId="636B3D09">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r>
      <w:tr w14:paraId="08580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14:paraId="492CCE2A">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258" w:type="pct"/>
            <w:vAlign w:val="center"/>
          </w:tcPr>
          <w:p w14:paraId="56EDEB70">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动植物油</w:t>
            </w:r>
          </w:p>
        </w:tc>
        <w:tc>
          <w:tcPr>
            <w:tcW w:w="468" w:type="pct"/>
            <w:vAlign w:val="center"/>
          </w:tcPr>
          <w:p w14:paraId="006DFACA">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163AB55B">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0.49</w:t>
            </w:r>
          </w:p>
        </w:tc>
        <w:tc>
          <w:tcPr>
            <w:tcW w:w="544" w:type="pct"/>
            <w:vAlign w:val="center"/>
          </w:tcPr>
          <w:p w14:paraId="654C30B6">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0.489</w:t>
            </w:r>
          </w:p>
        </w:tc>
        <w:tc>
          <w:tcPr>
            <w:tcW w:w="557" w:type="pct"/>
            <w:vAlign w:val="center"/>
          </w:tcPr>
          <w:p w14:paraId="36F5947E">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0.001</w:t>
            </w:r>
          </w:p>
        </w:tc>
        <w:tc>
          <w:tcPr>
            <w:tcW w:w="1226" w:type="pct"/>
            <w:vMerge w:val="continue"/>
            <w:vAlign w:val="center"/>
          </w:tcPr>
          <w:p w14:paraId="064E63D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r>
      <w:tr w14:paraId="41D42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restart"/>
            <w:vAlign w:val="center"/>
          </w:tcPr>
          <w:p w14:paraId="59A7B1F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固废</w:t>
            </w:r>
          </w:p>
        </w:tc>
        <w:tc>
          <w:tcPr>
            <w:tcW w:w="1258" w:type="pct"/>
            <w:vAlign w:val="center"/>
          </w:tcPr>
          <w:p w14:paraId="1162FA6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废包装物</w:t>
            </w:r>
          </w:p>
        </w:tc>
        <w:tc>
          <w:tcPr>
            <w:tcW w:w="468" w:type="pct"/>
            <w:vAlign w:val="center"/>
          </w:tcPr>
          <w:p w14:paraId="1D2CA7D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5530CBC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10.63</w:t>
            </w:r>
          </w:p>
        </w:tc>
        <w:tc>
          <w:tcPr>
            <w:tcW w:w="544" w:type="pct"/>
            <w:vAlign w:val="center"/>
          </w:tcPr>
          <w:p w14:paraId="4C07AE13">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10.63</w:t>
            </w:r>
          </w:p>
        </w:tc>
        <w:tc>
          <w:tcPr>
            <w:tcW w:w="557" w:type="pct"/>
            <w:vAlign w:val="center"/>
          </w:tcPr>
          <w:p w14:paraId="5DADDBA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w:t>
            </w:r>
          </w:p>
        </w:tc>
        <w:tc>
          <w:tcPr>
            <w:tcW w:w="1226" w:type="pct"/>
            <w:vAlign w:val="center"/>
          </w:tcPr>
          <w:p w14:paraId="71CF8953">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外售第三方单位</w:t>
            </w:r>
          </w:p>
        </w:tc>
      </w:tr>
      <w:tr w14:paraId="24AF7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14:paraId="091E996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258" w:type="pct"/>
            <w:vAlign w:val="center"/>
          </w:tcPr>
          <w:p w14:paraId="75EEDC5A">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废白土</w:t>
            </w:r>
          </w:p>
        </w:tc>
        <w:tc>
          <w:tcPr>
            <w:tcW w:w="468" w:type="pct"/>
            <w:vAlign w:val="center"/>
          </w:tcPr>
          <w:p w14:paraId="678858C9">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74C30D07">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1349.73</w:t>
            </w:r>
          </w:p>
        </w:tc>
        <w:tc>
          <w:tcPr>
            <w:tcW w:w="544" w:type="pct"/>
            <w:vAlign w:val="center"/>
          </w:tcPr>
          <w:p w14:paraId="79D7C8F7">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1349.73</w:t>
            </w:r>
          </w:p>
        </w:tc>
        <w:tc>
          <w:tcPr>
            <w:tcW w:w="557" w:type="pct"/>
            <w:vAlign w:val="center"/>
          </w:tcPr>
          <w:p w14:paraId="66459CA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w:t>
            </w:r>
          </w:p>
        </w:tc>
        <w:tc>
          <w:tcPr>
            <w:tcW w:w="1226" w:type="pct"/>
            <w:vAlign w:val="center"/>
          </w:tcPr>
          <w:p w14:paraId="17975BF5">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外售第三方单位</w:t>
            </w:r>
          </w:p>
        </w:tc>
      </w:tr>
      <w:tr w14:paraId="29B99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14:paraId="03D663FB">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258" w:type="pct"/>
            <w:vAlign w:val="center"/>
          </w:tcPr>
          <w:p w14:paraId="52C649FB">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废渣</w:t>
            </w:r>
          </w:p>
        </w:tc>
        <w:tc>
          <w:tcPr>
            <w:tcW w:w="468" w:type="pct"/>
            <w:vAlign w:val="center"/>
          </w:tcPr>
          <w:p w14:paraId="1C110C0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5508682D">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1976.6</w:t>
            </w:r>
          </w:p>
        </w:tc>
        <w:tc>
          <w:tcPr>
            <w:tcW w:w="544" w:type="pct"/>
            <w:vAlign w:val="center"/>
          </w:tcPr>
          <w:p w14:paraId="3E916030">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1976.6</w:t>
            </w:r>
          </w:p>
        </w:tc>
        <w:tc>
          <w:tcPr>
            <w:tcW w:w="557" w:type="pct"/>
            <w:vAlign w:val="center"/>
          </w:tcPr>
          <w:p w14:paraId="6A23E31B">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0</w:t>
            </w:r>
          </w:p>
        </w:tc>
        <w:tc>
          <w:tcPr>
            <w:tcW w:w="1226" w:type="pct"/>
            <w:vAlign w:val="center"/>
          </w:tcPr>
          <w:p w14:paraId="7DCC828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外售第三方单位</w:t>
            </w:r>
          </w:p>
        </w:tc>
      </w:tr>
      <w:tr w14:paraId="3FFE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14:paraId="50B725E2">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258" w:type="pct"/>
            <w:vAlign w:val="center"/>
          </w:tcPr>
          <w:p w14:paraId="1D354172">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污泥</w:t>
            </w:r>
          </w:p>
        </w:tc>
        <w:tc>
          <w:tcPr>
            <w:tcW w:w="468" w:type="pct"/>
            <w:vAlign w:val="center"/>
          </w:tcPr>
          <w:p w14:paraId="1F1C6CE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208BE158">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43.27</w:t>
            </w:r>
          </w:p>
        </w:tc>
        <w:tc>
          <w:tcPr>
            <w:tcW w:w="544" w:type="pct"/>
            <w:vAlign w:val="center"/>
          </w:tcPr>
          <w:p w14:paraId="3150C29D">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43.27</w:t>
            </w:r>
          </w:p>
        </w:tc>
        <w:tc>
          <w:tcPr>
            <w:tcW w:w="557" w:type="pct"/>
            <w:vAlign w:val="center"/>
          </w:tcPr>
          <w:p w14:paraId="0246CC1E">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0</w:t>
            </w:r>
          </w:p>
        </w:tc>
        <w:tc>
          <w:tcPr>
            <w:tcW w:w="1226" w:type="pct"/>
            <w:vAlign w:val="center"/>
          </w:tcPr>
          <w:p w14:paraId="71114E8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污泥处置单位</w:t>
            </w:r>
          </w:p>
        </w:tc>
      </w:tr>
      <w:tr w14:paraId="6A9CA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14:paraId="488D74EE">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258" w:type="pct"/>
            <w:vAlign w:val="center"/>
          </w:tcPr>
          <w:p w14:paraId="75CBA0CE">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废MBR膜</w:t>
            </w:r>
          </w:p>
        </w:tc>
        <w:tc>
          <w:tcPr>
            <w:tcW w:w="468" w:type="pct"/>
            <w:vAlign w:val="center"/>
          </w:tcPr>
          <w:p w14:paraId="1FE4F094">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2CEE2D6A">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0.1</w:t>
            </w:r>
          </w:p>
        </w:tc>
        <w:tc>
          <w:tcPr>
            <w:tcW w:w="544" w:type="pct"/>
            <w:vAlign w:val="center"/>
          </w:tcPr>
          <w:p w14:paraId="48511892">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0.1</w:t>
            </w:r>
          </w:p>
        </w:tc>
        <w:tc>
          <w:tcPr>
            <w:tcW w:w="557" w:type="pct"/>
            <w:vAlign w:val="center"/>
          </w:tcPr>
          <w:p w14:paraId="6A28637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w:t>
            </w:r>
          </w:p>
        </w:tc>
        <w:tc>
          <w:tcPr>
            <w:tcW w:w="1226" w:type="pct"/>
            <w:vAlign w:val="center"/>
          </w:tcPr>
          <w:p w14:paraId="2A7BCE0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生产厂家回收</w:t>
            </w:r>
          </w:p>
        </w:tc>
      </w:tr>
      <w:tr w14:paraId="335AB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14:paraId="4CF102CE">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258" w:type="pct"/>
            <w:vAlign w:val="center"/>
          </w:tcPr>
          <w:p w14:paraId="5505678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除尘器收集粉尘</w:t>
            </w:r>
          </w:p>
        </w:tc>
        <w:tc>
          <w:tcPr>
            <w:tcW w:w="468" w:type="pct"/>
            <w:vAlign w:val="center"/>
          </w:tcPr>
          <w:p w14:paraId="4B60DBCA">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5DDCADF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110.64</w:t>
            </w:r>
          </w:p>
        </w:tc>
        <w:tc>
          <w:tcPr>
            <w:tcW w:w="544" w:type="pct"/>
            <w:vAlign w:val="center"/>
          </w:tcPr>
          <w:p w14:paraId="760BF2C4">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110.64</w:t>
            </w:r>
          </w:p>
        </w:tc>
        <w:tc>
          <w:tcPr>
            <w:tcW w:w="557" w:type="pct"/>
            <w:vAlign w:val="center"/>
          </w:tcPr>
          <w:p w14:paraId="436D2EF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w:t>
            </w:r>
          </w:p>
        </w:tc>
        <w:tc>
          <w:tcPr>
            <w:tcW w:w="1226" w:type="pct"/>
            <w:vAlign w:val="center"/>
          </w:tcPr>
          <w:p w14:paraId="4EAF3A4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外售第三方单位</w:t>
            </w:r>
          </w:p>
        </w:tc>
      </w:tr>
      <w:tr w14:paraId="5DCDB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14:paraId="44AFF57E">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258" w:type="pct"/>
            <w:vAlign w:val="center"/>
          </w:tcPr>
          <w:p w14:paraId="2D69B9B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炉渣</w:t>
            </w:r>
          </w:p>
        </w:tc>
        <w:tc>
          <w:tcPr>
            <w:tcW w:w="468" w:type="pct"/>
            <w:vAlign w:val="center"/>
          </w:tcPr>
          <w:p w14:paraId="4C0589C0">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0B826B69">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490.77</w:t>
            </w:r>
          </w:p>
        </w:tc>
        <w:tc>
          <w:tcPr>
            <w:tcW w:w="544" w:type="pct"/>
            <w:vAlign w:val="center"/>
          </w:tcPr>
          <w:p w14:paraId="255F5AC3">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490.77</w:t>
            </w:r>
          </w:p>
        </w:tc>
        <w:tc>
          <w:tcPr>
            <w:tcW w:w="557" w:type="pct"/>
            <w:vAlign w:val="center"/>
          </w:tcPr>
          <w:p w14:paraId="5629A67B">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w:t>
            </w:r>
          </w:p>
        </w:tc>
        <w:tc>
          <w:tcPr>
            <w:tcW w:w="1226" w:type="pct"/>
            <w:vAlign w:val="center"/>
          </w:tcPr>
          <w:p w14:paraId="16E4AD0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外售第三方单位</w:t>
            </w:r>
          </w:p>
        </w:tc>
      </w:tr>
      <w:tr w14:paraId="135F4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14:paraId="6739B36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258" w:type="pct"/>
            <w:vAlign w:val="center"/>
          </w:tcPr>
          <w:p w14:paraId="2BA40FF8">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废布袋</w:t>
            </w:r>
          </w:p>
        </w:tc>
        <w:tc>
          <w:tcPr>
            <w:tcW w:w="468" w:type="pct"/>
            <w:vAlign w:val="center"/>
          </w:tcPr>
          <w:p w14:paraId="5005749C">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7C576480">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0.05</w:t>
            </w:r>
          </w:p>
        </w:tc>
        <w:tc>
          <w:tcPr>
            <w:tcW w:w="544" w:type="pct"/>
            <w:vAlign w:val="center"/>
          </w:tcPr>
          <w:p w14:paraId="3FB78EEA">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0.05</w:t>
            </w:r>
          </w:p>
        </w:tc>
        <w:tc>
          <w:tcPr>
            <w:tcW w:w="557" w:type="pct"/>
            <w:vAlign w:val="center"/>
          </w:tcPr>
          <w:p w14:paraId="7FF2902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w:t>
            </w:r>
          </w:p>
        </w:tc>
        <w:tc>
          <w:tcPr>
            <w:tcW w:w="1226" w:type="pct"/>
            <w:vAlign w:val="center"/>
          </w:tcPr>
          <w:p w14:paraId="17903C2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外售第三方单位</w:t>
            </w:r>
          </w:p>
        </w:tc>
      </w:tr>
      <w:tr w14:paraId="38E2B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14:paraId="4F27865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258" w:type="pct"/>
            <w:vAlign w:val="center"/>
          </w:tcPr>
          <w:p w14:paraId="3A58B42F">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废离子交换树脂</w:t>
            </w:r>
          </w:p>
        </w:tc>
        <w:tc>
          <w:tcPr>
            <w:tcW w:w="468" w:type="pct"/>
            <w:vAlign w:val="center"/>
          </w:tcPr>
          <w:p w14:paraId="780531FB">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7A5B7240">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0.1</w:t>
            </w:r>
          </w:p>
        </w:tc>
        <w:tc>
          <w:tcPr>
            <w:tcW w:w="544" w:type="pct"/>
            <w:vAlign w:val="center"/>
          </w:tcPr>
          <w:p w14:paraId="213AFC0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0.1</w:t>
            </w:r>
          </w:p>
        </w:tc>
        <w:tc>
          <w:tcPr>
            <w:tcW w:w="557" w:type="pct"/>
            <w:vAlign w:val="center"/>
          </w:tcPr>
          <w:p w14:paraId="6EE49A32">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w:t>
            </w:r>
          </w:p>
        </w:tc>
        <w:tc>
          <w:tcPr>
            <w:tcW w:w="1226" w:type="pct"/>
            <w:vAlign w:val="center"/>
          </w:tcPr>
          <w:p w14:paraId="52FC6CB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生产厂家回收</w:t>
            </w:r>
          </w:p>
        </w:tc>
      </w:tr>
      <w:tr w14:paraId="1B2E0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14:paraId="7C73BB23">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258" w:type="pct"/>
            <w:vAlign w:val="center"/>
          </w:tcPr>
          <w:p w14:paraId="7EDF3B07">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废脱硫剂</w:t>
            </w:r>
          </w:p>
        </w:tc>
        <w:tc>
          <w:tcPr>
            <w:tcW w:w="468" w:type="pct"/>
            <w:vAlign w:val="center"/>
          </w:tcPr>
          <w:p w14:paraId="54E86B8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73733C1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0.95</w:t>
            </w:r>
          </w:p>
        </w:tc>
        <w:tc>
          <w:tcPr>
            <w:tcW w:w="544" w:type="pct"/>
            <w:vAlign w:val="center"/>
          </w:tcPr>
          <w:p w14:paraId="26D44054">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0.95</w:t>
            </w:r>
          </w:p>
        </w:tc>
        <w:tc>
          <w:tcPr>
            <w:tcW w:w="557" w:type="pct"/>
            <w:vAlign w:val="center"/>
          </w:tcPr>
          <w:p w14:paraId="37B49C93">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w:t>
            </w:r>
          </w:p>
        </w:tc>
        <w:tc>
          <w:tcPr>
            <w:tcW w:w="1226" w:type="pct"/>
            <w:vAlign w:val="center"/>
          </w:tcPr>
          <w:p w14:paraId="26E786E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生产厂家回收</w:t>
            </w:r>
          </w:p>
        </w:tc>
      </w:tr>
      <w:tr w14:paraId="41794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14:paraId="62DF760C">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258" w:type="pct"/>
            <w:vAlign w:val="center"/>
          </w:tcPr>
          <w:p w14:paraId="31C093DC">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废导热油</w:t>
            </w:r>
          </w:p>
        </w:tc>
        <w:tc>
          <w:tcPr>
            <w:tcW w:w="468" w:type="pct"/>
            <w:vAlign w:val="center"/>
          </w:tcPr>
          <w:p w14:paraId="43F52F2C">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301F731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2</w:t>
            </w:r>
          </w:p>
        </w:tc>
        <w:tc>
          <w:tcPr>
            <w:tcW w:w="544" w:type="pct"/>
            <w:vAlign w:val="center"/>
          </w:tcPr>
          <w:p w14:paraId="418E22FA">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2</w:t>
            </w:r>
          </w:p>
        </w:tc>
        <w:tc>
          <w:tcPr>
            <w:tcW w:w="557" w:type="pct"/>
            <w:vAlign w:val="center"/>
          </w:tcPr>
          <w:p w14:paraId="04E0957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0</w:t>
            </w:r>
          </w:p>
        </w:tc>
        <w:tc>
          <w:tcPr>
            <w:tcW w:w="1226" w:type="pct"/>
            <w:vAlign w:val="center"/>
          </w:tcPr>
          <w:p w14:paraId="36D26BAB">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有资质单位</w:t>
            </w: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清运处置</w:t>
            </w:r>
          </w:p>
        </w:tc>
      </w:tr>
      <w:tr w14:paraId="5AA2C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14:paraId="63D2EF84">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258" w:type="pct"/>
            <w:vAlign w:val="center"/>
          </w:tcPr>
          <w:p w14:paraId="2E3B8C3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废机油</w:t>
            </w:r>
          </w:p>
        </w:tc>
        <w:tc>
          <w:tcPr>
            <w:tcW w:w="468" w:type="pct"/>
            <w:vAlign w:val="center"/>
          </w:tcPr>
          <w:p w14:paraId="3D8018F0">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76499709">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0.5</w:t>
            </w:r>
          </w:p>
        </w:tc>
        <w:tc>
          <w:tcPr>
            <w:tcW w:w="544" w:type="pct"/>
            <w:vAlign w:val="center"/>
          </w:tcPr>
          <w:p w14:paraId="00342B09">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0.5</w:t>
            </w:r>
          </w:p>
        </w:tc>
        <w:tc>
          <w:tcPr>
            <w:tcW w:w="557" w:type="pct"/>
            <w:vAlign w:val="center"/>
          </w:tcPr>
          <w:p w14:paraId="6C63A7F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0</w:t>
            </w:r>
          </w:p>
        </w:tc>
        <w:tc>
          <w:tcPr>
            <w:tcW w:w="1226" w:type="pct"/>
            <w:vAlign w:val="center"/>
          </w:tcPr>
          <w:p w14:paraId="4630D687">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有资质单位</w:t>
            </w: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清运处置</w:t>
            </w:r>
          </w:p>
        </w:tc>
      </w:tr>
      <w:tr w14:paraId="10E45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14:paraId="31FA0B5D">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258" w:type="pct"/>
            <w:vAlign w:val="center"/>
          </w:tcPr>
          <w:p w14:paraId="6092B930">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废油桶</w:t>
            </w:r>
          </w:p>
        </w:tc>
        <w:tc>
          <w:tcPr>
            <w:tcW w:w="468" w:type="pct"/>
            <w:vAlign w:val="center"/>
          </w:tcPr>
          <w:p w14:paraId="77D74E6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19E8FD06">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0.1</w:t>
            </w:r>
          </w:p>
        </w:tc>
        <w:tc>
          <w:tcPr>
            <w:tcW w:w="544" w:type="pct"/>
            <w:vAlign w:val="center"/>
          </w:tcPr>
          <w:p w14:paraId="1A3F9D08">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0.1</w:t>
            </w:r>
          </w:p>
        </w:tc>
        <w:tc>
          <w:tcPr>
            <w:tcW w:w="557" w:type="pct"/>
            <w:vAlign w:val="center"/>
          </w:tcPr>
          <w:p w14:paraId="15780B2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w:t>
            </w:r>
          </w:p>
        </w:tc>
        <w:tc>
          <w:tcPr>
            <w:tcW w:w="1226" w:type="pct"/>
            <w:vAlign w:val="center"/>
          </w:tcPr>
          <w:p w14:paraId="3951C44B">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有资质单位</w:t>
            </w: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清运处置</w:t>
            </w:r>
          </w:p>
        </w:tc>
      </w:tr>
      <w:tr w14:paraId="02A87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14:paraId="21E7B3BE">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258" w:type="pct"/>
            <w:vAlign w:val="center"/>
          </w:tcPr>
          <w:p w14:paraId="50E7499A">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废含油抹布</w:t>
            </w:r>
          </w:p>
        </w:tc>
        <w:tc>
          <w:tcPr>
            <w:tcW w:w="468" w:type="pct"/>
            <w:vAlign w:val="center"/>
          </w:tcPr>
          <w:p w14:paraId="53FF810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0C05821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0.01</w:t>
            </w:r>
          </w:p>
        </w:tc>
        <w:tc>
          <w:tcPr>
            <w:tcW w:w="544" w:type="pct"/>
            <w:vAlign w:val="center"/>
          </w:tcPr>
          <w:p w14:paraId="4A5DA8EA">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0.01</w:t>
            </w:r>
          </w:p>
        </w:tc>
        <w:tc>
          <w:tcPr>
            <w:tcW w:w="557" w:type="pct"/>
            <w:vAlign w:val="center"/>
          </w:tcPr>
          <w:p w14:paraId="0626080E">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w:t>
            </w:r>
          </w:p>
        </w:tc>
        <w:tc>
          <w:tcPr>
            <w:tcW w:w="1226" w:type="pct"/>
            <w:vAlign w:val="center"/>
          </w:tcPr>
          <w:p w14:paraId="7C0FBBE7">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有资质单位</w:t>
            </w: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清运处置</w:t>
            </w:r>
          </w:p>
        </w:tc>
      </w:tr>
      <w:tr w14:paraId="5AC86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14:paraId="2E83FB84">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258" w:type="pct"/>
            <w:vAlign w:val="center"/>
          </w:tcPr>
          <w:p w14:paraId="1854D41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化验室废液</w:t>
            </w:r>
          </w:p>
        </w:tc>
        <w:tc>
          <w:tcPr>
            <w:tcW w:w="468" w:type="pct"/>
            <w:vAlign w:val="center"/>
          </w:tcPr>
          <w:p w14:paraId="095947BB">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41218E73">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0.1</w:t>
            </w:r>
          </w:p>
        </w:tc>
        <w:tc>
          <w:tcPr>
            <w:tcW w:w="544" w:type="pct"/>
            <w:vAlign w:val="center"/>
          </w:tcPr>
          <w:p w14:paraId="3F62B07D">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0.1</w:t>
            </w:r>
          </w:p>
        </w:tc>
        <w:tc>
          <w:tcPr>
            <w:tcW w:w="557" w:type="pct"/>
            <w:vAlign w:val="center"/>
          </w:tcPr>
          <w:p w14:paraId="481975AA">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w:t>
            </w:r>
          </w:p>
        </w:tc>
        <w:tc>
          <w:tcPr>
            <w:tcW w:w="1226" w:type="pct"/>
            <w:vAlign w:val="center"/>
          </w:tcPr>
          <w:p w14:paraId="13C3D4D3">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有资质单位</w:t>
            </w: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清运处置</w:t>
            </w:r>
          </w:p>
        </w:tc>
      </w:tr>
      <w:tr w14:paraId="5181A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14:paraId="2B646BA8">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258" w:type="pct"/>
            <w:vAlign w:val="center"/>
          </w:tcPr>
          <w:p w14:paraId="4682C8F3">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废催化剂</w:t>
            </w:r>
          </w:p>
        </w:tc>
        <w:tc>
          <w:tcPr>
            <w:tcW w:w="468" w:type="pct"/>
            <w:vAlign w:val="center"/>
          </w:tcPr>
          <w:p w14:paraId="2263DF9B">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6C86022A">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0.01</w:t>
            </w:r>
          </w:p>
        </w:tc>
        <w:tc>
          <w:tcPr>
            <w:tcW w:w="544" w:type="pct"/>
            <w:vAlign w:val="center"/>
          </w:tcPr>
          <w:p w14:paraId="6C0E02A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0.01</w:t>
            </w:r>
          </w:p>
        </w:tc>
        <w:tc>
          <w:tcPr>
            <w:tcW w:w="557" w:type="pct"/>
            <w:vAlign w:val="center"/>
          </w:tcPr>
          <w:p w14:paraId="7089F679">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w:t>
            </w:r>
          </w:p>
        </w:tc>
        <w:tc>
          <w:tcPr>
            <w:tcW w:w="1226" w:type="pct"/>
            <w:vAlign w:val="center"/>
          </w:tcPr>
          <w:p w14:paraId="77C16662">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有资质单位</w:t>
            </w: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清运处置</w:t>
            </w:r>
          </w:p>
        </w:tc>
      </w:tr>
      <w:tr w14:paraId="32A5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Merge w:val="continue"/>
            <w:vAlign w:val="center"/>
          </w:tcPr>
          <w:p w14:paraId="3F4D1428">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258" w:type="pct"/>
            <w:vAlign w:val="center"/>
          </w:tcPr>
          <w:p w14:paraId="0B0B0ED0">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生活垃圾</w:t>
            </w:r>
          </w:p>
        </w:tc>
        <w:tc>
          <w:tcPr>
            <w:tcW w:w="468" w:type="pct"/>
            <w:vAlign w:val="center"/>
          </w:tcPr>
          <w:p w14:paraId="4243F197">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t/a</w:t>
            </w:r>
          </w:p>
        </w:tc>
        <w:tc>
          <w:tcPr>
            <w:tcW w:w="557" w:type="pct"/>
            <w:vAlign w:val="center"/>
          </w:tcPr>
          <w:p w14:paraId="4398184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18</w:t>
            </w:r>
          </w:p>
        </w:tc>
        <w:tc>
          <w:tcPr>
            <w:tcW w:w="544" w:type="pct"/>
            <w:vAlign w:val="center"/>
          </w:tcPr>
          <w:p w14:paraId="3CE74CC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18</w:t>
            </w:r>
          </w:p>
        </w:tc>
        <w:tc>
          <w:tcPr>
            <w:tcW w:w="557" w:type="pct"/>
            <w:vAlign w:val="center"/>
          </w:tcPr>
          <w:p w14:paraId="10786B79">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w:t>
            </w:r>
          </w:p>
        </w:tc>
        <w:tc>
          <w:tcPr>
            <w:tcW w:w="1226" w:type="pct"/>
            <w:vAlign w:val="center"/>
          </w:tcPr>
          <w:p w14:paraId="76BFAEE3">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环卫部门清运处置</w:t>
            </w:r>
          </w:p>
        </w:tc>
      </w:tr>
    </w:tbl>
    <w:p w14:paraId="73F374BB">
      <w:pPr>
        <w:pStyle w:val="10"/>
      </w:pPr>
      <w:r>
        <w:rPr>
          <w:rFonts w:hint="eastAsia"/>
        </w:rPr>
        <w:t>非正常排放源分析</w:t>
      </w:r>
    </w:p>
    <w:p w14:paraId="5337E13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事故排放主要考虑运营期环保设施非正常运行、污染物事故排放时的污染源强。本次评价主要考虑废气和废水的非正常排放。</w:t>
      </w:r>
    </w:p>
    <w:p w14:paraId="21C8111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（1）废气非正常排放</w:t>
      </w:r>
    </w:p>
    <w:p w14:paraId="1F17399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废气非正常排放主要指导废气处理系统发生停电、设备故障等情况所导致废气未经处理直接排放的情形。在该事故状态下，废气处理系统的去除效率下降，本次评价考虑废气处理系统的去除效率下降至0%的情形，事故状态下，废气源强详见表3.3-27。</w:t>
      </w:r>
    </w:p>
    <w:p w14:paraId="3A1A56BA">
      <w:pPr>
        <w:pStyle w:val="11"/>
      </w:pPr>
      <w:r>
        <w:rPr>
          <w:rFonts w:hint="eastAsia"/>
        </w:rPr>
        <w:t xml:space="preserve"> 非正常工况废气产生情况</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2105"/>
        <w:gridCol w:w="1425"/>
        <w:gridCol w:w="1433"/>
        <w:gridCol w:w="1152"/>
        <w:gridCol w:w="1089"/>
        <w:gridCol w:w="802"/>
      </w:tblGrid>
      <w:tr w14:paraId="353D7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9" w:type="pct"/>
            <w:vAlign w:val="center"/>
          </w:tcPr>
          <w:p w14:paraId="76561BE9">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非正常排放源</w:t>
            </w:r>
          </w:p>
        </w:tc>
        <w:tc>
          <w:tcPr>
            <w:tcW w:w="1139" w:type="pct"/>
            <w:vAlign w:val="center"/>
          </w:tcPr>
          <w:p w14:paraId="60799EB9">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非正常排放原因</w:t>
            </w:r>
          </w:p>
        </w:tc>
        <w:tc>
          <w:tcPr>
            <w:tcW w:w="771" w:type="pct"/>
            <w:vAlign w:val="center"/>
          </w:tcPr>
          <w:p w14:paraId="34CAFA65">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污染物</w:t>
            </w:r>
          </w:p>
        </w:tc>
        <w:tc>
          <w:tcPr>
            <w:tcW w:w="775" w:type="pct"/>
            <w:vAlign w:val="center"/>
          </w:tcPr>
          <w:p w14:paraId="69F4D0B3">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排放速率</w:t>
            </w:r>
          </w:p>
          <w:p w14:paraId="6FF76553">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（kg/h）</w:t>
            </w:r>
          </w:p>
        </w:tc>
        <w:tc>
          <w:tcPr>
            <w:tcW w:w="623" w:type="pct"/>
            <w:vAlign w:val="center"/>
          </w:tcPr>
          <w:p w14:paraId="00F71C7D">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单次持续时间/h</w:t>
            </w:r>
          </w:p>
        </w:tc>
        <w:tc>
          <w:tcPr>
            <w:tcW w:w="589" w:type="pct"/>
            <w:vAlign w:val="center"/>
          </w:tcPr>
          <w:p w14:paraId="230C9A4A">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年发生频次/次</w:t>
            </w:r>
          </w:p>
        </w:tc>
        <w:tc>
          <w:tcPr>
            <w:tcW w:w="434" w:type="pct"/>
            <w:vAlign w:val="center"/>
          </w:tcPr>
          <w:p w14:paraId="3587C92C">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措施</w:t>
            </w:r>
          </w:p>
        </w:tc>
      </w:tr>
      <w:tr w14:paraId="37400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9" w:type="pct"/>
            <w:vMerge w:val="restart"/>
            <w:vAlign w:val="center"/>
          </w:tcPr>
          <w:p w14:paraId="12DD549A">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DA001</w:t>
            </w:r>
          </w:p>
        </w:tc>
        <w:tc>
          <w:tcPr>
            <w:tcW w:w="1139" w:type="pct"/>
            <w:vMerge w:val="restart"/>
            <w:vAlign w:val="center"/>
          </w:tcPr>
          <w:p w14:paraId="50034A39">
            <w:pPr>
              <w:spacing w:line="240" w:lineRule="auto"/>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废气处理系统不能正常运转，处理效率为0</w:t>
            </w:r>
          </w:p>
        </w:tc>
        <w:tc>
          <w:tcPr>
            <w:tcW w:w="771" w:type="pct"/>
            <w:vAlign w:val="center"/>
          </w:tcPr>
          <w:p w14:paraId="294341FA">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非甲烷总烃</w:t>
            </w:r>
          </w:p>
        </w:tc>
        <w:tc>
          <w:tcPr>
            <w:tcW w:w="775" w:type="pct"/>
            <w:vAlign w:val="center"/>
          </w:tcPr>
          <w:p w14:paraId="1446E26C">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1.233</w:t>
            </w:r>
          </w:p>
        </w:tc>
        <w:tc>
          <w:tcPr>
            <w:tcW w:w="623" w:type="pct"/>
            <w:vMerge w:val="restart"/>
            <w:vAlign w:val="center"/>
          </w:tcPr>
          <w:p w14:paraId="7E691176">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w:t>
            </w:r>
          </w:p>
        </w:tc>
        <w:tc>
          <w:tcPr>
            <w:tcW w:w="589" w:type="pct"/>
            <w:vMerge w:val="restart"/>
            <w:vAlign w:val="center"/>
          </w:tcPr>
          <w:p w14:paraId="1FCFDFF8">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w:t>
            </w:r>
          </w:p>
        </w:tc>
        <w:tc>
          <w:tcPr>
            <w:tcW w:w="434" w:type="pct"/>
            <w:vMerge w:val="restart"/>
            <w:vAlign w:val="center"/>
          </w:tcPr>
          <w:p w14:paraId="04CFE991">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及时维护</w:t>
            </w:r>
          </w:p>
        </w:tc>
      </w:tr>
      <w:tr w14:paraId="566E3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9" w:type="pct"/>
            <w:vMerge w:val="continue"/>
            <w:vAlign w:val="center"/>
          </w:tcPr>
          <w:p w14:paraId="0AB0626F">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1139" w:type="pct"/>
            <w:vMerge w:val="continue"/>
            <w:vAlign w:val="center"/>
          </w:tcPr>
          <w:p w14:paraId="2BBCE83C">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71" w:type="pct"/>
            <w:vAlign w:val="center"/>
          </w:tcPr>
          <w:p w14:paraId="09260A36">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甲醇</w:t>
            </w:r>
          </w:p>
        </w:tc>
        <w:tc>
          <w:tcPr>
            <w:tcW w:w="775" w:type="pct"/>
            <w:vAlign w:val="center"/>
          </w:tcPr>
          <w:p w14:paraId="136266E0">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0.674</w:t>
            </w:r>
          </w:p>
        </w:tc>
        <w:tc>
          <w:tcPr>
            <w:tcW w:w="623" w:type="pct"/>
            <w:vMerge w:val="continue"/>
            <w:vAlign w:val="center"/>
          </w:tcPr>
          <w:p w14:paraId="41116E20">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589" w:type="pct"/>
            <w:vMerge w:val="continue"/>
            <w:vAlign w:val="center"/>
          </w:tcPr>
          <w:p w14:paraId="54BA97CB">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434" w:type="pct"/>
            <w:vMerge w:val="continue"/>
            <w:vAlign w:val="center"/>
          </w:tcPr>
          <w:p w14:paraId="155E1C3E">
            <w:pPr>
              <w:spacing w:line="240" w:lineRule="auto"/>
              <w:jc w:val="center"/>
              <w:rPr>
                <w:color w:val="0D0D0D" w:themeColor="text1" w:themeTint="F2"/>
                <w:sz w:val="21"/>
                <w14:textFill>
                  <w14:solidFill>
                    <w14:schemeClr w14:val="tx1">
                      <w14:lumMod w14:val="95000"/>
                      <w14:lumOff w14:val="5000"/>
                    </w14:schemeClr>
                  </w14:solidFill>
                </w14:textFill>
              </w:rPr>
            </w:pPr>
          </w:p>
        </w:tc>
      </w:tr>
      <w:tr w14:paraId="341AB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9" w:type="pct"/>
            <w:vMerge w:val="continue"/>
            <w:vAlign w:val="center"/>
          </w:tcPr>
          <w:p w14:paraId="6663057D">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1139" w:type="pct"/>
            <w:vMerge w:val="continue"/>
            <w:vAlign w:val="center"/>
          </w:tcPr>
          <w:p w14:paraId="7FD68052">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71" w:type="pct"/>
            <w:vAlign w:val="center"/>
          </w:tcPr>
          <w:p w14:paraId="6305C9EA">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氨</w:t>
            </w:r>
          </w:p>
        </w:tc>
        <w:tc>
          <w:tcPr>
            <w:tcW w:w="775" w:type="pct"/>
            <w:vAlign w:val="center"/>
          </w:tcPr>
          <w:p w14:paraId="70200739">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0.0839</w:t>
            </w:r>
          </w:p>
        </w:tc>
        <w:tc>
          <w:tcPr>
            <w:tcW w:w="623" w:type="pct"/>
            <w:vMerge w:val="continue"/>
            <w:vAlign w:val="center"/>
          </w:tcPr>
          <w:p w14:paraId="17C20128">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589" w:type="pct"/>
            <w:vMerge w:val="continue"/>
            <w:vAlign w:val="center"/>
          </w:tcPr>
          <w:p w14:paraId="08B3214B">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434" w:type="pct"/>
            <w:vMerge w:val="continue"/>
            <w:vAlign w:val="center"/>
          </w:tcPr>
          <w:p w14:paraId="5B10F1D7">
            <w:pPr>
              <w:spacing w:line="240" w:lineRule="auto"/>
              <w:jc w:val="center"/>
              <w:rPr>
                <w:color w:val="0D0D0D" w:themeColor="text1" w:themeTint="F2"/>
                <w:sz w:val="21"/>
                <w14:textFill>
                  <w14:solidFill>
                    <w14:schemeClr w14:val="tx1">
                      <w14:lumMod w14:val="95000"/>
                      <w14:lumOff w14:val="5000"/>
                    </w14:schemeClr>
                  </w14:solidFill>
                </w14:textFill>
              </w:rPr>
            </w:pPr>
          </w:p>
        </w:tc>
      </w:tr>
      <w:tr w14:paraId="44E1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9" w:type="pct"/>
            <w:vMerge w:val="continue"/>
            <w:vAlign w:val="center"/>
          </w:tcPr>
          <w:p w14:paraId="6F206194">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1139" w:type="pct"/>
            <w:vMerge w:val="continue"/>
            <w:vAlign w:val="center"/>
          </w:tcPr>
          <w:p w14:paraId="484C680C">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71" w:type="pct"/>
            <w:vAlign w:val="center"/>
          </w:tcPr>
          <w:p w14:paraId="364062C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硫化氢</w:t>
            </w:r>
          </w:p>
        </w:tc>
        <w:tc>
          <w:tcPr>
            <w:tcW w:w="775" w:type="pct"/>
            <w:vAlign w:val="center"/>
          </w:tcPr>
          <w:p w14:paraId="5F1B7FDB">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0.0014</w:t>
            </w:r>
          </w:p>
        </w:tc>
        <w:tc>
          <w:tcPr>
            <w:tcW w:w="623" w:type="pct"/>
            <w:vMerge w:val="continue"/>
            <w:vAlign w:val="center"/>
          </w:tcPr>
          <w:p w14:paraId="3D04DA89">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589" w:type="pct"/>
            <w:vMerge w:val="continue"/>
            <w:vAlign w:val="center"/>
          </w:tcPr>
          <w:p w14:paraId="7E409BC6">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434" w:type="pct"/>
            <w:vMerge w:val="continue"/>
            <w:vAlign w:val="center"/>
          </w:tcPr>
          <w:p w14:paraId="0FA4EB40">
            <w:pPr>
              <w:spacing w:line="240" w:lineRule="auto"/>
              <w:jc w:val="center"/>
              <w:rPr>
                <w:color w:val="0D0D0D" w:themeColor="text1" w:themeTint="F2"/>
                <w:sz w:val="21"/>
                <w14:textFill>
                  <w14:solidFill>
                    <w14:schemeClr w14:val="tx1">
                      <w14:lumMod w14:val="95000"/>
                      <w14:lumOff w14:val="5000"/>
                    </w14:schemeClr>
                  </w14:solidFill>
                </w14:textFill>
              </w:rPr>
            </w:pPr>
          </w:p>
        </w:tc>
      </w:tr>
      <w:tr w14:paraId="2C659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9" w:type="pct"/>
            <w:vMerge w:val="restart"/>
            <w:vAlign w:val="center"/>
          </w:tcPr>
          <w:p w14:paraId="4C43A1BC">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DA002</w:t>
            </w:r>
          </w:p>
        </w:tc>
        <w:tc>
          <w:tcPr>
            <w:tcW w:w="1139" w:type="pct"/>
            <w:vMerge w:val="continue"/>
            <w:vAlign w:val="center"/>
          </w:tcPr>
          <w:p w14:paraId="59A07E1D">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71" w:type="pct"/>
            <w:vAlign w:val="center"/>
          </w:tcPr>
          <w:p w14:paraId="7D13100C">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颗粒物</w:t>
            </w:r>
          </w:p>
        </w:tc>
        <w:tc>
          <w:tcPr>
            <w:tcW w:w="775" w:type="pct"/>
            <w:vAlign w:val="center"/>
          </w:tcPr>
          <w:p w14:paraId="5F5BA3AE">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15.522</w:t>
            </w:r>
          </w:p>
        </w:tc>
        <w:tc>
          <w:tcPr>
            <w:tcW w:w="623" w:type="pct"/>
            <w:vMerge w:val="continue"/>
            <w:vAlign w:val="center"/>
          </w:tcPr>
          <w:p w14:paraId="59A325D9">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589" w:type="pct"/>
            <w:vMerge w:val="continue"/>
            <w:vAlign w:val="center"/>
          </w:tcPr>
          <w:p w14:paraId="62EFD54A">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434" w:type="pct"/>
            <w:vMerge w:val="continue"/>
            <w:vAlign w:val="center"/>
          </w:tcPr>
          <w:p w14:paraId="25D66175">
            <w:pPr>
              <w:spacing w:line="240" w:lineRule="auto"/>
              <w:jc w:val="center"/>
              <w:rPr>
                <w:color w:val="0D0D0D" w:themeColor="text1" w:themeTint="F2"/>
                <w:sz w:val="21"/>
                <w14:textFill>
                  <w14:solidFill>
                    <w14:schemeClr w14:val="tx1">
                      <w14:lumMod w14:val="95000"/>
                      <w14:lumOff w14:val="5000"/>
                    </w14:schemeClr>
                  </w14:solidFill>
                </w14:textFill>
              </w:rPr>
            </w:pPr>
          </w:p>
        </w:tc>
      </w:tr>
      <w:tr w14:paraId="4113D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9" w:type="pct"/>
            <w:vMerge w:val="continue"/>
            <w:vAlign w:val="center"/>
          </w:tcPr>
          <w:p w14:paraId="3948F6F8">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1139" w:type="pct"/>
            <w:vMerge w:val="continue"/>
            <w:vAlign w:val="center"/>
          </w:tcPr>
          <w:p w14:paraId="3F37696D">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71" w:type="pct"/>
            <w:vAlign w:val="center"/>
          </w:tcPr>
          <w:p w14:paraId="4BD45290">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二氧化硫</w:t>
            </w:r>
          </w:p>
        </w:tc>
        <w:tc>
          <w:tcPr>
            <w:tcW w:w="775" w:type="pct"/>
            <w:vAlign w:val="center"/>
          </w:tcPr>
          <w:p w14:paraId="2B704198">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0.135</w:t>
            </w:r>
          </w:p>
        </w:tc>
        <w:tc>
          <w:tcPr>
            <w:tcW w:w="623" w:type="pct"/>
            <w:vMerge w:val="continue"/>
            <w:vAlign w:val="center"/>
          </w:tcPr>
          <w:p w14:paraId="0C91318C">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589" w:type="pct"/>
            <w:vMerge w:val="continue"/>
            <w:vAlign w:val="center"/>
          </w:tcPr>
          <w:p w14:paraId="39268CB8">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434" w:type="pct"/>
            <w:vMerge w:val="continue"/>
            <w:vAlign w:val="center"/>
          </w:tcPr>
          <w:p w14:paraId="16F145EA">
            <w:pPr>
              <w:spacing w:line="240" w:lineRule="auto"/>
              <w:jc w:val="center"/>
              <w:rPr>
                <w:color w:val="0D0D0D" w:themeColor="text1" w:themeTint="F2"/>
                <w:sz w:val="21"/>
                <w14:textFill>
                  <w14:solidFill>
                    <w14:schemeClr w14:val="tx1">
                      <w14:lumMod w14:val="95000"/>
                      <w14:lumOff w14:val="5000"/>
                    </w14:schemeClr>
                  </w14:solidFill>
                </w14:textFill>
              </w:rPr>
            </w:pPr>
          </w:p>
        </w:tc>
      </w:tr>
      <w:tr w14:paraId="429FB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9" w:type="pct"/>
            <w:vMerge w:val="continue"/>
            <w:vAlign w:val="center"/>
          </w:tcPr>
          <w:p w14:paraId="21B83105">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1139" w:type="pct"/>
            <w:vMerge w:val="continue"/>
            <w:vAlign w:val="center"/>
          </w:tcPr>
          <w:p w14:paraId="323D56C6">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71" w:type="pct"/>
            <w:vAlign w:val="center"/>
          </w:tcPr>
          <w:p w14:paraId="7636A81E">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氮氧化物</w:t>
            </w:r>
          </w:p>
        </w:tc>
        <w:tc>
          <w:tcPr>
            <w:tcW w:w="775" w:type="pct"/>
            <w:vAlign w:val="center"/>
          </w:tcPr>
          <w:p w14:paraId="29DC7DF6">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3.017</w:t>
            </w:r>
          </w:p>
        </w:tc>
        <w:tc>
          <w:tcPr>
            <w:tcW w:w="623" w:type="pct"/>
            <w:vMerge w:val="continue"/>
            <w:vAlign w:val="center"/>
          </w:tcPr>
          <w:p w14:paraId="0AD911F9">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589" w:type="pct"/>
            <w:vMerge w:val="continue"/>
            <w:vAlign w:val="center"/>
          </w:tcPr>
          <w:p w14:paraId="44933B7F">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434" w:type="pct"/>
            <w:vMerge w:val="continue"/>
            <w:vAlign w:val="center"/>
          </w:tcPr>
          <w:p w14:paraId="5F5E6042">
            <w:pPr>
              <w:spacing w:line="240" w:lineRule="auto"/>
              <w:jc w:val="center"/>
              <w:rPr>
                <w:color w:val="0D0D0D" w:themeColor="text1" w:themeTint="F2"/>
                <w:sz w:val="21"/>
                <w14:textFill>
                  <w14:solidFill>
                    <w14:schemeClr w14:val="tx1">
                      <w14:lumMod w14:val="95000"/>
                      <w14:lumOff w14:val="5000"/>
                    </w14:schemeClr>
                  </w14:solidFill>
                </w14:textFill>
              </w:rPr>
            </w:pPr>
          </w:p>
        </w:tc>
      </w:tr>
    </w:tbl>
    <w:p w14:paraId="7FE3261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（2）废水非正常排放</w:t>
      </w:r>
    </w:p>
    <w:p w14:paraId="370C81F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当厂区污水处理站出现故障导致废水非正常排放，最极端的状况为厂区污水处理站污染物去除效率降低，各污染物处理效率为0%，此种情况下应禁止非正常排放的污水排放，事故状态下，废水源强详见表3.3-28。</w:t>
      </w:r>
    </w:p>
    <w:p w14:paraId="13B3BBCF">
      <w:pPr>
        <w:pStyle w:val="2"/>
        <w:ind w:firstLine="24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14:paraId="05847AE0">
      <w:pPr>
        <w:pStyle w:val="11"/>
      </w:pPr>
      <w:r>
        <w:rPr>
          <w:rFonts w:hint="eastAsia"/>
        </w:rPr>
        <w:t xml:space="preserve"> 非正常工况废水产生情况</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8"/>
        <w:gridCol w:w="1174"/>
        <w:gridCol w:w="1523"/>
        <w:gridCol w:w="1116"/>
        <w:gridCol w:w="1054"/>
        <w:gridCol w:w="2937"/>
      </w:tblGrid>
      <w:tr w14:paraId="3B209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8" w:type="pct"/>
            <w:vAlign w:val="center"/>
          </w:tcPr>
          <w:p w14:paraId="0FD57F39">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水量</w:t>
            </w:r>
          </w:p>
        </w:tc>
        <w:tc>
          <w:tcPr>
            <w:tcW w:w="635" w:type="pct"/>
            <w:vAlign w:val="center"/>
          </w:tcPr>
          <w:p w14:paraId="0C7E59C5">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污染物</w:t>
            </w:r>
          </w:p>
        </w:tc>
        <w:tc>
          <w:tcPr>
            <w:tcW w:w="824" w:type="pct"/>
            <w:vAlign w:val="center"/>
          </w:tcPr>
          <w:p w14:paraId="6646868C">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排放浓度（mg/L）</w:t>
            </w:r>
          </w:p>
        </w:tc>
        <w:tc>
          <w:tcPr>
            <w:tcW w:w="604" w:type="pct"/>
            <w:vAlign w:val="center"/>
          </w:tcPr>
          <w:p w14:paraId="3AA49A9A">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单次持续时间/h</w:t>
            </w:r>
          </w:p>
        </w:tc>
        <w:tc>
          <w:tcPr>
            <w:tcW w:w="570" w:type="pct"/>
            <w:vAlign w:val="center"/>
          </w:tcPr>
          <w:p w14:paraId="57CBD571">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年发生频次/次</w:t>
            </w:r>
          </w:p>
        </w:tc>
        <w:tc>
          <w:tcPr>
            <w:tcW w:w="1589" w:type="pct"/>
            <w:vAlign w:val="center"/>
          </w:tcPr>
          <w:p w14:paraId="41C8458A">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措施</w:t>
            </w:r>
          </w:p>
        </w:tc>
      </w:tr>
      <w:tr w14:paraId="72A72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8" w:type="pct"/>
            <w:vMerge w:val="restart"/>
            <w:vAlign w:val="center"/>
          </w:tcPr>
          <w:p w14:paraId="6B85668B">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38156.44</w:t>
            </w:r>
            <w:r>
              <w:rPr>
                <w:rFonts w:hint="eastAsia" w:cs="Times New Roman"/>
                <w:color w:val="0D0D0D" w:themeColor="text1" w:themeTint="F2"/>
                <w:sz w:val="21"/>
                <w14:textFill>
                  <w14:solidFill>
                    <w14:schemeClr w14:val="tx1">
                      <w14:lumMod w14:val="95000"/>
                      <w14:lumOff w14:val="5000"/>
                    </w14:schemeClr>
                  </w14:solidFill>
                </w14:textFill>
              </w:rPr>
              <w:t>m</w:t>
            </w:r>
            <w:r>
              <w:rPr>
                <w:rFonts w:hint="eastAsia" w:cs="Times New Roman"/>
                <w:color w:val="0D0D0D" w:themeColor="text1" w:themeTint="F2"/>
                <w:sz w:val="21"/>
                <w:vertAlign w:val="superscript"/>
                <w14:textFill>
                  <w14:solidFill>
                    <w14:schemeClr w14:val="tx1">
                      <w14:lumMod w14:val="95000"/>
                      <w14:lumOff w14:val="5000"/>
                    </w14:schemeClr>
                  </w14:solidFill>
                </w14:textFill>
              </w:rPr>
              <w:t>3</w:t>
            </w:r>
            <w:r>
              <w:rPr>
                <w:rFonts w:hint="eastAsia" w:cs="Times New Roman"/>
                <w:color w:val="0D0D0D" w:themeColor="text1" w:themeTint="F2"/>
                <w:sz w:val="21"/>
                <w14:textFill>
                  <w14:solidFill>
                    <w14:schemeClr w14:val="tx1">
                      <w14:lumMod w14:val="95000"/>
                      <w14:lumOff w14:val="5000"/>
                    </w14:schemeClr>
                  </w14:solidFill>
                </w14:textFill>
              </w:rPr>
              <w:t>/d</w:t>
            </w:r>
          </w:p>
        </w:tc>
        <w:tc>
          <w:tcPr>
            <w:tcW w:w="635" w:type="pct"/>
            <w:vAlign w:val="center"/>
          </w:tcPr>
          <w:p w14:paraId="77BBC7DF">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COD</w:t>
            </w:r>
          </w:p>
        </w:tc>
        <w:tc>
          <w:tcPr>
            <w:tcW w:w="824" w:type="pct"/>
            <w:vAlign w:val="center"/>
          </w:tcPr>
          <w:p w14:paraId="79EFAD12">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04" w:type="pct"/>
            <w:vMerge w:val="restart"/>
            <w:vAlign w:val="center"/>
          </w:tcPr>
          <w:p w14:paraId="7ACF7D80">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1</w:t>
            </w:r>
          </w:p>
        </w:tc>
        <w:tc>
          <w:tcPr>
            <w:tcW w:w="570" w:type="pct"/>
            <w:vMerge w:val="restart"/>
            <w:vAlign w:val="center"/>
          </w:tcPr>
          <w:p w14:paraId="050EA259">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1</w:t>
            </w:r>
          </w:p>
        </w:tc>
        <w:tc>
          <w:tcPr>
            <w:tcW w:w="1589" w:type="pct"/>
            <w:vMerge w:val="restart"/>
            <w:vAlign w:val="center"/>
          </w:tcPr>
          <w:p w14:paraId="1D76D3C7">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将废水收集至事故应急池，及时维修污水处理系统</w:t>
            </w:r>
          </w:p>
        </w:tc>
      </w:tr>
      <w:tr w14:paraId="5CD12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8" w:type="pct"/>
            <w:vMerge w:val="continue"/>
            <w:vAlign w:val="center"/>
          </w:tcPr>
          <w:p w14:paraId="11F1B8CD">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35" w:type="pct"/>
            <w:vAlign w:val="center"/>
          </w:tcPr>
          <w:p w14:paraId="014B5B55">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BOD</w:t>
            </w:r>
            <w:r>
              <w:rPr>
                <w:rFonts w:hint="eastAsia" w:cs="Times New Roman"/>
                <w:color w:val="0D0D0D" w:themeColor="text1" w:themeTint="F2"/>
                <w:sz w:val="21"/>
                <w:vertAlign w:val="subscript"/>
                <w14:textFill>
                  <w14:solidFill>
                    <w14:schemeClr w14:val="tx1">
                      <w14:lumMod w14:val="95000"/>
                      <w14:lumOff w14:val="5000"/>
                    </w14:schemeClr>
                  </w14:solidFill>
                </w14:textFill>
              </w:rPr>
              <w:t>5</w:t>
            </w:r>
          </w:p>
        </w:tc>
        <w:tc>
          <w:tcPr>
            <w:tcW w:w="824" w:type="pct"/>
            <w:vAlign w:val="center"/>
          </w:tcPr>
          <w:p w14:paraId="42FB6A9A">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04" w:type="pct"/>
            <w:vMerge w:val="continue"/>
            <w:vAlign w:val="center"/>
          </w:tcPr>
          <w:p w14:paraId="42355B8E">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70" w:type="pct"/>
            <w:vMerge w:val="continue"/>
            <w:vAlign w:val="center"/>
          </w:tcPr>
          <w:p w14:paraId="14063214">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589" w:type="pct"/>
            <w:vMerge w:val="continue"/>
            <w:vAlign w:val="center"/>
          </w:tcPr>
          <w:p w14:paraId="4CBBD46D">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r>
      <w:tr w14:paraId="62374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8" w:type="pct"/>
            <w:vMerge w:val="continue"/>
            <w:vAlign w:val="center"/>
          </w:tcPr>
          <w:p w14:paraId="5E873A30">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35" w:type="pct"/>
            <w:vAlign w:val="center"/>
          </w:tcPr>
          <w:p w14:paraId="04D034CF">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SS</w:t>
            </w:r>
          </w:p>
        </w:tc>
        <w:tc>
          <w:tcPr>
            <w:tcW w:w="824" w:type="pct"/>
            <w:vAlign w:val="center"/>
          </w:tcPr>
          <w:p w14:paraId="428695DB">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04" w:type="pct"/>
            <w:vMerge w:val="continue"/>
            <w:vAlign w:val="center"/>
          </w:tcPr>
          <w:p w14:paraId="402FD64A">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70" w:type="pct"/>
            <w:vMerge w:val="continue"/>
            <w:vAlign w:val="center"/>
          </w:tcPr>
          <w:p w14:paraId="063CA5A9">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589" w:type="pct"/>
            <w:vMerge w:val="continue"/>
            <w:vAlign w:val="center"/>
          </w:tcPr>
          <w:p w14:paraId="5FABF087">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r>
      <w:tr w14:paraId="198E8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8" w:type="pct"/>
            <w:vMerge w:val="continue"/>
            <w:vAlign w:val="center"/>
          </w:tcPr>
          <w:p w14:paraId="7D4644AD">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35" w:type="pct"/>
            <w:vAlign w:val="center"/>
          </w:tcPr>
          <w:p w14:paraId="0BC59717">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NH</w:t>
            </w:r>
            <w:r>
              <w:rPr>
                <w:rFonts w:hint="eastAsia" w:cs="Times New Roman"/>
                <w:color w:val="0D0D0D" w:themeColor="text1" w:themeTint="F2"/>
                <w:sz w:val="21"/>
                <w:vertAlign w:val="subscript"/>
                <w14:textFill>
                  <w14:solidFill>
                    <w14:schemeClr w14:val="tx1">
                      <w14:lumMod w14:val="95000"/>
                      <w14:lumOff w14:val="5000"/>
                    </w14:schemeClr>
                  </w14:solidFill>
                </w14:textFill>
              </w:rPr>
              <w:t>3</w:t>
            </w:r>
            <w:r>
              <w:rPr>
                <w:rFonts w:hint="eastAsia" w:cs="Times New Roman"/>
                <w:color w:val="0D0D0D" w:themeColor="text1" w:themeTint="F2"/>
                <w:sz w:val="21"/>
                <w14:textFill>
                  <w14:solidFill>
                    <w14:schemeClr w14:val="tx1">
                      <w14:lumMod w14:val="95000"/>
                      <w14:lumOff w14:val="5000"/>
                    </w14:schemeClr>
                  </w14:solidFill>
                </w14:textFill>
              </w:rPr>
              <w:t>-N</w:t>
            </w:r>
          </w:p>
        </w:tc>
        <w:tc>
          <w:tcPr>
            <w:tcW w:w="824" w:type="pct"/>
            <w:vAlign w:val="center"/>
          </w:tcPr>
          <w:p w14:paraId="3641F2BF">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04" w:type="pct"/>
            <w:vMerge w:val="continue"/>
            <w:vAlign w:val="center"/>
          </w:tcPr>
          <w:p w14:paraId="1B0A555E">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70" w:type="pct"/>
            <w:vMerge w:val="continue"/>
            <w:vAlign w:val="center"/>
          </w:tcPr>
          <w:p w14:paraId="7679B1AA">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589" w:type="pct"/>
            <w:vMerge w:val="continue"/>
            <w:vAlign w:val="center"/>
          </w:tcPr>
          <w:p w14:paraId="35A1C1A4">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r>
      <w:tr w14:paraId="24010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8" w:type="pct"/>
            <w:vMerge w:val="continue"/>
            <w:vAlign w:val="center"/>
          </w:tcPr>
          <w:p w14:paraId="31EAD648">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35" w:type="pct"/>
            <w:vAlign w:val="center"/>
          </w:tcPr>
          <w:p w14:paraId="192B6299">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动植物油</w:t>
            </w:r>
          </w:p>
        </w:tc>
        <w:tc>
          <w:tcPr>
            <w:tcW w:w="824" w:type="pct"/>
            <w:vAlign w:val="center"/>
          </w:tcPr>
          <w:p w14:paraId="30724446">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04" w:type="pct"/>
            <w:vMerge w:val="continue"/>
            <w:vAlign w:val="center"/>
          </w:tcPr>
          <w:p w14:paraId="2AB21037">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70" w:type="pct"/>
            <w:vMerge w:val="continue"/>
            <w:vAlign w:val="center"/>
          </w:tcPr>
          <w:p w14:paraId="0C24DF35">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589" w:type="pct"/>
            <w:vMerge w:val="continue"/>
            <w:vAlign w:val="center"/>
          </w:tcPr>
          <w:p w14:paraId="7D93A3D4">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r>
    </w:tbl>
    <w:p w14:paraId="3A4D9E2D">
      <w:pPr>
        <w:pStyle w:val="8"/>
      </w:pPr>
      <w:bookmarkStart w:id="112" w:name="_Toc204062578"/>
      <w:r>
        <w:rPr>
          <w:rFonts w:hint="eastAsia"/>
        </w:rPr>
        <w:t>清洁生产分析</w:t>
      </w:r>
      <w:bookmarkEnd w:id="112"/>
    </w:p>
    <w:p w14:paraId="7C4A10E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清洁生产是指将综合预防的环境保护策略持续应用于生产过程和产品使用过程中，以期减少对人类的环境风险，是实现经济与环境协调发展的根本途径，可以达到“节能、降耗、减污、增效”的目的。项目为生物柴油生产项目，国家尚未发布相应的清洁生产标准和技术指南，本次评价从原材料消耗、工艺设备、产品指标、污染物产生及环境管理等五个方面选取清洁生产指标进行简单分析，然后采用指标对比法提出清洁生产评价结论，最后根据项目存在的主要问题，提出相应的清洁生产方案和建议。</w:t>
      </w:r>
    </w:p>
    <w:p w14:paraId="7EE69870">
      <w:pPr>
        <w:pStyle w:val="9"/>
      </w:pPr>
      <w:bookmarkStart w:id="113" w:name="_Toc204062579"/>
      <w:r>
        <w:rPr>
          <w:rFonts w:hint="eastAsia"/>
        </w:rPr>
        <w:t>原辅材料消耗</w:t>
      </w:r>
      <w:bookmarkEnd w:id="113"/>
    </w:p>
    <w:p w14:paraId="6F72EEC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主要原辅材料为废弃油脂、生物酶、甲醇、水等，各原料成分简单、易得，均为低于3类有毒物质，符合清洁生产要求。原料废弃油脂为废弃资源进行综合利用，产品主要为生物柴油和工业级混合油，质量稳定，无毒，符合清洁生产要求。</w:t>
      </w:r>
    </w:p>
    <w:p w14:paraId="273E5BE0">
      <w:pPr>
        <w:pStyle w:val="9"/>
      </w:pPr>
      <w:bookmarkStart w:id="114" w:name="_Toc204062580"/>
      <w:r>
        <w:rPr>
          <w:rFonts w:hint="eastAsia"/>
        </w:rPr>
        <w:t>工艺先进性分析</w:t>
      </w:r>
      <w:bookmarkEnd w:id="114"/>
    </w:p>
    <w:p w14:paraId="1E575A4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生物柴油生产线采用的生产工艺为国内外常用的生物酶催化酯交换工艺，生物酶法制备生物柴油是一种新兴的绿色生产工艺，与传统化学法相比，具有显著的技术优势和环保特性。生物酶法反应条件温和（常温常压），无需使用强酸、强碱等化学催化剂，减少了有害化学物质的排放，降低了环境污染；反应过程中产生的副产物（如甘油）易于分离和回收利用，减少了废弃物的产生；生物酶法利用废弃油脂作为原料，整个生产过程碳排放较低，符合碳中和目标。</w:t>
      </w:r>
    </w:p>
    <w:p w14:paraId="17B5204C">
      <w:pPr>
        <w:pStyle w:val="9"/>
      </w:pPr>
      <w:bookmarkStart w:id="115" w:name="_Toc204062581"/>
      <w:r>
        <w:rPr>
          <w:rFonts w:hint="eastAsia"/>
        </w:rPr>
        <w:t>设备先进性分析</w:t>
      </w:r>
      <w:bookmarkEnd w:id="115"/>
    </w:p>
    <w:p w14:paraId="4054E78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生产工艺主要以酯化反应、离心分离、蒸馏等单元操作为主，反应装置、分离装置、蒸馏装置以及接收、周转罐均选择Q345R钢板，输送泵选用碳钢材质。项目装置、设备、设施采用满足装置安全生产需要的成熟设备，输送泵等非标设备、设施均选择国家技术监督部门批准的、取得制造许可证的企业按工艺条件设计、制造，定型设备选择取得制造许可证企业的合格产品。项目拟由具备资质的单位设计、施工、安装、监理，可以保障设备、设施的安全可靠性。因此，项目所选设备符合清洁生产的相关要求。</w:t>
      </w:r>
    </w:p>
    <w:p w14:paraId="1442B99A">
      <w:pPr>
        <w:pStyle w:val="9"/>
      </w:pPr>
      <w:bookmarkStart w:id="116" w:name="_Toc204062582"/>
      <w:r>
        <w:rPr>
          <w:rFonts w:hint="eastAsia"/>
        </w:rPr>
        <w:t>产品指标</w:t>
      </w:r>
      <w:bookmarkEnd w:id="116"/>
    </w:p>
    <w:p w14:paraId="7AF751E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主产品生物柴油可作为清洁燃料，替代传统柴油，燃烧时排放的污染物（如硫氧化物、颗粒物）远低于传统柴油；工业级混合油可用于工业燃料或进一步加工；副产品甘油为高附加值副产品，可用于化工、医药等领域，重质脂肪酸可用于生产肥皂、润滑剂等。项目产品方案的产业化有助于一定程度上缓解我国能源紧张的局面。我国已明确提出发展各种石油替代品，并将发展生物液体燃料确定为新兴产业的发展方向。因此，项目产品符合清洁生产的相关要求。</w:t>
      </w:r>
    </w:p>
    <w:p w14:paraId="7D0CECD1">
      <w:pPr>
        <w:pStyle w:val="9"/>
      </w:pPr>
      <w:bookmarkStart w:id="117" w:name="_Toc204062583"/>
      <w:r>
        <w:rPr>
          <w:rFonts w:hint="eastAsia"/>
        </w:rPr>
        <w:t>污染物控制措施</w:t>
      </w:r>
      <w:bookmarkEnd w:id="117"/>
    </w:p>
    <w:p w14:paraId="7697239E">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运营期生产线工艺废气和储罐大小呼吸废气经RCO催化燃烧装置处理后，通过30m高排气筒（DA001）排放；污水处理站废气经“二级碱液喷淋+除雾器”预处理后排入RCO催化燃烧装置处理，最后通过30m高排气筒（DA001）排放；沼气脱硫净化后引至1＃导热油炉燃烧处理；白土投料粉尘无组织排放；导热油炉燃烧废气经配套的“旋风除尘器+布袋除尘器”处理后，通过40m高排气筒（DA002）排放。</w:t>
      </w:r>
    </w:p>
    <w:p w14:paraId="1D1B99F7">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运营期初期雨水经初期雨水池收集后，泵入污水处理站与生产废水一并处理，处理工艺采用“隔油+气浮+混凝沉淀+调节+UASB厌氧反应器+MBR膜生物反应器”，处理达标后排入市政污水管网；生活污水经三级化粪池处理后排入市政污水管网；外排废水统一输送至钦州胜科水务有限公司污水处理厂进行深度处理，最终通过钦州港金鼓江排污混合区（GX056DⅣ）深海排放。</w:t>
      </w:r>
    </w:p>
    <w:p w14:paraId="4286358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运营期噪声主要来源于生产设备运行噪声，采取选用低噪声设备、基础减振、厂房隔声等综合降噪措施。</w:t>
      </w:r>
    </w:p>
    <w:p w14:paraId="1C91822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运营期固体废物废包装物、废布袋、废渣、废白土、除尘器收集粉尘和炉渣外售第三方单位资源化回收利用；废脱硫剂、废MBR膜和废离子交换树脂由生产厂家回收处置；污泥交由污泥处置单位处置；废导热油、废机油、废油桶、废含油抹布、化验室废液和废催化剂委托有资质单位清运处置；生活垃圾集中分类收集后由环卫部门清运处置。</w:t>
      </w:r>
    </w:p>
    <w:p w14:paraId="5A3D6AC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因此，项目污染物控制水平符合清洁生产的相关要求。</w:t>
      </w:r>
    </w:p>
    <w:p w14:paraId="4C57F8F1">
      <w:pPr>
        <w:pStyle w:val="9"/>
      </w:pPr>
      <w:bookmarkStart w:id="118" w:name="_Toc204062584"/>
      <w:r>
        <w:rPr>
          <w:rFonts w:hint="eastAsia"/>
        </w:rPr>
        <w:t>环境管理要求</w:t>
      </w:r>
      <w:bookmarkEnd w:id="118"/>
    </w:p>
    <w:p w14:paraId="65F60B9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建成运行后建立健全完善的环境管理机构，按照环境管理部门的要求，严格落实环境保护责任制，明确环境保护目标，实施目标管理，制定实施对策及环保措施，各装置设备按照要求将指标层层分解，制定环保目标，落实到岗、到位、到人，将环保工作纳入企业生产管理中，建立健全适应生产、防治污染的环保规章制度，层层落实环保目标责任制，坚持环保指标考核，推行清洁生产，重视宣传环保教育和培训，搞好工业污染防治、清洁生产工作。</w:t>
      </w:r>
    </w:p>
    <w:p w14:paraId="2B26A79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建设与清洁生产应同步规划、同步实施、同步发展，达到污染治理与生产技术、节约能源、降低能耗、提高产品质量相结合，推行清洁生产、综合利用、提高污染治理水平，尽可能充分利用资源，减少污染物的产生。同时在污染治理上，水污染防治以减少新鲜水用量为核心；大气污染防治以节能为核心；防治固体废物以减量化和资源化为核心。</w:t>
      </w:r>
    </w:p>
    <w:p w14:paraId="04F85DF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综上，项目符合清洁生产环境管理要求。</w:t>
      </w:r>
    </w:p>
    <w:p w14:paraId="4739AE36">
      <w:pPr>
        <w:pStyle w:val="9"/>
      </w:pPr>
      <w:bookmarkStart w:id="119" w:name="_Toc204062585"/>
      <w:r>
        <w:rPr>
          <w:rFonts w:hint="eastAsia"/>
        </w:rPr>
        <w:t>清洁生产结论</w:t>
      </w:r>
      <w:bookmarkEnd w:id="119"/>
    </w:p>
    <w:p w14:paraId="795CC77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通过对项目的原料消耗、工艺、设备、产品指标、污染物控制措施及环境管理要求的分析，项目生产工艺与设备目前已成熟，可实现生产过程物料消耗、能耗消耗降低，同时污染物产生及排放量较小，达到国内先进水平，符合清洁生产要求。</w:t>
      </w:r>
    </w:p>
    <w:p w14:paraId="70F7083C">
      <w:pPr>
        <w:widowControl/>
        <w:spacing w:line="240" w:lineRule="auto"/>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14:paraId="3E149CEC">
      <w:pPr>
        <w:pStyle w:val="7"/>
      </w:pPr>
      <w:bookmarkStart w:id="120" w:name="_Toc204062586"/>
      <w:r>
        <w:rPr>
          <w:rFonts w:hint="eastAsia"/>
        </w:rPr>
        <w:t>环境质量现状调查与评价</w:t>
      </w:r>
      <w:bookmarkEnd w:id="120"/>
    </w:p>
    <w:p w14:paraId="56E7A193">
      <w:pPr>
        <w:pStyle w:val="8"/>
        <w:numPr>
          <w:ilvl w:val="1"/>
          <w:numId w:val="36"/>
        </w:numPr>
      </w:pPr>
      <w:bookmarkStart w:id="121" w:name="_Toc204062587"/>
      <w:r>
        <w:rPr>
          <w:rFonts w:hint="eastAsia"/>
        </w:rPr>
        <w:t>自然环境概况</w:t>
      </w:r>
      <w:bookmarkEnd w:id="121"/>
    </w:p>
    <w:p w14:paraId="5EC4B9B1">
      <w:pPr>
        <w:pStyle w:val="9"/>
        <w:numPr>
          <w:ilvl w:val="2"/>
          <w:numId w:val="37"/>
        </w:numPr>
      </w:pPr>
      <w:bookmarkStart w:id="122" w:name="_Toc204062588"/>
      <w:r>
        <w:rPr>
          <w:rFonts w:hint="eastAsia"/>
        </w:rPr>
        <w:t>地理位置</w:t>
      </w:r>
      <w:bookmarkEnd w:id="122"/>
    </w:p>
    <w:p w14:paraId="773B6C7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钦州市位于广西南部，濒临北部湾畔，地理坐标北纬21°34′52″～22°28′01″，东经108°10′55″~109°09′12″。东与合浦、玉林相连，西与防城、上思接壤，北与邕宁毗邻，陆地总面积10843km</w:t>
      </w:r>
      <w:r>
        <w:rPr>
          <w:rFonts w:hint="eastAsia"/>
          <w:color w:val="0D0D0D" w:themeColor="text1" w:themeTint="F2"/>
          <w:vertAlign w:val="superscript"/>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。钦州城区离南宁市113km，距北海市100km，距防城港市65km。钦州地处广西沿海地区中心位置，是华南经济圈、西南经济圈与东盟经济圈的结合部，是连接中国西南、华南、中南与东盟大市场的重要枢纽。</w:t>
      </w:r>
    </w:p>
    <w:p w14:paraId="2EF1315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钦州湾位于广西壮族自治区南部沿海，属中国南海北部湾的一部分。钦州湾位于北部湾广西沿岸中段，东、西、北三面为陆地，南面向海，其地理坐标为东经108°30′～108°45′、北纬21°35′～21°50′。</w:t>
      </w:r>
    </w:p>
    <w:p w14:paraId="300421E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钦州港经济技术开发区距钦州市中心城区约30km，面向钦州湾和北部湾，距北海港48海里，防城港35海里，海口港150海里，湛江港250海里，香港430海里，越南海防港155海里，是我国大西南最便捷的出海通道之一。</w:t>
      </w:r>
    </w:p>
    <w:p w14:paraId="6D30028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广西钦州石化产业园位于广西壮族自治区钦州港经济开发区西北部，是钦州港经济开发区的重要组成部分，南部临海，北部与中马产业园相邻，东部为码头作业区和仓储物流区。</w:t>
      </w:r>
    </w:p>
    <w:p w14:paraId="10FF2BA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项目位于中国（广西）自由贸易试验区钦州港片区临海大道西面、勒沟东大街北面，，详见附图1。</w:t>
      </w:r>
    </w:p>
    <w:p w14:paraId="3FEF23C0">
      <w:pPr>
        <w:pStyle w:val="9"/>
      </w:pPr>
      <w:bookmarkStart w:id="123" w:name="_Toc204062589"/>
      <w:r>
        <w:rPr>
          <w:rFonts w:hint="eastAsia"/>
        </w:rPr>
        <w:t>地形地貌</w:t>
      </w:r>
      <w:bookmarkEnd w:id="123"/>
    </w:p>
    <w:p w14:paraId="39B6A34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（1）钦州市地形地貌</w:t>
      </w:r>
    </w:p>
    <w:p w14:paraId="11F4AEB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市正处于广西中部钦江和茅岭江入海口，有相对较多的沿海平原。钦州全市地势北高南低，地貌类型多样，由北往南有规律地分布山地、丘陵、台地、平原。大陆海岸线521km，茅尾海北部接纳钦江与茅岭江入海，南部散落众多岛屿。岛屿岸线长232.9km，负20m等深线以内的浅海滩涂面积19万hm</w:t>
      </w:r>
      <w:r>
        <w:rPr>
          <w:rFonts w:hint="eastAsia"/>
          <w:color w:val="0D0D0D" w:themeColor="text1" w:themeTint="F2"/>
          <w:vertAlign w:val="superscript"/>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，近期可利用的浅海滩涂面积8.8万hm</w:t>
      </w:r>
      <w:r>
        <w:rPr>
          <w:rFonts w:hint="eastAsia"/>
          <w:color w:val="0D0D0D" w:themeColor="text1" w:themeTint="F2"/>
          <w:vertAlign w:val="superscript"/>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w:t>
      </w:r>
    </w:p>
    <w:p w14:paraId="72DEE53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（2）钦州湾地形地貌</w:t>
      </w:r>
    </w:p>
    <w:p w14:paraId="0CA7AA6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湾湾口朝南，东、北、西三面丘陵环抱，是一个半封闭的天然海湾。该湾由内湾（茅尾海）、龙门水道和外湾（狭义的钦州湾）构成，其特点是，中间狭窄、两端宽阔。钦州湾口门宽25km，纵深39km，自南向北逐渐减小，在北纬21°42′~21°48′自西向东发育成龙门港~茅尾海、金鼓江、鹿耳环江等海汊，并以龙门港~茅尾海为主，实为钦州湾的内湾。钦州市两条主要江河钦江和茅岭江，分别从东北、西北向汇入茅尾海。整个海湾呈低山丘陵、微斜平原及海漫滩地貌。钦州湾由于受地质构造影响以及海水长期浸蚀，基本上没有大片宽阔平坦陆域，湾内大多为砂砾质岩岸。从青菜头至亚公山一带（即内湾南段）礁岛星罗棋布，港汊繁多，蜿蜒曲折，成为典型的台地溺谷。总的来说，该湾段分成东、西两汊，东汊为主，贯通全段，其陆岸为众多弯弯曲曲的小海汊分隔的低丘小岛，从岸线至钦州市约33km，多为低丘地貌，其间除零星散落一些村庄以外，尚无</w:t>
      </w:r>
      <w:r>
        <w:rPr>
          <w:rFonts w:hint="eastAsia"/>
          <w:color w:val="0D0D0D" w:themeColor="text1" w:themeTint="F2"/>
          <w:lang w:eastAsia="zh-CN"/>
          <w14:textFill>
            <w14:solidFill>
              <w14:schemeClr w14:val="tx1">
                <w14:lumMod w14:val="95000"/>
                <w14:lumOff w14:val="5000"/>
              </w14:schemeClr>
            </w14:solidFill>
          </w14:textFill>
        </w:rPr>
        <w:t>其他重要</w:t>
      </w:r>
      <w:r>
        <w:rPr>
          <w:rFonts w:hint="eastAsia"/>
          <w:color w:val="0D0D0D" w:themeColor="text1" w:themeTint="F2"/>
          <w14:textFill>
            <w14:solidFill>
              <w14:schemeClr w14:val="tx1">
                <w14:lumMod w14:val="95000"/>
                <w14:lumOff w14:val="5000"/>
              </w14:schemeClr>
            </w14:solidFill>
          </w14:textFill>
        </w:rPr>
        <w:t>建筑；西汊为支汊，在湾段以内分汊，较小而短，是现有龙门港之港址所在。其陆岸多为山丘地形，与企沙半岛毗连，岸线附近有龙门乡。</w:t>
      </w:r>
    </w:p>
    <w:p w14:paraId="1A259E8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亚公山以北即钦州湾内湾北段茅尾海，水域面积达113.4km</w:t>
      </w:r>
      <w:r>
        <w:rPr>
          <w:rFonts w:hint="eastAsia"/>
          <w:color w:val="0D0D0D" w:themeColor="text1" w:themeTint="F2"/>
          <w:vertAlign w:val="superscript"/>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，其北部特别在茅岭江和钦江河口附近沉积发育大片泥沙浅滩，低潮时浅滩大部分露出水面，浅滩总面积约占茅尾海湾段面积80%以上，被两江河口分流了的许多小支汊分割，形成典型的河口拦门沙。</w:t>
      </w:r>
    </w:p>
    <w:p w14:paraId="252E712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（3）港湾水域</w:t>
      </w:r>
    </w:p>
    <w:p w14:paraId="1391AD4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钦州湾内湾（即龙门-茅尾海）水域宽阔，其南段自青菜头至亚公山，南北长8.5km、东西宽5km以上，10m深水区域宽150～1000m，距岸200～500m、长8km以上，为大中型港口建设提供了极为充足的港池水域条件。</w:t>
      </w:r>
    </w:p>
    <w:p w14:paraId="33776BE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（4）航道</w:t>
      </w:r>
    </w:p>
    <w:p w14:paraId="662A7E8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由外海进入钦州湾的航道，可分西航道和东航道。</w:t>
      </w:r>
    </w:p>
    <w:p w14:paraId="6017760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西航道现状：目前钦州湾西水道能满足万吨级海轮乘潮进港要求，西航道通航尺度：航道底宽95～110m，航道设计通航水深9.6m，开挖底标高为-6.6m，航道全长24.4km；西航道全程设有灯浮标14座，助导航设施基本齐全。</w:t>
      </w:r>
    </w:p>
    <w:p w14:paraId="07A3AA7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东航道现状：东航道轴线走向由南向北，全长30.7km；进港航道规模为10万吨级单航道；航道三墩航段底宽为210m，其余航段底宽均为190m；航道设计底标高-13.0m，乘潮水位3.65m，历时3.6小时、保证率为80%。内湾自果子山至樟木环作业区港区航道为3万吨级航道，设计底宽110m，设计通航水深12.3m，航道设计底标高为-8.9m，乘潮水位3.43m，历时3小时、保证率为90%。目前在建的钦州港30万吨级进港航道按单向乘潮通航30万吨级油轮设计，起于三墩以南钦州湾外-21.0m水深处，终于钦州港10万吨级航道的起点处，航道走向9°～189°，航道长34.3km，航道设计有效宽320m。</w:t>
      </w:r>
    </w:p>
    <w:p w14:paraId="1740B1F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（5）海岸及海岸类型、海底地貌</w:t>
      </w:r>
    </w:p>
    <w:p w14:paraId="1F4E923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湾的地貌类型比较复杂。按照地貌成因类型和形态特征，钦州湾沿岸地貌和海底地貌，可划分为：侵蚀-剥蚀构造地貌、古洪积-冲积地貌、河流冲积地貌、河海混合堆积地貌-三角洲、海蚀地貌、海积地貌和海底地貌等7种类型。</w:t>
      </w:r>
    </w:p>
    <w:p w14:paraId="17CAEEA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调查海域海岸类型主要有：淤泥质海岸、砂质海岸、基岩海岸、溺谷湾海岸、三角洲海岸和红树林海岸等。</w:t>
      </w:r>
    </w:p>
    <w:p w14:paraId="244B3DB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（6）岸线与陆域</w:t>
      </w:r>
    </w:p>
    <w:p w14:paraId="3DBC571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湾内自青菜头至亚公山一带，海阔水深，具有良好的建港条件，其东岸可利用岸线长达6～8km。陆域边缘滩地平坦，港汊发育，形态蜿蜒曲折，弱谷型的低丘岛屿星罗棋布，分布纵深达3km，其高度20～50m。岸线以内，丘陵起伏，绵延数十公里，田地较少，村落稀疏，可开发潜力很大，是建设大型海港和工业区的理想之地。</w:t>
      </w:r>
    </w:p>
    <w:p w14:paraId="7D666FC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（7）钦州石化产业园地形地貌</w:t>
      </w:r>
    </w:p>
    <w:p w14:paraId="0C738BB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所在的钦州石化产业园区域地貌上原属滨海滩涂地貌，大部分区域为低山丘陵谷和浅滩，北高南低。丘陵山体不大，多为孤丘，坡度较小，平均海拔为15～20m，分布在港区北部；其中以对坎龙水库周围的山体较为密集，平均高度60～70m，最高的山体高达140m。南部为沿海滩涂，地势低洼。现状产业园所在位置大部分为填海区，场地地势平坦，地形起伏不大，地面高程5.41～6.62m。</w:t>
      </w:r>
    </w:p>
    <w:p w14:paraId="3F140242">
      <w:pPr>
        <w:pStyle w:val="9"/>
      </w:pPr>
      <w:bookmarkStart w:id="124" w:name="_Toc204062590"/>
      <w:r>
        <w:rPr>
          <w:rFonts w:hint="eastAsia"/>
        </w:rPr>
        <w:t>地质特征</w:t>
      </w:r>
      <w:bookmarkEnd w:id="124"/>
    </w:p>
    <w:p w14:paraId="666C9116">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（涉密，公示本已删除）</w:t>
      </w:r>
    </w:p>
    <w:p w14:paraId="369064CB">
      <w:pPr>
        <w:pStyle w:val="9"/>
      </w:pPr>
      <w:bookmarkStart w:id="125" w:name="_Toc204062591"/>
      <w:r>
        <w:rPr>
          <w:rFonts w:hint="eastAsia"/>
        </w:rPr>
        <w:t>气象气候</w:t>
      </w:r>
      <w:bookmarkEnd w:id="125"/>
    </w:p>
    <w:p w14:paraId="15766557">
      <w:pPr>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钦州市属南亚热带季风气候区，具有亚热带向热带过渡性质的海洋季风气候特点，热量丰富，日照时间长。年日照时间时数为1800h左右，年平均气温为21℃～23℃。钦州市一月份最冷，月平均气温在13℃～14℃之间，极端最低气温为0℃，无霜期在350天以上；七月份最热，月平均气温在28℃～29℃之间极端最高气温为38.8℃。年主导风向为北风，频率为21%。多年平均风速2.3m/s，极大风速30.0m/s。</w:t>
      </w:r>
    </w:p>
    <w:p w14:paraId="54C029E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（1）气温</w:t>
      </w:r>
    </w:p>
    <w:p w14:paraId="4F627561">
      <w:pPr>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根据钦州气象站的统计资料（2001年至2020年），钦州气象站累年月平均气温7月气温最高（28.84℃），1月气温最低（14.07℃）。累年极端最高气温为36.8℃，极值出现在2005年7月19日（37.9℃），累年极端最低气温为5.0℃，极值出现在2016年1月24日（1.6℃）。近20年气温无明显变化趋势，2015年年平均气温最高（23.80℃），2011年年平均气温最低（22.20℃），周期为5年。</w:t>
      </w:r>
    </w:p>
    <w:p w14:paraId="7100DC9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（2）风况</w:t>
      </w:r>
    </w:p>
    <w:p w14:paraId="6ABA144C">
      <w:pPr>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根据钦州气象站常规气象统计（2001~2020），区域季风分布特征比较明显，每年5~8月多偏S向风，尤以6~7月最多，9月至翌年3月多偏N向风，4月为偏N向气旋和偏S向气旋交替时期。多年主导风向为N向，频率为16.5%，次常风向为NNE向，频率为10%；强风向为N向，多年平均风速2.2m/s，2016年年平均风速最大（3.07m/s），2014年年平均风速最小（1.80m/s）。</w:t>
      </w:r>
    </w:p>
    <w:p w14:paraId="10EB41A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（3）降水</w:t>
      </w:r>
    </w:p>
    <w:p w14:paraId="0799E946">
      <w:pPr>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钦州市濒临海洋，夏秋两季常受热带风暴的影响，雨量充沛。据统计，钦州市多年平均降雨量为1764.5mm。年内降雨多集中在汛期4～9月份，这段时间的雨量一般可占全年总降雨量的80%以上，月最大降雨量多出现在七、八月份。由于多种因素的影响，降雨量年际变化较大，变差系数CV值约为0.2，最大与最小雨量差值在1000mm以上。灵山县灵东水库1961年降雨量为2436.3mm，而1989年降雨量仅为867.2mm，差值为1569.1mm。</w:t>
      </w:r>
    </w:p>
    <w:p w14:paraId="330F2F2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（4）湿度及蒸发量</w:t>
      </w:r>
    </w:p>
    <w:p w14:paraId="6891450F">
      <w:pPr>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钦州市相对湿度以春季3月和雨季6~8月为最大，10月到次年1月为相对湿度低值期。多年平均相对湿度为82%，历史最大相对湿度达100%，历史最小相对湿度为22%。</w:t>
      </w:r>
    </w:p>
    <w:p w14:paraId="4954E3BF">
      <w:pPr>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钦州市水面蒸发以七月份最大，二月份最小。钦南、钦北区多年平均水面蒸发量为860.2mm；灵山县多年平均水面蒸发量为875.9mm；浦北县多年平均水面蒸发量为848.0。全市陆面蒸发量为870.0mm。</w:t>
      </w:r>
    </w:p>
    <w:p w14:paraId="7390ABD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（5）海洋灾害气象</w:t>
      </w:r>
    </w:p>
    <w:p w14:paraId="659D3EE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钦州湾主要海洋灾害气象有：热带气旋（台风）、风暴潮、低温阴雨、暴雨、海雾等。</w:t>
      </w:r>
    </w:p>
    <w:p w14:paraId="5C82078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①热带气旋</w:t>
      </w:r>
    </w:p>
    <w:p w14:paraId="343AF4A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热带气旋是夏半年袭击北部湾海洋，对广西沿海地区危害最大的一种海洋灾害。每年5月～11月属热带气旋影响季节，以7月～9月居多，其中尤以8月为最多，占全年热带气旋影响总次数的26.3％，平均每年有2.4次。就广西沿海来说，由于该湾特殊的地理环境，受台风影响的次数相对较少，即使在台风环流影响下，钦州湾定时风力6级的累年平均出现天数为0.63d；8级的累年平均出现天数为0.15d/a，但作为一种灾害性天气，热带气旋对钦州湾的危害有时也是相当严重的。</w:t>
      </w:r>
    </w:p>
    <w:p w14:paraId="54C83B0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②风暴潮</w:t>
      </w:r>
    </w:p>
    <w:p w14:paraId="4442CA3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风暴潮是由强烈的大气扰动而引起的水位异常升降现象，较大风暴潮一般都是由台风引起。广西沿海是受台风暴潮影响较为频繁的地区之一，台风暴潮灾害常有发生。</w:t>
      </w:r>
    </w:p>
    <w:p w14:paraId="568E6AE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钦州湾受热带气旋引发的风暴潮多见于夏秋季节热带气旋鼎盛时期，其特点是来势猛、速度快、强度大、破坏力强。当风暴潮与天文潮的高潮段重合时，风暴潮增水往往超过警戒水位，引发严重的海洋灾害。</w:t>
      </w:r>
    </w:p>
    <w:p w14:paraId="30A80C6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③暴雨</w:t>
      </w:r>
    </w:p>
    <w:p w14:paraId="339E992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湾沿岸地形低平，雨量丰富，是广西沿岸暴雨最多的地区之一。以钦州市为例，累年平均雨量≥50mm的暴雨日数为9.7d；累年平均雨量≥80mm的暴雨天数为4.2d；≥l00mm的暴雨日数为2.5d。暴雨一年四季均可出现，以夏季6月～8月最多，暴雨天数占全年的73%，其中以7月居多，占全年暴雨量的28%。在钦江、茅岭江流域平均每年出现洪涝0.9次，平均维持时间为26h。</w:t>
      </w:r>
    </w:p>
    <w:p w14:paraId="66675C8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④海雾</w:t>
      </w:r>
    </w:p>
    <w:p w14:paraId="14749DB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广西沿海及北部湾的雾一年四季均可出现，平均每年海上雾日20d～25d，历年最多雾日32d（1985年）。海雾多发于春季（11月～翌年4月），尤以3月份最多；海雾生成从早晨4h～5h为多，持续时间一般为3h～4h，最长可持续1d。</w:t>
      </w:r>
    </w:p>
    <w:p w14:paraId="58D2341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⑤局地强对流灾害性天气</w:t>
      </w:r>
    </w:p>
    <w:p w14:paraId="7ACF3E0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主要有雷暴、雹线、龙卷风及冰雹等。此类天气一般影响时间短、范围小，但发生突然、来势凶猛、强度大，因而常常造成严重灾害。</w:t>
      </w:r>
    </w:p>
    <w:p w14:paraId="4554A9F4">
      <w:pPr>
        <w:pStyle w:val="9"/>
      </w:pPr>
      <w:bookmarkStart w:id="126" w:name="_Toc204062592"/>
      <w:r>
        <w:rPr>
          <w:rFonts w:hint="eastAsia"/>
        </w:rPr>
        <w:t>海洋水文</w:t>
      </w:r>
      <w:bookmarkEnd w:id="126"/>
    </w:p>
    <w:p w14:paraId="3A825D7D">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（1）潮汐</w:t>
      </w:r>
    </w:p>
    <w:p w14:paraId="45EF2FF8">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区域所处钦州湾潮型为不规则全日潮，系由太平洋潮传入南海后进入北部湾，受北部湾反射波的干涉及地理条件影响而形成。其主要特征表现为：大潮汛时潮汐一天一次涨落，小潮汛时一天两次涨落，据资料统计，一个月一天一次涨落时间约为19~25天。</w:t>
      </w:r>
    </w:p>
    <w:p w14:paraId="3A002EC5">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钦州湾自1966年起在龙门港设有潮汐站，根据该站1966-1987年实测潮汐资料统计，钦州湾潮位特征详见表4.1-1。</w:t>
      </w:r>
    </w:p>
    <w:p w14:paraId="3E88F698">
      <w:pPr>
        <w:pStyle w:val="2"/>
        <w:ind w:firstLine="24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14:paraId="08DC5867">
      <w:pPr>
        <w:pStyle w:val="11"/>
      </w:pPr>
      <w:r>
        <w:rPr>
          <w:rFonts w:hint="eastAsia"/>
        </w:rPr>
        <w:t xml:space="preserve"> 广西北部湾近岸海域夏季环流模式</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1155"/>
        <w:gridCol w:w="1386"/>
        <w:gridCol w:w="1616"/>
        <w:gridCol w:w="1616"/>
        <w:gridCol w:w="1155"/>
        <w:gridCol w:w="1159"/>
      </w:tblGrid>
      <w:tr w14:paraId="30E36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25" w:type="pct"/>
            <w:vAlign w:val="center"/>
          </w:tcPr>
          <w:p w14:paraId="5330F4CB">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最高潮位</w:t>
            </w:r>
          </w:p>
        </w:tc>
        <w:tc>
          <w:tcPr>
            <w:tcW w:w="625" w:type="pct"/>
            <w:vAlign w:val="center"/>
          </w:tcPr>
          <w:p w14:paraId="182BDF79">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最低潮位</w:t>
            </w:r>
          </w:p>
        </w:tc>
        <w:tc>
          <w:tcPr>
            <w:tcW w:w="750" w:type="pct"/>
            <w:vAlign w:val="center"/>
          </w:tcPr>
          <w:p w14:paraId="6628E29F">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多年均潮位</w:t>
            </w:r>
          </w:p>
        </w:tc>
        <w:tc>
          <w:tcPr>
            <w:tcW w:w="874" w:type="pct"/>
            <w:vAlign w:val="center"/>
          </w:tcPr>
          <w:p w14:paraId="498ADA68">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多年均高潮位</w:t>
            </w:r>
          </w:p>
        </w:tc>
        <w:tc>
          <w:tcPr>
            <w:tcW w:w="874" w:type="pct"/>
            <w:vAlign w:val="center"/>
          </w:tcPr>
          <w:p w14:paraId="6EE9B027">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多年均低潮位</w:t>
            </w:r>
          </w:p>
        </w:tc>
        <w:tc>
          <w:tcPr>
            <w:tcW w:w="625" w:type="pct"/>
            <w:vAlign w:val="center"/>
          </w:tcPr>
          <w:p w14:paraId="1617C959">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最大潮位</w:t>
            </w:r>
          </w:p>
        </w:tc>
        <w:tc>
          <w:tcPr>
            <w:tcW w:w="625" w:type="pct"/>
            <w:vAlign w:val="center"/>
          </w:tcPr>
          <w:p w14:paraId="29941481">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平均潮位</w:t>
            </w:r>
          </w:p>
        </w:tc>
      </w:tr>
      <w:tr w14:paraId="5E9A2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5" w:type="pct"/>
            <w:vAlign w:val="center"/>
          </w:tcPr>
          <w:p w14:paraId="1E5B7018">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+5.83m</w:t>
            </w:r>
          </w:p>
        </w:tc>
        <w:tc>
          <w:tcPr>
            <w:tcW w:w="625" w:type="pct"/>
            <w:vAlign w:val="center"/>
          </w:tcPr>
          <w:p w14:paraId="34E80D0E">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-0.69m</w:t>
            </w:r>
          </w:p>
        </w:tc>
        <w:tc>
          <w:tcPr>
            <w:tcW w:w="750" w:type="pct"/>
            <w:vAlign w:val="center"/>
          </w:tcPr>
          <w:p w14:paraId="45499EBD">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+2.39m</w:t>
            </w:r>
          </w:p>
        </w:tc>
        <w:tc>
          <w:tcPr>
            <w:tcW w:w="874" w:type="pct"/>
            <w:vAlign w:val="center"/>
          </w:tcPr>
          <w:p w14:paraId="345B8B88">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+3.66m</w:t>
            </w:r>
          </w:p>
        </w:tc>
        <w:tc>
          <w:tcPr>
            <w:tcW w:w="874" w:type="pct"/>
            <w:vAlign w:val="center"/>
          </w:tcPr>
          <w:p w14:paraId="3704B633">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+1.15m</w:t>
            </w:r>
          </w:p>
        </w:tc>
        <w:tc>
          <w:tcPr>
            <w:tcW w:w="625" w:type="pct"/>
            <w:vAlign w:val="center"/>
          </w:tcPr>
          <w:p w14:paraId="4ACE9B8B">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5.52m</w:t>
            </w:r>
          </w:p>
        </w:tc>
        <w:tc>
          <w:tcPr>
            <w:tcW w:w="625" w:type="pct"/>
            <w:vAlign w:val="center"/>
          </w:tcPr>
          <w:p w14:paraId="7331F53D">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2.51m</w:t>
            </w:r>
          </w:p>
        </w:tc>
      </w:tr>
      <w:tr w14:paraId="1A892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7"/>
            <w:vAlign w:val="center"/>
          </w:tcPr>
          <w:p w14:paraId="3A1A35A8">
            <w:pPr>
              <w:pStyle w:val="4"/>
              <w:spacing w:after="0" w:line="240" w:lineRule="auto"/>
              <w:ind w:left="0" w:leftChars="0" w:firstLine="0" w:firstLineChars="0"/>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注：以果子山理论深度基面为潮位起算面，该基面比国家85黄海高程基面低1.86m。</w:t>
            </w:r>
          </w:p>
        </w:tc>
      </w:tr>
    </w:tbl>
    <w:p w14:paraId="6BE2DAED">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（2）波浪</w:t>
      </w:r>
    </w:p>
    <w:p w14:paraId="64B26F70">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北部湾海域是一个半封闭海域，西临中南半岛，北面为广西大陆，东、南面分别受雷州半岛和海南掩护，海域掩护条件较好，波动能力相对较弱。钦州湾处于北部湾中部，湾口东部有三娘湾波浪站；根据该波浪站1991~2002年，所测波高资料统计：海区波浪以风浪为主，常浪向为SSW向、频率占17.67%，其次是NNE向、频率为17.2%；强浪向为SSW向，次强浪向为S向和NE向；本海区实测最大波高为3.4m，波向为ESE向；实测最大周期为6.8s。据统计，本区波级小于0.5m的发生频率为66.37%，波高小于1.0m发生频率为96.21%，大于1.5m波高出现频率仅为1.1%。</w:t>
      </w:r>
    </w:p>
    <w:p w14:paraId="2C6A0EEE">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（3）潮流</w:t>
      </w:r>
    </w:p>
    <w:p w14:paraId="1B7041E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钦州湾以涨落潮的往复流潮流为主。涨潮方向指北，即涨潮流由南进入湾内后，受东侧边界的影响，在东侧呈NNW流向青菜头，并沿潮汐通道进入茅尾海。</w:t>
      </w:r>
    </w:p>
    <w:p w14:paraId="02CC04E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落潮流由茅尾海向外，沿潮汐通道直冲青菜头，而后由北向南逐渐向SW方向偏转。涨落潮流均与航道走向大体一致，落潮潮流可将携带的泥沙向外海推移。钦州湾内涨潮平均流速为8cm/s～28cm/s，最大为54cm/s，落潮平均流速为9cm/s～55cm/s，最大流速为95cm/s。落潮平均流速和最大流速均较涨潮大。</w:t>
      </w:r>
    </w:p>
    <w:p w14:paraId="41597167">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钦州湾涨落潮流特征为：落潮流速大于涨潮流速；东部最大涨落潮流速小于西部；夏季落潮流速大于冬季。龙门水道附近的流速最大，而其余区域的流速相对较小。</w:t>
      </w:r>
    </w:p>
    <w:p w14:paraId="51CF291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（4）泥沙</w:t>
      </w:r>
    </w:p>
    <w:p w14:paraId="11E1C569">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钦州湾海区含沙量较小，平均含沙量仅为0.029kg/m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，实测瞬时最大含沙量出现于夏季，茅尾海内为0.35kg/m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，拦门沙段为0.08kg/m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而冬季含沙量几乎为零。钦州湾悬沙含量等值线图与沉积物中值粒径等值线图分布十分相似，即泥质沉积物区海水含沙量高，砂质沉积物区海水含沙量低。相应悬沙平面分布出现高、中、低三个区域。高值区出现于内湾，由内湾口向湾顶含沙量递增，特别是湾顶两河口处等值线呈密集分布，平均浓度28mg/L，最高达82mg/L。中值区分布于外湾，由海向岸含沙量递增，平均浓度8.3mg/L。低值区位于钦州湾领海区，平均浓度3.8mg/L。由此可见，钦州湾内的海水含沙量主要与水动力条件下底质细颗粒物质的再掀起悬浮和河流输沙的运移有关。</w:t>
      </w:r>
    </w:p>
    <w:p w14:paraId="7DE163AF">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来自钦江、茅岭江的泥沙受潮流的影响，粗粒泥沙（粗粉砂以上粒级）在江流和潮流共同作用下，在河口区形成河口沙脊、沙嘴等砂质堆积体，如紫沙、四方沙、按马沙、石西沙等，这些沙脊在形成过程中潮流起了主导作用，因而它走向为南北向。而另一部分粗粒物质、湾内水域由于狭窄的中部（颈部）龙门潮流通道屏障，只有在落潮流和洪水期径流作用下，运移到湾口地区沉积，而深水槽由于流急仅有微量沉积。因此，有利于东、西深水槽（航道）的稳定，泥沙淤积少。</w:t>
      </w:r>
    </w:p>
    <w:p w14:paraId="73397109">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来自钦州、茅岭江及其周围沿岸的细粒级泥沙（细粉砂以上粒级）在潮流作用下，一部分在内湾低能区沉积，形成粉砂质粘土潮间浅滩，如内湾（茅尾海）的南定坪和大牛栏浅滩；另一部分在落潮流作用下，经湾颈部向外湾输移。由于湾口波浪作用强烈，所以，海岸侵蚀比较严重，由波浪侵蚀的海岸产物和河流输出湾内的大量物质因潮流科氏力作用下使其主流偏西，在频率达37.6％的南南西（SSW）强波浪作用下，海岸侵蚀产物向东北运移与河流输出物质混合，因企沙半岛对波浪的阻挡，使钦州湾口西侧形成波影区，并与偏西侧形成规模较大的山心沙堤，宽广的（2km～3km）水下浅滩和栏门浅滩（二口沙和散顶沙）。沉积物以细砂为主，分选程度极好；在湾口东侧，因在西南浪的正向作用，岸滩大部分在岩裸露，如大面墩、乌雷炮台和东背岭等，另一部分即使有海滩，亦只有30m～50m宽，且坡度较大，达15°～25°，物质较粗，涨潮流将其细粒产物向湾内搬运；在湾口中部，在波浪和潮流的叠加作用下形成老人沙等潮流沙脊，老人沙与相邻两个规模较小的潮流沙脊形成一个“小”字型向南辐射；在湾口外水深相对较大的开敞区，波浪作用很小，影响到海底，沉积物沉积后较少受到改造，呈现混杂的絮凝沉积特性。</w:t>
      </w:r>
    </w:p>
    <w:p w14:paraId="74CD9AD9">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（5）金鼓江海域</w:t>
      </w:r>
    </w:p>
    <w:p w14:paraId="366F7143">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项目北侧紧邻金鼓江海域，金鼓江海域潮汐属不正规全日潮型，半月周期的新老潮期交替时每日出现两次高潮和低潮，</w:t>
      </w:r>
      <w:r>
        <w:rPr>
          <w:rFonts w:hint="eastAsia"/>
          <w:color w:val="0D0D0D" w:themeColor="text1" w:themeTint="F2"/>
          <w:u w:val="single"/>
          <w:lang w:eastAsia="zh-CN"/>
          <w14:textFill>
            <w14:solidFill>
              <w14:schemeClr w14:val="tx1">
                <w14:lumMod w14:val="95000"/>
                <w14:lumOff w14:val="5000"/>
              </w14:schemeClr>
            </w14:solidFill>
          </w14:textFill>
        </w:rPr>
        <w:t>春潮</w:t>
      </w:r>
      <w:r>
        <w:rPr>
          <w:rFonts w:hint="eastAsia"/>
          <w:color w:val="0D0D0D" w:themeColor="text1" w:themeTint="F2"/>
          <w:u w:val="single"/>
          <w14:textFill>
            <w14:solidFill>
              <w14:schemeClr w14:val="tx1">
                <w14:lumMod w14:val="95000"/>
                <w14:lumOff w14:val="5000"/>
              </w14:schemeClr>
            </w14:solidFill>
          </w14:textFill>
        </w:rPr>
        <w:t>期则为一次高潮和一次低潮。平均潮差约0.96～0.99米，最大潮差可达2.18米，涨潮历时较短（平均4小时24分），落潮历时较长（平均18小时42分），呈现明显不对称性，台风、寒潮或洪水可能导致增减水变化，影响实际潮位。</w:t>
      </w:r>
    </w:p>
    <w:p w14:paraId="488E4796">
      <w:pPr>
        <w:pStyle w:val="9"/>
      </w:pPr>
      <w:bookmarkStart w:id="127" w:name="_Toc204062593"/>
      <w:r>
        <w:rPr>
          <w:rFonts w:hint="eastAsia"/>
        </w:rPr>
        <w:t>河流水系</w:t>
      </w:r>
      <w:bookmarkEnd w:id="127"/>
    </w:p>
    <w:p w14:paraId="6332F02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钦州境内河流众多，计有大小独流入海河流32条，河流总长2794km，河网密度为0.6km/km</w:t>
      </w:r>
      <w:r>
        <w:rPr>
          <w:rFonts w:hint="eastAsia"/>
          <w:color w:val="0D0D0D" w:themeColor="text1" w:themeTint="F2"/>
          <w:vertAlign w:val="superscript"/>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。流域面积在1800km</w:t>
      </w:r>
      <w:r>
        <w:rPr>
          <w:rFonts w:hint="eastAsia"/>
          <w:color w:val="0D0D0D" w:themeColor="text1" w:themeTint="F2"/>
          <w:vertAlign w:val="superscript"/>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以上的河流主要有钦江、茅岭江和大风江，均属桂南沿海独流入海水系。三条江在市境内干流总长307.4km，市内流域面积4164km</w:t>
      </w:r>
      <w:r>
        <w:rPr>
          <w:rFonts w:hint="eastAsia"/>
          <w:color w:val="0D0D0D" w:themeColor="text1" w:themeTint="F2"/>
          <w:vertAlign w:val="superscript"/>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，年总径流量64.8亿m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年。流入钦州湾的河流有钦江、茅岭江、金鼓江、鹿耳环江等。其中，钦江和茅岭江为流入钦州湾的主要河流，且为常年河流，它们分别从东北、西北向汇入钦州湾海域，对钦州湾及其邻近水域的泥沙来源、航道、污染和水文环境等都有重要的影响。金鼓江、鹿耳环江为海岔，其水文状况受海洋潮汐影响极大。</w:t>
      </w:r>
    </w:p>
    <w:p w14:paraId="2F86CDC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项目紧邻金鼓江入海口，区内主要河道有金鼓江及望鸦江，两者汇合流入钦州湾。金鼓江属感潮河段，河水明显受钦州湾潮汐影响。附近水库主要有金窝水库、企山水库、深坪水库、坎龙水库和湴龙江水库。</w:t>
      </w:r>
    </w:p>
    <w:p w14:paraId="61E03D61">
      <w:pPr>
        <w:pStyle w:val="9"/>
      </w:pPr>
      <w:bookmarkStart w:id="128" w:name="_Toc204062594"/>
      <w:r>
        <w:rPr>
          <w:rFonts w:hint="eastAsia"/>
        </w:rPr>
        <w:t>区域水文地质</w:t>
      </w:r>
      <w:bookmarkEnd w:id="128"/>
    </w:p>
    <w:p w14:paraId="4D0B52AF">
      <w:pPr>
        <w:pStyle w:val="10"/>
      </w:pPr>
      <w:r>
        <w:rPr>
          <w:rFonts w:hint="eastAsia"/>
        </w:rPr>
        <w:t>区域水文地质条件</w:t>
      </w:r>
    </w:p>
    <w:p w14:paraId="7109ABE7">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（涉密，公示本已删除）。</w:t>
      </w:r>
    </w:p>
    <w:p w14:paraId="535E1DAA">
      <w:pPr>
        <w:pStyle w:val="10"/>
      </w:pPr>
      <w:r>
        <w:rPr>
          <w:rFonts w:hint="eastAsia"/>
        </w:rPr>
        <w:t>场区水文地质条件</w:t>
      </w:r>
    </w:p>
    <w:p w14:paraId="21369534">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（涉密，公示本已删除）</w:t>
      </w:r>
    </w:p>
    <w:p w14:paraId="79239265">
      <w:pPr>
        <w:ind w:firstLine="480" w:firstLineChars="200"/>
        <w:rPr>
          <w:color w:val="0D0D0D" w:themeColor="text1" w:themeTint="F2"/>
          <w:u w:val="single"/>
          <w14:textFill>
            <w14:solidFill>
              <w14:schemeClr w14:val="tx1">
                <w14:lumMod w14:val="95000"/>
                <w14:lumOff w14:val="5000"/>
              </w14:schemeClr>
            </w14:solidFill>
          </w14:textFill>
        </w:rPr>
      </w:pPr>
    </w:p>
    <w:p w14:paraId="4A8B95AB">
      <w:pPr>
        <w:pStyle w:val="2"/>
        <w:ind w:firstLine="24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14:paraId="20487B53">
      <w:pPr>
        <w:pStyle w:val="11"/>
      </w:pPr>
      <w:r>
        <w:rPr>
          <w:rFonts w:hint="eastAsia"/>
        </w:rPr>
        <w:t xml:space="preserve"> 各土岩层渗透系数建议取最大值</w:t>
      </w:r>
    </w:p>
    <w:p w14:paraId="580EE118">
      <w:pPr>
        <w:ind w:firstLine="480" w:firstLineChars="200"/>
        <w:jc w:val="center"/>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（涉密，公示本已删除）</w:t>
      </w:r>
    </w:p>
    <w:p w14:paraId="754D4F0B">
      <w:pPr>
        <w:pStyle w:val="9"/>
      </w:pPr>
      <w:bookmarkStart w:id="129" w:name="_Toc204062595"/>
      <w:r>
        <w:rPr>
          <w:rFonts w:hint="eastAsia"/>
        </w:rPr>
        <w:t>自然资源</w:t>
      </w:r>
      <w:bookmarkEnd w:id="129"/>
    </w:p>
    <w:p w14:paraId="34F6252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（1）土壤资源</w:t>
      </w:r>
    </w:p>
    <w:p w14:paraId="2623B36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市土壤的成土母岩和母质主要有砂页岩、花岗岩、砂岩、紫色岩系、浅海沉积物、第四纪红土和河流冲积物等七种，此外还有页岩、粉砂岩、灰岩、石灰岩等。由于成土母质较多，形成的土壤种类也较多。成土母质主要是沙页岩与花岗岩，呈带状相间分布。地势平缓，大部分已垦殖为耕作土壤。其分布规律是：从垌田到丘陵依次为沙页岩或花岗岩母质潴育性水稻土-淹育性水稻土-耕型沙页岩或花岗岩赤（砖）红壤-沙页岩或花岗岩赤（砖）红岩（林业土壤）。</w:t>
      </w:r>
    </w:p>
    <w:p w14:paraId="42A5933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（2）植被资源</w:t>
      </w:r>
    </w:p>
    <w:p w14:paraId="13DEC3C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市有陆地野生植物150科476属765种。其中，被子植物128科441属723种，裸子植物6科10属11种，蕨类植物16科25属31种。以茶科、壳斗科、松科、桃金娘科、木兰科和禾本科为优势。属国家重点保护的珍贵植物有木沙椤、马蹄森、格木、狭叶坡垒、福建柏、观光木、华南椎、蝴蝶果、假山龙眼、樟树、红椎等，主要分布在浦北县的六万大山、五皇岭及钦北区的王岗山。另在海河交汇处及浅海滩涂分布有热带海岸特有的植被——红树林，有15科22种，以桐花群落为主，其次为秋茄群落和白骨壤群落。</w:t>
      </w:r>
    </w:p>
    <w:p w14:paraId="640973C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（3）动物资源</w:t>
      </w:r>
    </w:p>
    <w:p w14:paraId="06DF1F0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市自然分布的陆生野生脊椎动物76科271种。其中，两栖类7种，主要有青蛙、山蛙、沼蛙、蟾蜍等；爬行类21种，主要有眼镜蛇、金环蛇、银环蛇、百步蛇、三素锦蛇、水律蛇、蛤蚧、龟等；鸟类186种，主要有画眉、鹧鸪、鹩哥、鹦鹉、山雀、白鹭、大白鹭、牛背鹭等；哺乳类62种，主要有野猪、豪猪、果子狸、猪獾、抓鸡虎、松鼠、竹鼠等。国家公布的一级、二级陆生野生动物主要分布在浦北县的六万山、钦北区的王岗山及广西茅尾海红树林自治区级自然保护区。</w:t>
      </w:r>
    </w:p>
    <w:p w14:paraId="27B4D06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东南面约12km处的三娘湾海域分布有中华白海豚，未设置中华白海豚自然保护区。白海豚是我国I级保护动物，属于暖水性鲸豚类，隶属于鲸目齿鲸亚目海豚科，现存北部湾白海豚的主要分布区域为大风江口南部海域（共约350km</w:t>
      </w:r>
      <w:r>
        <w:rPr>
          <w:rFonts w:hint="eastAsia"/>
          <w:color w:val="0D0D0D" w:themeColor="text1" w:themeTint="F2"/>
          <w:vertAlign w:val="superscript"/>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），其中三墩沙一线以东至钦州-北海交界一线以西水深不超过8m的海域为其密集分布区（共约180km</w:t>
      </w:r>
      <w:r>
        <w:rPr>
          <w:rFonts w:hint="eastAsia"/>
          <w:color w:val="0D0D0D" w:themeColor="text1" w:themeTint="F2"/>
          <w:vertAlign w:val="superscript"/>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w:t>
      </w:r>
    </w:p>
    <w:p w14:paraId="5EACA34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（4）海洋生物资源</w:t>
      </w:r>
    </w:p>
    <w:p w14:paraId="34F2801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湾经济价值较高的渔类有60多种，虾蟹类30多种，贝类110种，历来是沿岸群众耕海牧渔的重要场所，许多海产珍品，尤其是四大名产（香港巨牡蛎、青蟹、对虾和石斑鱼）早已驰名中外，作为香港巨牡蛎、青蟹、鲈鱼等重要海水养殖品种的天然产地，每年均向区内外养殖场提供了大量的天然种苗，是中国南方最大的天然大蚝采苗和养殖加工基地，享有“中国大蚝之乡”的美誉。同时，钦州湾还出产鲈鱼、真鲷、黄鳍鲷、黑鲷、二长棘鲷、鱿鱼等。</w:t>
      </w:r>
    </w:p>
    <w:p w14:paraId="686DF10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市20m水深以内的浅海有虾类35种，蟹类191种，螺类143种，贝类178种，头足类17种，鱼类326种。其中主要捕捞的鱼类有二长棘鲷、圆腹鲱、棕斑兔头鲀、短吻鱼、斑点马鲛、丽叶鲹、宝刀鱼、鲐鱼、真鲷、白姑鱼、金钱鱼等20余种主要经济鱼类；虾类有赤须虾、刀额新对虾、长足鹰爪虾、日本对虾、长毛对虾、墨吉对虾等10多种经济虾类；还有火枪乌贼、拟目乌贼等3种头足类，此外，香港巨牡蛎、文蛤、毛蚶、方格星虫、锯缘青蟹和江蓠等主要浅海滩涂经济生物分布广泛，资源最大。钦州市浅海鱼类资源量估计为4200t/a，可捕捞量约为2100t/a。</w:t>
      </w:r>
    </w:p>
    <w:p w14:paraId="13DF3DF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（5）矿产资源</w:t>
      </w:r>
    </w:p>
    <w:p w14:paraId="419A86F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市有46种矿产，矿床及矿点共176处，小型规模以上有46处，其中大型石膏矿床一处（钦灵石膏矿床），中型铅锌矿床和稀土矿床各1处，煤、陶瓷土、油页岩、锰、铁、钛、磷、高岭土、水泥用灰岩、水泥配料用页岩、建筑材料用灰岩、建筑材料用花岗岩等矿床130处。已经开发利用的主要矿种有铅锌矿、煤矿、锰矿（氧化锰）、陶瓷土、石膏矿、钛铁砂矿、石灰岩、花岗岩及建筑用砂等。钦州湾沿岸海域的矿产资源主要包括：犀牛脚三娘湾大型钛铁矿，面积107.5km</w:t>
      </w:r>
      <w:r>
        <w:rPr>
          <w:rFonts w:hint="eastAsia"/>
          <w:color w:val="0D0D0D" w:themeColor="text1" w:themeTint="F2"/>
          <w:vertAlign w:val="superscript"/>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，钛铁储量约600×10</w:t>
      </w:r>
      <w:r>
        <w:rPr>
          <w:rFonts w:hint="eastAsia"/>
          <w:color w:val="0D0D0D" w:themeColor="text1" w:themeTint="F2"/>
          <w:vertAlign w:val="superscript"/>
          <w14:textFill>
            <w14:solidFill>
              <w14:schemeClr w14:val="tx1">
                <w14:lumMod w14:val="95000"/>
                <w14:lumOff w14:val="5000"/>
              </w14:schemeClr>
            </w14:solidFill>
          </w14:textFill>
        </w:rPr>
        <w:t>4</w:t>
      </w:r>
      <w:r>
        <w:rPr>
          <w:rFonts w:hint="eastAsia"/>
          <w:color w:val="0D0D0D" w:themeColor="text1" w:themeTint="F2"/>
          <w14:textFill>
            <w14:solidFill>
              <w14:schemeClr w14:val="tx1">
                <w14:lumMod w14:val="95000"/>
                <w14:lumOff w14:val="5000"/>
              </w14:schemeClr>
            </w14:solidFill>
          </w14:textFill>
        </w:rPr>
        <w:t>t，以及伴生的锆英石、金红石、独居石等近100万t；犀牛脚乌雷和龙港（炮台）的黑云母花岗岩大型矿床，面积20.75km</w:t>
      </w:r>
      <w:r>
        <w:rPr>
          <w:rFonts w:hint="eastAsia"/>
          <w:color w:val="0D0D0D" w:themeColor="text1" w:themeTint="F2"/>
          <w:vertAlign w:val="superscript"/>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，总储量约2400万m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；其余还有犀牛脚吉子根、乌雷的褐铁矿、龙门西村的赤铁矿、大番坡鸡窝的金沙矿、大番坡石口江和犀牛脚西坑的黄铁矿等。</w:t>
      </w:r>
    </w:p>
    <w:p w14:paraId="0C791B68">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（6）红树林</w:t>
      </w:r>
    </w:p>
    <w:p w14:paraId="564169D9">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钦州市现有红树林3078.73公顷，仅分布于钦南区，占全区的32.99%。其中，1997.85公顷（64.89%）位于自然保护地内，1080.88公顷（35.11%）位于自然保护地外。</w:t>
      </w:r>
    </w:p>
    <w:p w14:paraId="6AA256E9">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项目最近的敏感目标为金鼓江红树林区，金鼓江红树林区由金鼓江沿岸滩涂的各片红树林保护小区组成，位于自然保护地外，金鼓江红树林区位于项目东北侧约2.3km。</w:t>
      </w:r>
    </w:p>
    <w:p w14:paraId="55E22AD3">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广西红树林资源保护规划（2020-2030年）》，金鼓江红树林区属于限制开发建设的红树林区域，本项目用地均不占用规划中的禁止、限制开发区域。《广西红树林资源保护规划（2020-2030年）》中限制开发建设的红树林区域总面积4978.65公顷，占现有红树林总面积的53.36%，包含金鼓江红树林区。</w:t>
      </w:r>
    </w:p>
    <w:p w14:paraId="74649D50">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金鼓江红树林区红树林主要种类是白骨壤和桐花。白骨壤是马鞭草科、海榄雌属常绿灌木或小乔木，树高0.5~6m不等，具有地表有伸出表土向上15~25cm的指状呼吸根，多分布于中低潮带的滩涂，是红树林先锋树种，环境适应能力强，对土壤适应性广，耐盐和耐水淹能力最强，是广西分布面积最大的红树种类。</w:t>
      </w:r>
    </w:p>
    <w:p w14:paraId="50E7DA81">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桐花树是紫金牛科、蜡烛果属灌木或小乔木，高1~5m，根部有时略有膨大，果实弯如新月形，桐花树花期长，花量大，是沿海主要的蜜源植物。桐花树多分布于有淡水输入的海湾河口的中潮带潮间带，是盐度较低区域的先锋树种，具有一定的耐盐性，是广西分布面积仅次于白骨壤的红树植物种类。</w:t>
      </w:r>
    </w:p>
    <w:p w14:paraId="1CAC11D2">
      <w:pPr>
        <w:pStyle w:val="9"/>
      </w:pPr>
      <w:bookmarkStart w:id="130" w:name="_Toc204062596"/>
      <w:r>
        <w:rPr>
          <w:rFonts w:hint="eastAsia"/>
        </w:rPr>
        <w:t>生态敏感区</w:t>
      </w:r>
      <w:bookmarkEnd w:id="130"/>
    </w:p>
    <w:p w14:paraId="157D3320">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（1）风景名胜区</w:t>
      </w:r>
    </w:p>
    <w:p w14:paraId="322BA77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钦州市旅游景区景点遍布各处，空间布局合理，依托的城镇基础设施齐全，主要由滨海风光、人文胜地、山水景观、工农业观光四大旅游特色构成，国家</w:t>
      </w:r>
      <w:r>
        <w:rPr>
          <w:color w:val="0D0D0D" w:themeColor="text1" w:themeTint="F2"/>
          <w14:textFill>
            <w14:solidFill>
              <w14:schemeClr w14:val="tx1">
                <w14:lumMod w14:val="95000"/>
                <w14:lumOff w14:val="5000"/>
              </w14:schemeClr>
            </w14:solidFill>
          </w14:textFill>
        </w:rPr>
        <w:t>AAAA</w:t>
      </w:r>
      <w:r>
        <w:rPr>
          <w:rFonts w:hint="eastAsia"/>
          <w:color w:val="0D0D0D" w:themeColor="text1" w:themeTint="F2"/>
          <w14:textFill>
            <w14:solidFill>
              <w14:schemeClr w14:val="tx1">
                <w14:lumMod w14:val="95000"/>
                <w14:lumOff w14:val="5000"/>
              </w14:schemeClr>
            </w14:solidFill>
          </w14:textFill>
        </w:rPr>
        <w:t>级、</w:t>
      </w:r>
      <w:r>
        <w:rPr>
          <w:color w:val="0D0D0D" w:themeColor="text1" w:themeTint="F2"/>
          <w14:textFill>
            <w14:solidFill>
              <w14:schemeClr w14:val="tx1">
                <w14:lumMod w14:val="95000"/>
                <w14:lumOff w14:val="5000"/>
              </w14:schemeClr>
            </w14:solidFill>
          </w14:textFill>
        </w:rPr>
        <w:t>AAA</w:t>
      </w:r>
      <w:r>
        <w:rPr>
          <w:rFonts w:hint="eastAsia"/>
          <w:color w:val="0D0D0D" w:themeColor="text1" w:themeTint="F2"/>
          <w14:textFill>
            <w14:solidFill>
              <w14:schemeClr w14:val="tx1">
                <w14:lumMod w14:val="95000"/>
                <w14:lumOff w14:val="5000"/>
              </w14:schemeClr>
            </w14:solidFill>
          </w14:textFill>
        </w:rPr>
        <w:t>级旅游景区分别为</w:t>
      </w:r>
      <w:r>
        <w:rPr>
          <w:color w:val="0D0D0D" w:themeColor="text1" w:themeTint="F2"/>
          <w14:textFill>
            <w14:solidFill>
              <w14:schemeClr w14:val="tx1">
                <w14:lumMod w14:val="95000"/>
                <w14:lumOff w14:val="5000"/>
              </w14:schemeClr>
            </w14:solidFill>
          </w14:textFill>
        </w:rPr>
        <w:t>9</w:t>
      </w:r>
      <w:r>
        <w:rPr>
          <w:rFonts w:hint="eastAsia"/>
          <w:color w:val="0D0D0D" w:themeColor="text1" w:themeTint="F2"/>
          <w14:textFill>
            <w14:solidFill>
              <w14:schemeClr w14:val="tx1">
                <w14:lumMod w14:val="95000"/>
                <w14:lumOff w14:val="5000"/>
              </w14:schemeClr>
            </w14:solidFill>
          </w14:textFill>
        </w:rPr>
        <w:t>个、</w:t>
      </w:r>
      <w:r>
        <w:rPr>
          <w:color w:val="0D0D0D" w:themeColor="text1" w:themeTint="F2"/>
          <w14:textFill>
            <w14:solidFill>
              <w14:schemeClr w14:val="tx1">
                <w14:lumMod w14:val="95000"/>
                <w14:lumOff w14:val="5000"/>
              </w14:schemeClr>
            </w14:solidFill>
          </w14:textFill>
        </w:rPr>
        <w:t>17</w:t>
      </w:r>
      <w:r>
        <w:rPr>
          <w:rFonts w:hint="eastAsia"/>
          <w:color w:val="0D0D0D" w:themeColor="text1" w:themeTint="F2"/>
          <w14:textFill>
            <w14:solidFill>
              <w14:schemeClr w14:val="tx1">
                <w14:lumMod w14:val="95000"/>
                <w14:lumOff w14:val="5000"/>
              </w14:schemeClr>
            </w14:solidFill>
          </w14:textFill>
        </w:rPr>
        <w:t>个。三娘湾旅游景区在北部湾最具发展潜力的旅游胜地，国家AAAA景区；茅尾海红树林自然保护区的“七十二泾”被誉为“南国蓬莱”；坐落在钦州市城区的民族英雄刘永福、冯子材故居是国家级重点保护文物单位，国家AAAA景区。</w:t>
      </w:r>
    </w:p>
    <w:p w14:paraId="1FBB45D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项目评价范围不存在风景名胜区。</w:t>
      </w:r>
    </w:p>
    <w:p w14:paraId="5E731A72">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（2）自然保护区</w:t>
      </w:r>
    </w:p>
    <w:p w14:paraId="17046CD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广西茅尾海红树林自治区级自然保护区七十二泾片区位于项目西面约3.1km，根据调查，本项目评价范围内不涉及茅尾海红树林自然保护区。</w:t>
      </w:r>
    </w:p>
    <w:p w14:paraId="051427C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茅尾海自治区级红树林自然保护区位于钦州市的钦南区和钦州港区，面向北部湾，于2005年经自治区人民政府批准建立，是一个以保护红树林为主的南亚热带河口、港湾和海岸滩涂湿地生态系统及越冬鸟类栖息地的自然保护区。2020年2月21日，广西壮族自治区人民政府以桂政函〔2020〕14号文发布了《关于同意广西茅尾海红树林自治区级自然保护区范围与功能区调整的批复》。根据该批复，广西茅尾海红树林自治区级自然保护区（以下简称保护区）范围和功能区作以下调整。</w:t>
      </w:r>
    </w:p>
    <w:p w14:paraId="62BA689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调整后，保护区范围涉及康熙岭片、坚心围片、七十二泾片和大风江片4个片区，地理坐标为东经108°28′35″—108°54′26″、北纬21°44′13″—21°53′49″。保护区总面积5010.05公顷，其中核心区面积2153.2公顷、缓冲区面积1386.13公顷、实验区面积1470.72公顷。保护区由康熙岭片、坚心围片、七十二泾片和大风江片四大片区组成。</w:t>
      </w:r>
    </w:p>
    <w:p w14:paraId="7E4FD7A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保护区主要红树林植被类型有秋茄林、桐花树林、白骨壤林、海漆林、黄槿林、无瓣海桑林、老鼠簕群。保护区资源十分丰富，目前已知有维管束植物有82科228属294种。其中：蕨类植物9科10属13种，裸子植物1科1属2种，被子植物72科217属279种。没有发现有国家重点保护的野生植物。</w:t>
      </w:r>
    </w:p>
    <w:p w14:paraId="2073582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保护区有红树植物13科17种，占全国红树植物种类的45.9%，其中真红树植物8科10种，半红树植物6科7种。在真红树植物中，乡土红树植物6科7种，分别为红树科的木榄、秋茄、红海榄；卤蕨科的卤蕨；使君子科的榄李；紫金牛科的桐花树；马鞭草科的白骨壤；大戟科的海漆；爵床科的老鼠簕。引种的红树植物1科1种，即海桑科的无瓣海桑。半红树植物为锦葵科的黄槿；夹竹桃科的海芒果；马鞭草科的钝叶臭黄荆和苦榔树、草海桐科的草海桐、蝶形花科的水黄皮和菊科的阔苞菊。</w:t>
      </w:r>
    </w:p>
    <w:p w14:paraId="600DC06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保护区有脊椎动物216种，其中鱼类资源计有11目39科87种；两栖类动物有7种，隶属于1目5科5属；爬行类动物16种，隶属于1目7科15属；鸟类动物有15目31科103种；哺乳动物有3种，隶属于2目2科3属。</w:t>
      </w:r>
    </w:p>
    <w:p w14:paraId="7C0C14A0">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（3）饮用水源保护区</w:t>
      </w:r>
    </w:p>
    <w:p w14:paraId="3296195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关于钦州市市区饮用水水源保护区重新划定方案的批复》（桂政函〔2012〕116号）、《广西壮族自治区人民政府关于钦州市乡镇集中式饮用水水源保护区划定方案的批复》（桂政函〔2016〕238号）和《广西壮族自治区水利厅关于印发广西城镇集中式饮用水水源地名录的通知》（桂水资源〔2022〕42号）等资料，距离项目最近的饮用水水源地为金窝水库饮用水水源地。该水源地位于项目东北方向，二级保护区距离本项目6.1km。该水源地为湖库型水源地，项目不在饮用水源保护区的上游方向，无任何补给关系，评价范围内不涉及饮用水源保护区。</w:t>
      </w:r>
    </w:p>
    <w:p w14:paraId="5B961620">
      <w:pPr>
        <w:pStyle w:val="8"/>
      </w:pPr>
      <w:bookmarkStart w:id="131" w:name="_Toc204062597"/>
      <w:r>
        <w:rPr>
          <w:rFonts w:hint="eastAsia"/>
        </w:rPr>
        <w:t>环境质量现状监测与评价</w:t>
      </w:r>
      <w:bookmarkEnd w:id="131"/>
    </w:p>
    <w:p w14:paraId="1E1509B3">
      <w:pPr>
        <w:pStyle w:val="9"/>
        <w:numPr>
          <w:ilvl w:val="2"/>
          <w:numId w:val="38"/>
        </w:numPr>
      </w:pPr>
      <w:bookmarkStart w:id="132" w:name="_Toc204062598"/>
      <w:r>
        <w:rPr>
          <w:rFonts w:hint="eastAsia"/>
        </w:rPr>
        <w:t>环境空气质量现状调查与评价</w:t>
      </w:r>
      <w:bookmarkEnd w:id="132"/>
    </w:p>
    <w:p w14:paraId="54EF4E7E">
      <w:pPr>
        <w:pStyle w:val="10"/>
      </w:pPr>
      <w:r>
        <w:rPr>
          <w:rFonts w:hint="eastAsia"/>
        </w:rPr>
        <w:t>达标区判定</w:t>
      </w:r>
    </w:p>
    <w:p w14:paraId="50A57A84">
      <w:pPr>
        <w:widowControl/>
        <w:ind w:firstLine="480"/>
        <w:rPr>
          <w:rFonts w:cs="Times New Roman"/>
          <w:color w:val="0D0D0D" w:themeColor="text1" w:themeTint="F2"/>
          <w:u w:val="single"/>
          <w:lang w:bidi="ar"/>
          <w14:textFill>
            <w14:solidFill>
              <w14:schemeClr w14:val="tx1">
                <w14:lumMod w14:val="95000"/>
                <w14:lumOff w14:val="5000"/>
              </w14:schemeClr>
            </w14:solidFill>
          </w14:textFill>
        </w:rPr>
      </w:pPr>
      <w:r>
        <w:rPr>
          <w:rFonts w:cs="Times New Roman"/>
          <w:color w:val="0D0D0D" w:themeColor="text1" w:themeTint="F2"/>
          <w:u w:val="single"/>
          <w:lang w:bidi="ar"/>
          <w14:textFill>
            <w14:solidFill>
              <w14:schemeClr w14:val="tx1">
                <w14:lumMod w14:val="95000"/>
                <w14:lumOff w14:val="5000"/>
              </w14:schemeClr>
            </w14:solidFill>
          </w14:textFill>
        </w:rPr>
        <w:t>根据《环境影响评价技术导则</w:t>
      </w:r>
      <w:r>
        <w:rPr>
          <w:rFonts w:hint="eastAsia" w:cs="Times New Roman"/>
          <w:color w:val="0D0D0D" w:themeColor="text1" w:themeTint="F2"/>
          <w:u w:val="single"/>
          <w:lang w:bidi="ar"/>
          <w14:textFill>
            <w14:solidFill>
              <w14:schemeClr w14:val="tx1">
                <w14:lumMod w14:val="95000"/>
                <w14:lumOff w14:val="5000"/>
              </w14:schemeClr>
            </w14:solidFill>
          </w14:textFill>
        </w:rPr>
        <w:t xml:space="preserve">  </w:t>
      </w:r>
      <w:r>
        <w:rPr>
          <w:rFonts w:cs="Times New Roman"/>
          <w:color w:val="0D0D0D" w:themeColor="text1" w:themeTint="F2"/>
          <w:u w:val="single"/>
          <w:lang w:bidi="ar"/>
          <w14:textFill>
            <w14:solidFill>
              <w14:schemeClr w14:val="tx1">
                <w14:lumMod w14:val="95000"/>
                <w14:lumOff w14:val="5000"/>
              </w14:schemeClr>
            </w14:solidFill>
          </w14:textFill>
        </w:rPr>
        <w:t>大气环境（HJ2.2-2018）》</w:t>
      </w:r>
      <w:r>
        <w:rPr>
          <w:rFonts w:hint="eastAsia" w:cs="Times New Roman"/>
          <w:color w:val="0D0D0D" w:themeColor="text1" w:themeTint="F2"/>
          <w:u w:val="single"/>
          <w:lang w:bidi="ar"/>
          <w14:textFill>
            <w14:solidFill>
              <w14:schemeClr w14:val="tx1">
                <w14:lumMod w14:val="95000"/>
                <w14:lumOff w14:val="5000"/>
              </w14:schemeClr>
            </w14:solidFill>
          </w14:textFill>
        </w:rPr>
        <w:t>，本次评价</w:t>
      </w:r>
      <w:r>
        <w:rPr>
          <w:rFonts w:cs="Times New Roman"/>
          <w:color w:val="0D0D0D" w:themeColor="text1" w:themeTint="F2"/>
          <w:u w:val="single"/>
          <w:lang w:bidi="ar"/>
          <w14:textFill>
            <w14:solidFill>
              <w14:schemeClr w14:val="tx1">
                <w14:lumMod w14:val="95000"/>
                <w14:lumOff w14:val="5000"/>
              </w14:schemeClr>
            </w14:solidFill>
          </w14:textFill>
        </w:rPr>
        <w:t>基本污染物环境质量现状根据</w:t>
      </w:r>
      <w:r>
        <w:rPr>
          <w:rFonts w:hint="eastAsia" w:cs="Times New Roman"/>
          <w:color w:val="0D0D0D" w:themeColor="text1" w:themeTint="F2"/>
          <w:u w:val="single"/>
          <w:lang w:bidi="ar"/>
          <w14:textFill>
            <w14:solidFill>
              <w14:schemeClr w14:val="tx1">
                <w14:lumMod w14:val="95000"/>
                <w14:lumOff w14:val="5000"/>
              </w14:schemeClr>
            </w14:solidFill>
          </w14:textFill>
        </w:rPr>
        <w:t>《自治区生态环境厅关于通报2024年设区市及各县（市、区）环境空气质量的函》（桂环函〔2025〕66号）中的数据进行评价</w:t>
      </w:r>
      <w:r>
        <w:rPr>
          <w:rFonts w:cs="Times New Roman"/>
          <w:color w:val="0D0D0D" w:themeColor="text1" w:themeTint="F2"/>
          <w:szCs w:val="24"/>
          <w:u w:val="single"/>
          <w14:textFill>
            <w14:solidFill>
              <w14:schemeClr w14:val="tx1">
                <w14:lumMod w14:val="95000"/>
                <w14:lumOff w14:val="5000"/>
              </w14:schemeClr>
            </w14:solidFill>
          </w14:textFill>
        </w:rPr>
        <w:t>，</w:t>
      </w:r>
      <w:r>
        <w:rPr>
          <w:rFonts w:hint="eastAsia" w:cs="Times New Roman"/>
          <w:color w:val="0D0D0D" w:themeColor="text1" w:themeTint="F2"/>
          <w:szCs w:val="24"/>
          <w:u w:val="single"/>
          <w14:textFill>
            <w14:solidFill>
              <w14:schemeClr w14:val="tx1">
                <w14:lumMod w14:val="95000"/>
                <w14:lumOff w14:val="5000"/>
              </w14:schemeClr>
            </w14:solidFill>
          </w14:textFill>
        </w:rPr>
        <w:t>详</w:t>
      </w:r>
      <w:r>
        <w:rPr>
          <w:rFonts w:cs="Times New Roman"/>
          <w:color w:val="0D0D0D" w:themeColor="text1" w:themeTint="F2"/>
          <w:u w:val="single"/>
          <w:lang w:bidi="ar"/>
          <w14:textFill>
            <w14:solidFill>
              <w14:schemeClr w14:val="tx1">
                <w14:lumMod w14:val="95000"/>
                <w14:lumOff w14:val="5000"/>
              </w14:schemeClr>
            </w14:solidFill>
          </w14:textFill>
        </w:rPr>
        <w:t>见</w:t>
      </w:r>
      <w:r>
        <w:rPr>
          <w:rFonts w:hint="eastAsia" w:cs="Times New Roman"/>
          <w:color w:val="0D0D0D" w:themeColor="text1" w:themeTint="F2"/>
          <w:u w:val="single"/>
          <w:lang w:bidi="ar"/>
          <w14:textFill>
            <w14:solidFill>
              <w14:schemeClr w14:val="tx1">
                <w14:lumMod w14:val="95000"/>
                <w14:lumOff w14:val="5000"/>
              </w14:schemeClr>
            </w14:solidFill>
          </w14:textFill>
        </w:rPr>
        <w:t>表4.2</w:t>
      </w:r>
      <w:r>
        <w:rPr>
          <w:rFonts w:cs="Times New Roman"/>
          <w:color w:val="0D0D0D" w:themeColor="text1" w:themeTint="F2"/>
          <w:u w:val="single"/>
          <w:lang w:bidi="ar"/>
          <w14:textFill>
            <w14:solidFill>
              <w14:schemeClr w14:val="tx1">
                <w14:lumMod w14:val="95000"/>
                <w14:lumOff w14:val="5000"/>
              </w14:schemeClr>
            </w14:solidFill>
          </w14:textFill>
        </w:rPr>
        <w:t>-1。</w:t>
      </w:r>
    </w:p>
    <w:p w14:paraId="770F8B12">
      <w:pPr>
        <w:pStyle w:val="2"/>
        <w:ind w:firstLine="240"/>
        <w:rPr>
          <w:color w:val="0D0D0D" w:themeColor="text1" w:themeTint="F2"/>
          <w:lang w:bidi="ar"/>
          <w14:textFill>
            <w14:solidFill>
              <w14:schemeClr w14:val="tx1">
                <w14:lumMod w14:val="95000"/>
                <w14:lumOff w14:val="5000"/>
              </w14:schemeClr>
            </w14:solidFill>
          </w14:textFill>
        </w:rPr>
      </w:pPr>
      <w:r>
        <w:rPr>
          <w:color w:val="0D0D0D" w:themeColor="text1" w:themeTint="F2"/>
          <w:lang w:bidi="ar"/>
          <w14:textFill>
            <w14:solidFill>
              <w14:schemeClr w14:val="tx1">
                <w14:lumMod w14:val="95000"/>
                <w14:lumOff w14:val="5000"/>
              </w14:schemeClr>
            </w14:solidFill>
          </w14:textFill>
        </w:rPr>
        <w:br w:type="page"/>
      </w:r>
    </w:p>
    <w:p w14:paraId="29C1827C">
      <w:pPr>
        <w:pStyle w:val="11"/>
        <w:numPr>
          <w:ilvl w:val="4"/>
          <w:numId w:val="39"/>
        </w:numPr>
      </w:pPr>
      <w:r>
        <w:rPr>
          <w:rFonts w:hint="eastAsia"/>
        </w:rPr>
        <w:t xml:space="preserve"> 区域空气质量现状评价表</w:t>
      </w:r>
    </w:p>
    <w:p w14:paraId="2D701DC1">
      <w:pPr>
        <w:ind w:firstLine="480" w:firstLineChars="200"/>
        <w:jc w:val="center"/>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（涉密，公示本已删除）</w:t>
      </w:r>
    </w:p>
    <w:p w14:paraId="06EFFC4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由上表可知，</w:t>
      </w:r>
      <w:r>
        <w:rPr>
          <w:color w:val="0D0D0D" w:themeColor="text1" w:themeTint="F2"/>
          <w:u w:val="single"/>
          <w14:textFill>
            <w14:solidFill>
              <w14:schemeClr w14:val="tx1">
                <w14:lumMod w14:val="95000"/>
                <w14:lumOff w14:val="5000"/>
              </w14:schemeClr>
            </w14:solidFill>
          </w14:textFill>
        </w:rPr>
        <w:t>202</w:t>
      </w:r>
      <w:r>
        <w:rPr>
          <w:rFonts w:hint="eastAsia"/>
          <w:color w:val="0D0D0D" w:themeColor="text1" w:themeTint="F2"/>
          <w:u w:val="single"/>
          <w14:textFill>
            <w14:solidFill>
              <w14:schemeClr w14:val="tx1">
                <w14:lumMod w14:val="95000"/>
                <w14:lumOff w14:val="5000"/>
              </w14:schemeClr>
            </w14:solidFill>
          </w14:textFill>
        </w:rPr>
        <w:t>4年钦州市大气基本污染物</w:t>
      </w:r>
      <w:r>
        <w:rPr>
          <w:color w:val="0D0D0D" w:themeColor="text1" w:themeTint="F2"/>
          <w:u w:val="single"/>
          <w14:textFill>
            <w14:solidFill>
              <w14:schemeClr w14:val="tx1">
                <w14:lumMod w14:val="95000"/>
                <w14:lumOff w14:val="5000"/>
              </w14:schemeClr>
            </w14:solidFill>
          </w14:textFill>
        </w:rPr>
        <w:t>SO</w:t>
      </w:r>
      <w:r>
        <w:rPr>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w:t>
      </w:r>
      <w:r>
        <w:rPr>
          <w:color w:val="0D0D0D" w:themeColor="text1" w:themeTint="F2"/>
          <w:u w:val="single"/>
          <w14:textFill>
            <w14:solidFill>
              <w14:schemeClr w14:val="tx1">
                <w14:lumMod w14:val="95000"/>
                <w14:lumOff w14:val="5000"/>
              </w14:schemeClr>
            </w14:solidFill>
          </w14:textFill>
        </w:rPr>
        <w:t>NO</w:t>
      </w:r>
      <w:r>
        <w:rPr>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w:t>
      </w:r>
      <w:r>
        <w:rPr>
          <w:color w:val="0D0D0D" w:themeColor="text1" w:themeTint="F2"/>
          <w:u w:val="single"/>
          <w14:textFill>
            <w14:solidFill>
              <w14:schemeClr w14:val="tx1">
                <w14:lumMod w14:val="95000"/>
                <w14:lumOff w14:val="5000"/>
              </w14:schemeClr>
            </w14:solidFill>
          </w14:textFill>
        </w:rPr>
        <w:t>PM</w:t>
      </w:r>
      <w:r>
        <w:rPr>
          <w:color w:val="0D0D0D" w:themeColor="text1" w:themeTint="F2"/>
          <w:u w:val="single"/>
          <w:vertAlign w:val="subscript"/>
          <w14:textFill>
            <w14:solidFill>
              <w14:schemeClr w14:val="tx1">
                <w14:lumMod w14:val="95000"/>
                <w14:lumOff w14:val="5000"/>
              </w14:schemeClr>
            </w14:solidFill>
          </w14:textFill>
        </w:rPr>
        <w:t>10</w:t>
      </w:r>
      <w:r>
        <w:rPr>
          <w:rFonts w:hint="eastAsia"/>
          <w:color w:val="0D0D0D" w:themeColor="text1" w:themeTint="F2"/>
          <w:u w:val="single"/>
          <w14:textFill>
            <w14:solidFill>
              <w14:schemeClr w14:val="tx1">
                <w14:lumMod w14:val="95000"/>
                <w14:lumOff w14:val="5000"/>
              </w14:schemeClr>
            </w14:solidFill>
          </w14:textFill>
        </w:rPr>
        <w:t>、</w:t>
      </w:r>
      <w:r>
        <w:rPr>
          <w:color w:val="0D0D0D" w:themeColor="text1" w:themeTint="F2"/>
          <w:u w:val="single"/>
          <w14:textFill>
            <w14:solidFill>
              <w14:schemeClr w14:val="tx1">
                <w14:lumMod w14:val="95000"/>
                <w14:lumOff w14:val="5000"/>
              </w14:schemeClr>
            </w14:solidFill>
          </w14:textFill>
        </w:rPr>
        <w:t>PM</w:t>
      </w:r>
      <w:r>
        <w:rPr>
          <w:color w:val="0D0D0D" w:themeColor="text1" w:themeTint="F2"/>
          <w:u w:val="single"/>
          <w:vertAlign w:val="subscript"/>
          <w14:textFill>
            <w14:solidFill>
              <w14:schemeClr w14:val="tx1">
                <w14:lumMod w14:val="95000"/>
                <w14:lumOff w14:val="5000"/>
              </w14:schemeClr>
            </w14:solidFill>
          </w14:textFill>
        </w:rPr>
        <w:t>2.5</w:t>
      </w:r>
      <w:r>
        <w:rPr>
          <w:rFonts w:hint="eastAsia"/>
          <w:color w:val="0D0D0D" w:themeColor="text1" w:themeTint="F2"/>
          <w:u w:val="single"/>
          <w14:textFill>
            <w14:solidFill>
              <w14:schemeClr w14:val="tx1">
                <w14:lumMod w14:val="95000"/>
                <w14:lumOff w14:val="5000"/>
              </w14:schemeClr>
            </w14:solidFill>
          </w14:textFill>
        </w:rPr>
        <w:t>、</w:t>
      </w:r>
      <w:r>
        <w:rPr>
          <w:color w:val="0D0D0D" w:themeColor="text1" w:themeTint="F2"/>
          <w:u w:val="single"/>
          <w14:textFill>
            <w14:solidFill>
              <w14:schemeClr w14:val="tx1">
                <w14:lumMod w14:val="95000"/>
                <w14:lumOff w14:val="5000"/>
              </w14:schemeClr>
            </w14:solidFill>
          </w14:textFill>
        </w:rPr>
        <w:t>CO</w:t>
      </w:r>
      <w:r>
        <w:rPr>
          <w:rFonts w:hint="eastAsia"/>
          <w:color w:val="0D0D0D" w:themeColor="text1" w:themeTint="F2"/>
          <w:u w:val="single"/>
          <w14:textFill>
            <w14:solidFill>
              <w14:schemeClr w14:val="tx1">
                <w14:lumMod w14:val="95000"/>
                <w14:lumOff w14:val="5000"/>
              </w14:schemeClr>
            </w14:solidFill>
          </w14:textFill>
        </w:rPr>
        <w:t>、</w:t>
      </w:r>
      <w:r>
        <w:rPr>
          <w:color w:val="0D0D0D" w:themeColor="text1" w:themeTint="F2"/>
          <w:u w:val="single"/>
          <w14:textFill>
            <w14:solidFill>
              <w14:schemeClr w14:val="tx1">
                <w14:lumMod w14:val="95000"/>
                <w14:lumOff w14:val="5000"/>
              </w14:schemeClr>
            </w14:solidFill>
          </w14:textFill>
        </w:rPr>
        <w:t>O</w:t>
      </w:r>
      <w:r>
        <w:rPr>
          <w:color w:val="0D0D0D" w:themeColor="text1" w:themeTint="F2"/>
          <w:u w:val="single"/>
          <w:vertAlign w:val="sub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的年评价指标均可满足《环境空气质量标准》（</w:t>
      </w:r>
      <w:r>
        <w:rPr>
          <w:color w:val="0D0D0D" w:themeColor="text1" w:themeTint="F2"/>
          <w:u w:val="single"/>
          <w14:textFill>
            <w14:solidFill>
              <w14:schemeClr w14:val="tx1">
                <w14:lumMod w14:val="95000"/>
                <w14:lumOff w14:val="5000"/>
              </w14:schemeClr>
            </w14:solidFill>
          </w14:textFill>
        </w:rPr>
        <w:t>GB3095-2012</w:t>
      </w:r>
      <w:r>
        <w:rPr>
          <w:rFonts w:hint="eastAsia"/>
          <w:color w:val="0D0D0D" w:themeColor="text1" w:themeTint="F2"/>
          <w:u w:val="single"/>
          <w14:textFill>
            <w14:solidFill>
              <w14:schemeClr w14:val="tx1">
                <w14:lumMod w14:val="95000"/>
                <w14:lumOff w14:val="5000"/>
              </w14:schemeClr>
            </w14:solidFill>
          </w14:textFill>
        </w:rPr>
        <w:t>）及其修改单二级标准。因此，项目所在区域</w:t>
      </w:r>
      <w:r>
        <w:rPr>
          <w:color w:val="0D0D0D" w:themeColor="text1" w:themeTint="F2"/>
          <w:u w:val="single"/>
          <w14:textFill>
            <w14:solidFill>
              <w14:schemeClr w14:val="tx1">
                <w14:lumMod w14:val="95000"/>
                <w14:lumOff w14:val="5000"/>
              </w14:schemeClr>
            </w14:solidFill>
          </w14:textFill>
        </w:rPr>
        <w:t>属于达标区</w:t>
      </w:r>
      <w:r>
        <w:rPr>
          <w:rFonts w:hint="eastAsia"/>
          <w:color w:val="0D0D0D" w:themeColor="text1" w:themeTint="F2"/>
          <w:u w:val="single"/>
          <w14:textFill>
            <w14:solidFill>
              <w14:schemeClr w14:val="tx1">
                <w14:lumMod w14:val="95000"/>
                <w14:lumOff w14:val="5000"/>
              </w14:schemeClr>
            </w14:solidFill>
          </w14:textFill>
        </w:rPr>
        <w:t>，</w:t>
      </w:r>
      <w:r>
        <w:rPr>
          <w:color w:val="0D0D0D" w:themeColor="text1" w:themeTint="F2"/>
          <w:u w:val="single"/>
          <w14:textFill>
            <w14:solidFill>
              <w14:schemeClr w14:val="tx1">
                <w14:lumMod w14:val="95000"/>
                <w14:lumOff w14:val="5000"/>
              </w14:schemeClr>
            </w14:solidFill>
          </w14:textFill>
        </w:rPr>
        <w:t>区域环境空气质量较好</w:t>
      </w:r>
      <w:r>
        <w:rPr>
          <w:color w:val="0D0D0D" w:themeColor="text1" w:themeTint="F2"/>
          <w14:textFill>
            <w14:solidFill>
              <w14:schemeClr w14:val="tx1">
                <w14:lumMod w14:val="95000"/>
                <w14:lumOff w14:val="5000"/>
              </w14:schemeClr>
            </w14:solidFill>
          </w14:textFill>
        </w:rPr>
        <w:t>。</w:t>
      </w:r>
    </w:p>
    <w:p w14:paraId="2A1AB40D">
      <w:pPr>
        <w:pStyle w:val="10"/>
      </w:pPr>
      <w:r>
        <w:rPr>
          <w:rFonts w:hint="eastAsia"/>
        </w:rPr>
        <w:t>补充污染物现状调查</w:t>
      </w:r>
    </w:p>
    <w:p w14:paraId="30757AB7">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项目特征污染物为TSP、非甲烷总烃、TVOC、甲醇、NH</w:t>
      </w:r>
      <w:r>
        <w:rPr>
          <w:rFonts w:hint="eastAsia"/>
          <w:color w:val="0D0D0D" w:themeColor="text1" w:themeTint="F2"/>
          <w:u w:val="single"/>
          <w:vertAlign w:val="sub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、H</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S和臭气浓度，根据《环境影响评价技术导则  大气环境》（HJ2.2-2018），本次评价委托广西恒沁检测科技有限公司于2024年11月28日~2024年12月4日对场区开展非甲烷总烃、TVOC、甲醇、NH</w:t>
      </w:r>
      <w:r>
        <w:rPr>
          <w:rFonts w:hint="eastAsia"/>
          <w:color w:val="0D0D0D" w:themeColor="text1" w:themeTint="F2"/>
          <w:u w:val="single"/>
          <w:vertAlign w:val="sub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、H</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S和臭气浓度的环境质量现状监测；同时引用《台湾见龙钦州高端聚苯乙烯新材料项目检测报告》中的G1监测点TSP现状监测数据进行评价，引用项目监测时间为2025年2月17日～2025年2月23日，所引用的监测点位于本项目西南面约250m处，位于项目评价范围内，监测数据有效，因此所引用的点位符合评价要求。</w:t>
      </w:r>
    </w:p>
    <w:p w14:paraId="04019A7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（1）监测布点</w:t>
      </w:r>
    </w:p>
    <w:p w14:paraId="4864013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监测点位信息详见表4.2-2。</w:t>
      </w:r>
    </w:p>
    <w:p w14:paraId="557A6056">
      <w:pPr>
        <w:pStyle w:val="11"/>
      </w:pPr>
      <w:r>
        <w:rPr>
          <w:rFonts w:hint="eastAsia"/>
        </w:rPr>
        <w:t xml:space="preserve"> 环境空气监测点位信息一览表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9"/>
        <w:gridCol w:w="2469"/>
        <w:gridCol w:w="3198"/>
        <w:gridCol w:w="889"/>
        <w:gridCol w:w="947"/>
      </w:tblGrid>
      <w:tr w14:paraId="2D8E6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1" w:type="pct"/>
            <w:shd w:val="clear" w:color="000000" w:fill="auto"/>
            <w:vAlign w:val="center"/>
          </w:tcPr>
          <w:p w14:paraId="134BCBB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监测点</w:t>
            </w:r>
          </w:p>
        </w:tc>
        <w:tc>
          <w:tcPr>
            <w:tcW w:w="1336" w:type="pct"/>
            <w:shd w:val="clear" w:color="000000" w:fill="auto"/>
            <w:vAlign w:val="center"/>
          </w:tcPr>
          <w:p w14:paraId="5DD3902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坐标</w:t>
            </w:r>
          </w:p>
        </w:tc>
        <w:tc>
          <w:tcPr>
            <w:tcW w:w="1730" w:type="pct"/>
            <w:shd w:val="clear" w:color="000000" w:fill="auto"/>
            <w:vAlign w:val="center"/>
          </w:tcPr>
          <w:p w14:paraId="184E5CD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监测因子</w:t>
            </w:r>
          </w:p>
        </w:tc>
        <w:tc>
          <w:tcPr>
            <w:tcW w:w="481" w:type="pct"/>
            <w:shd w:val="clear" w:color="000000" w:fill="auto"/>
            <w:vAlign w:val="center"/>
          </w:tcPr>
          <w:p w14:paraId="55FFB04A">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相对</w:t>
            </w:r>
          </w:p>
          <w:p w14:paraId="216AEDE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方位</w:t>
            </w:r>
          </w:p>
        </w:tc>
        <w:tc>
          <w:tcPr>
            <w:tcW w:w="512" w:type="pct"/>
            <w:shd w:val="clear" w:color="000000" w:fill="auto"/>
            <w:vAlign w:val="center"/>
          </w:tcPr>
          <w:p w14:paraId="1E368B6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相对距离/m</w:t>
            </w:r>
          </w:p>
        </w:tc>
      </w:tr>
      <w:tr w14:paraId="4309F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1" w:type="pct"/>
            <w:vAlign w:val="center"/>
          </w:tcPr>
          <w:p w14:paraId="4A8E0B7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G1项目厂址</w:t>
            </w:r>
          </w:p>
        </w:tc>
        <w:tc>
          <w:tcPr>
            <w:tcW w:w="1336" w:type="pct"/>
            <w:vAlign w:val="center"/>
          </w:tcPr>
          <w:p w14:paraId="1C2BA460">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730" w:type="pct"/>
            <w:vAlign w:val="center"/>
          </w:tcPr>
          <w:p w14:paraId="514DAAA6">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非甲烷总烃、TVOC、甲醇、NH</w:t>
            </w:r>
            <w:r>
              <w:rPr>
                <w:rFonts w:hint="eastAsia"/>
                <w:color w:val="0D0D0D" w:themeColor="text1" w:themeTint="F2"/>
                <w:sz w:val="21"/>
                <w:szCs w:val="21"/>
                <w:vertAlign w:val="subscript"/>
                <w14:textFill>
                  <w14:solidFill>
                    <w14:schemeClr w14:val="tx1">
                      <w14:lumMod w14:val="95000"/>
                      <w14:lumOff w14:val="5000"/>
                    </w14:schemeClr>
                  </w14:solidFill>
                </w14:textFill>
              </w:rPr>
              <w:t>3</w:t>
            </w:r>
            <w:r>
              <w:rPr>
                <w:rFonts w:hint="eastAsia"/>
                <w:color w:val="0D0D0D" w:themeColor="text1" w:themeTint="F2"/>
                <w:sz w:val="21"/>
                <w:szCs w:val="21"/>
                <w14:textFill>
                  <w14:solidFill>
                    <w14:schemeClr w14:val="tx1">
                      <w14:lumMod w14:val="95000"/>
                      <w14:lumOff w14:val="5000"/>
                    </w14:schemeClr>
                  </w14:solidFill>
                </w14:textFill>
              </w:rPr>
              <w:t>、H</w:t>
            </w:r>
            <w:r>
              <w:rPr>
                <w:rFonts w:hint="eastAsia"/>
                <w:color w:val="0D0D0D" w:themeColor="text1" w:themeTint="F2"/>
                <w:sz w:val="21"/>
                <w:szCs w:val="21"/>
                <w:vertAlign w:val="subscript"/>
                <w14:textFill>
                  <w14:solidFill>
                    <w14:schemeClr w14:val="tx1">
                      <w14:lumMod w14:val="95000"/>
                      <w14:lumOff w14:val="5000"/>
                    </w14:schemeClr>
                  </w14:solidFill>
                </w14:textFill>
              </w:rPr>
              <w:t>2</w:t>
            </w:r>
            <w:r>
              <w:rPr>
                <w:rFonts w:hint="eastAsia"/>
                <w:color w:val="0D0D0D" w:themeColor="text1" w:themeTint="F2"/>
                <w:sz w:val="21"/>
                <w:szCs w:val="21"/>
                <w14:textFill>
                  <w14:solidFill>
                    <w14:schemeClr w14:val="tx1">
                      <w14:lumMod w14:val="95000"/>
                      <w14:lumOff w14:val="5000"/>
                    </w14:schemeClr>
                  </w14:solidFill>
                </w14:textFill>
              </w:rPr>
              <w:t>S、臭气浓度</w:t>
            </w:r>
          </w:p>
        </w:tc>
        <w:tc>
          <w:tcPr>
            <w:tcW w:w="481" w:type="pct"/>
            <w:vAlign w:val="center"/>
          </w:tcPr>
          <w:p w14:paraId="1CDB177C">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厂址</w:t>
            </w:r>
          </w:p>
          <w:p w14:paraId="16D3671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中心</w:t>
            </w:r>
          </w:p>
        </w:tc>
        <w:tc>
          <w:tcPr>
            <w:tcW w:w="512" w:type="pct"/>
            <w:vAlign w:val="center"/>
          </w:tcPr>
          <w:p w14:paraId="4727202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w:t>
            </w:r>
          </w:p>
        </w:tc>
      </w:tr>
      <w:tr w14:paraId="35359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1" w:type="pct"/>
            <w:vAlign w:val="center"/>
          </w:tcPr>
          <w:p w14:paraId="5F1D1AA2">
            <w:pPr>
              <w:spacing w:line="240" w:lineRule="auto"/>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G2台湾见龙钦州高端聚苯乙烯新材料项目厂址</w:t>
            </w:r>
          </w:p>
        </w:tc>
        <w:tc>
          <w:tcPr>
            <w:tcW w:w="1336" w:type="pct"/>
            <w:vAlign w:val="center"/>
          </w:tcPr>
          <w:p w14:paraId="7A93B50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1730" w:type="pct"/>
            <w:vAlign w:val="center"/>
          </w:tcPr>
          <w:p w14:paraId="0F93E6B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TSP</w:t>
            </w:r>
          </w:p>
        </w:tc>
        <w:tc>
          <w:tcPr>
            <w:tcW w:w="481" w:type="pct"/>
            <w:vAlign w:val="center"/>
          </w:tcPr>
          <w:p w14:paraId="3807D8C5">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西南</w:t>
            </w:r>
          </w:p>
        </w:tc>
        <w:tc>
          <w:tcPr>
            <w:tcW w:w="512" w:type="pct"/>
            <w:vAlign w:val="center"/>
          </w:tcPr>
          <w:p w14:paraId="2013DDE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250</w:t>
            </w:r>
          </w:p>
        </w:tc>
      </w:tr>
    </w:tbl>
    <w:p w14:paraId="598D631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（2）监测时间及频率</w:t>
      </w:r>
    </w:p>
    <w:p w14:paraId="51F0DE8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监测采样的同时记录风向、风速、气温、气压和天气情况，监测时间及频率详见表4.2-3。</w:t>
      </w:r>
    </w:p>
    <w:p w14:paraId="776FDD32">
      <w:pPr>
        <w:pStyle w:val="11"/>
      </w:pPr>
      <w:r>
        <w:rPr>
          <w:rFonts w:hint="eastAsia"/>
        </w:rPr>
        <w:t xml:space="preserve"> 监测时间及监测频率一览表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6"/>
        <w:gridCol w:w="1453"/>
        <w:gridCol w:w="3922"/>
        <w:gridCol w:w="1691"/>
      </w:tblGrid>
      <w:tr w14:paraId="417E7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7" w:type="pct"/>
            <w:vAlign w:val="center"/>
          </w:tcPr>
          <w:p w14:paraId="1595FC2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监测因子</w:t>
            </w:r>
          </w:p>
        </w:tc>
        <w:tc>
          <w:tcPr>
            <w:tcW w:w="786" w:type="pct"/>
            <w:vAlign w:val="center"/>
          </w:tcPr>
          <w:p w14:paraId="54BB61B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监测时间</w:t>
            </w:r>
          </w:p>
        </w:tc>
        <w:tc>
          <w:tcPr>
            <w:tcW w:w="2122" w:type="pct"/>
            <w:vAlign w:val="center"/>
          </w:tcPr>
          <w:p w14:paraId="35F711F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监测频次</w:t>
            </w:r>
          </w:p>
        </w:tc>
        <w:tc>
          <w:tcPr>
            <w:tcW w:w="915" w:type="pct"/>
            <w:vAlign w:val="center"/>
          </w:tcPr>
          <w:p w14:paraId="6278707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结果类型</w:t>
            </w:r>
          </w:p>
        </w:tc>
      </w:tr>
      <w:tr w14:paraId="6EBA5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7" w:type="pct"/>
            <w:vAlign w:val="center"/>
          </w:tcPr>
          <w:p w14:paraId="2CD0CA6A">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非甲烷总烃、甲醇、NH</w:t>
            </w:r>
            <w:r>
              <w:rPr>
                <w:rFonts w:hint="eastAsia"/>
                <w:color w:val="0D0D0D" w:themeColor="text1" w:themeTint="F2"/>
                <w:sz w:val="21"/>
                <w:szCs w:val="21"/>
                <w:vertAlign w:val="subscript"/>
                <w14:textFill>
                  <w14:solidFill>
                    <w14:schemeClr w14:val="tx1">
                      <w14:lumMod w14:val="95000"/>
                      <w14:lumOff w14:val="5000"/>
                    </w14:schemeClr>
                  </w14:solidFill>
                </w14:textFill>
              </w:rPr>
              <w:t>3</w:t>
            </w:r>
            <w:r>
              <w:rPr>
                <w:rFonts w:hint="eastAsia"/>
                <w:color w:val="0D0D0D" w:themeColor="text1" w:themeTint="F2"/>
                <w:sz w:val="21"/>
                <w:szCs w:val="21"/>
                <w14:textFill>
                  <w14:solidFill>
                    <w14:schemeClr w14:val="tx1">
                      <w14:lumMod w14:val="95000"/>
                      <w14:lumOff w14:val="5000"/>
                    </w14:schemeClr>
                  </w14:solidFill>
                </w14:textFill>
              </w:rPr>
              <w:t>、H</w:t>
            </w:r>
            <w:r>
              <w:rPr>
                <w:rFonts w:hint="eastAsia"/>
                <w:color w:val="0D0D0D" w:themeColor="text1" w:themeTint="F2"/>
                <w:sz w:val="21"/>
                <w:szCs w:val="21"/>
                <w:vertAlign w:val="subscript"/>
                <w14:textFill>
                  <w14:solidFill>
                    <w14:schemeClr w14:val="tx1">
                      <w14:lumMod w14:val="95000"/>
                      <w14:lumOff w14:val="5000"/>
                    </w14:schemeClr>
                  </w14:solidFill>
                </w14:textFill>
              </w:rPr>
              <w:t>2</w:t>
            </w:r>
            <w:r>
              <w:rPr>
                <w:rFonts w:hint="eastAsia"/>
                <w:color w:val="0D0D0D" w:themeColor="text1" w:themeTint="F2"/>
                <w:sz w:val="21"/>
                <w:szCs w:val="21"/>
                <w14:textFill>
                  <w14:solidFill>
                    <w14:schemeClr w14:val="tx1">
                      <w14:lumMod w14:val="95000"/>
                      <w14:lumOff w14:val="5000"/>
                    </w14:schemeClr>
                  </w14:solidFill>
                </w14:textFill>
              </w:rPr>
              <w:t>S、臭气浓度</w:t>
            </w:r>
          </w:p>
        </w:tc>
        <w:tc>
          <w:tcPr>
            <w:tcW w:w="786" w:type="pct"/>
            <w:vMerge w:val="restart"/>
            <w:vAlign w:val="center"/>
          </w:tcPr>
          <w:p w14:paraId="08FD909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2024.11.28~</w:t>
            </w:r>
          </w:p>
          <w:p w14:paraId="6062438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2024.12.4</w:t>
            </w:r>
          </w:p>
        </w:tc>
        <w:tc>
          <w:tcPr>
            <w:tcW w:w="2122" w:type="pct"/>
            <w:vAlign w:val="center"/>
          </w:tcPr>
          <w:p w14:paraId="60F20F5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连续监测7天，每天监测4次</w:t>
            </w:r>
          </w:p>
        </w:tc>
        <w:tc>
          <w:tcPr>
            <w:tcW w:w="915" w:type="pct"/>
            <w:vAlign w:val="center"/>
          </w:tcPr>
          <w:p w14:paraId="414427D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1小时平均值</w:t>
            </w:r>
          </w:p>
        </w:tc>
      </w:tr>
      <w:tr w14:paraId="642A0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77" w:type="pct"/>
            <w:vAlign w:val="center"/>
          </w:tcPr>
          <w:p w14:paraId="7E59B2C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甲醇</w:t>
            </w:r>
          </w:p>
        </w:tc>
        <w:tc>
          <w:tcPr>
            <w:tcW w:w="786" w:type="pct"/>
            <w:vMerge w:val="continue"/>
            <w:vAlign w:val="center"/>
          </w:tcPr>
          <w:p w14:paraId="01DFE890">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2122" w:type="pct"/>
            <w:vAlign w:val="center"/>
          </w:tcPr>
          <w:p w14:paraId="522CA28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连续监测7天，每天连续采样24小时</w:t>
            </w:r>
          </w:p>
        </w:tc>
        <w:tc>
          <w:tcPr>
            <w:tcW w:w="915" w:type="pct"/>
            <w:vAlign w:val="center"/>
          </w:tcPr>
          <w:p w14:paraId="1565243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24小时平均值</w:t>
            </w:r>
          </w:p>
        </w:tc>
      </w:tr>
      <w:tr w14:paraId="3EE0F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7" w:type="pct"/>
            <w:vAlign w:val="center"/>
          </w:tcPr>
          <w:p w14:paraId="3CB172F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TVOC</w:t>
            </w:r>
          </w:p>
        </w:tc>
        <w:tc>
          <w:tcPr>
            <w:tcW w:w="786" w:type="pct"/>
            <w:vMerge w:val="continue"/>
            <w:vAlign w:val="center"/>
          </w:tcPr>
          <w:p w14:paraId="6B97518E">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2122" w:type="pct"/>
            <w:vAlign w:val="center"/>
          </w:tcPr>
          <w:p w14:paraId="7E94BB0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连续监测7天，监测8小时平均</w:t>
            </w:r>
          </w:p>
        </w:tc>
        <w:tc>
          <w:tcPr>
            <w:tcW w:w="915" w:type="pct"/>
            <w:vAlign w:val="center"/>
          </w:tcPr>
          <w:p w14:paraId="2AD8166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8小时平均值</w:t>
            </w:r>
          </w:p>
        </w:tc>
      </w:tr>
      <w:tr w14:paraId="1B70E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7" w:type="pct"/>
            <w:vAlign w:val="center"/>
          </w:tcPr>
          <w:p w14:paraId="1E519A0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TSP</w:t>
            </w:r>
          </w:p>
        </w:tc>
        <w:tc>
          <w:tcPr>
            <w:tcW w:w="786" w:type="pct"/>
            <w:vAlign w:val="center"/>
          </w:tcPr>
          <w:p w14:paraId="5F84407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2025.02.17~</w:t>
            </w:r>
          </w:p>
          <w:p w14:paraId="3B8DCA5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2025.02.23</w:t>
            </w:r>
          </w:p>
        </w:tc>
        <w:tc>
          <w:tcPr>
            <w:tcW w:w="2122" w:type="pct"/>
            <w:vAlign w:val="center"/>
          </w:tcPr>
          <w:p w14:paraId="49984B5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连续监测7天</w:t>
            </w:r>
          </w:p>
        </w:tc>
        <w:tc>
          <w:tcPr>
            <w:tcW w:w="915" w:type="pct"/>
            <w:vAlign w:val="center"/>
          </w:tcPr>
          <w:p w14:paraId="72900DD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日均值</w:t>
            </w:r>
          </w:p>
        </w:tc>
      </w:tr>
    </w:tbl>
    <w:p w14:paraId="36D00AD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（3）监测分析方法及检出限</w:t>
      </w:r>
    </w:p>
    <w:p w14:paraId="26BF0F0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监测方法按照《环境监测技术规范（第二册大气和废气部分）》和《环境空气质量标准》（GB3095-2012）规定的分析方法中的有关规定进行。分析方法按照国家环保局颁发的《空气和废气监测分析方法》以及有关规定和要求进行。所用的方法及检出限见表4.2-4。</w:t>
      </w:r>
    </w:p>
    <w:p w14:paraId="3AAC573E">
      <w:pPr>
        <w:pStyle w:val="11"/>
      </w:pPr>
      <w:r>
        <w:rPr>
          <w:rFonts w:hint="eastAsia"/>
        </w:rPr>
        <w:t xml:space="preserve"> 监测分析方法及检出限一览表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6237"/>
        <w:gridCol w:w="1508"/>
      </w:tblGrid>
      <w:tr w14:paraId="1B9BA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Align w:val="center"/>
          </w:tcPr>
          <w:p w14:paraId="564F775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监测项目</w:t>
            </w:r>
          </w:p>
        </w:tc>
        <w:tc>
          <w:tcPr>
            <w:tcW w:w="6237" w:type="dxa"/>
            <w:vAlign w:val="center"/>
          </w:tcPr>
          <w:p w14:paraId="41A2FBA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方法名称</w:t>
            </w:r>
          </w:p>
        </w:tc>
        <w:tc>
          <w:tcPr>
            <w:tcW w:w="1508" w:type="dxa"/>
            <w:vAlign w:val="center"/>
          </w:tcPr>
          <w:p w14:paraId="249C4F5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检出限</w:t>
            </w:r>
          </w:p>
        </w:tc>
      </w:tr>
      <w:tr w14:paraId="330A5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Align w:val="center"/>
          </w:tcPr>
          <w:p w14:paraId="11BB407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非甲烷总烃</w:t>
            </w:r>
          </w:p>
        </w:tc>
        <w:tc>
          <w:tcPr>
            <w:tcW w:w="6237" w:type="dxa"/>
            <w:vAlign w:val="center"/>
          </w:tcPr>
          <w:p w14:paraId="30C31812">
            <w:pPr>
              <w:spacing w:line="240" w:lineRule="auto"/>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环境空气</w:t>
            </w:r>
            <w:r>
              <w:rPr>
                <w:rFonts w:hint="eastAsia"/>
                <w:color w:val="0D0D0D" w:themeColor="text1" w:themeTint="F2"/>
                <w:sz w:val="21"/>
                <w:szCs w:val="21"/>
                <w14:textFill>
                  <w14:solidFill>
                    <w14:schemeClr w14:val="tx1">
                      <w14:lumMod w14:val="95000"/>
                      <w14:lumOff w14:val="5000"/>
                    </w14:schemeClr>
                  </w14:solidFill>
                </w14:textFill>
              </w:rPr>
              <w:t xml:space="preserve"> </w:t>
            </w:r>
            <w:r>
              <w:rPr>
                <w:color w:val="0D0D0D" w:themeColor="text1" w:themeTint="F2"/>
                <w:sz w:val="21"/>
                <w:szCs w:val="21"/>
                <w14:textFill>
                  <w14:solidFill>
                    <w14:schemeClr w14:val="tx1">
                      <w14:lumMod w14:val="95000"/>
                      <w14:lumOff w14:val="5000"/>
                    </w14:schemeClr>
                  </w14:solidFill>
                </w14:textFill>
              </w:rPr>
              <w:t>总烃、甲烷和非甲烷总烃的测定 直接进样-气相色谱法</w:t>
            </w:r>
          </w:p>
          <w:p w14:paraId="57A53CEB">
            <w:pPr>
              <w:spacing w:line="240" w:lineRule="auto"/>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（HJ604-2017）</w:t>
            </w:r>
          </w:p>
        </w:tc>
        <w:tc>
          <w:tcPr>
            <w:tcW w:w="1508" w:type="dxa"/>
            <w:vAlign w:val="center"/>
          </w:tcPr>
          <w:p w14:paraId="791EF0D7">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kern w:val="0"/>
                <w:sz w:val="21"/>
                <w:szCs w:val="21"/>
                <w14:textFill>
                  <w14:solidFill>
                    <w14:schemeClr w14:val="tx1">
                      <w14:lumMod w14:val="95000"/>
                      <w14:lumOff w14:val="5000"/>
                    </w14:schemeClr>
                  </w14:solidFill>
                </w14:textFill>
              </w:rPr>
              <w:t>0.07</w:t>
            </w:r>
            <w:r>
              <w:rPr>
                <w:color w:val="0D0D0D" w:themeColor="text1" w:themeTint="F2"/>
                <w:sz w:val="21"/>
                <w:szCs w:val="21"/>
                <w14:textFill>
                  <w14:solidFill>
                    <w14:schemeClr w14:val="tx1">
                      <w14:lumMod w14:val="95000"/>
                      <w14:lumOff w14:val="5000"/>
                    </w14:schemeClr>
                  </w14:solidFill>
                </w14:textFill>
              </w:rPr>
              <w:t>mg/m</w:t>
            </w:r>
            <w:r>
              <w:rPr>
                <w:color w:val="0D0D0D" w:themeColor="text1" w:themeTint="F2"/>
                <w:sz w:val="21"/>
                <w:szCs w:val="21"/>
                <w:vertAlign w:val="superscript"/>
                <w14:textFill>
                  <w14:solidFill>
                    <w14:schemeClr w14:val="tx1">
                      <w14:lumMod w14:val="95000"/>
                      <w14:lumOff w14:val="5000"/>
                    </w14:schemeClr>
                  </w14:solidFill>
                </w14:textFill>
              </w:rPr>
              <w:t>3</w:t>
            </w:r>
          </w:p>
        </w:tc>
      </w:tr>
      <w:tr w14:paraId="3DE66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Align w:val="center"/>
          </w:tcPr>
          <w:p w14:paraId="3E13BA6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氨</w:t>
            </w:r>
          </w:p>
        </w:tc>
        <w:tc>
          <w:tcPr>
            <w:tcW w:w="6237" w:type="dxa"/>
            <w:vAlign w:val="center"/>
          </w:tcPr>
          <w:p w14:paraId="15E2810C">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环境空气和废气 氨的测定 纳氏试剂分光光度法（HJ533-2009）</w:t>
            </w:r>
          </w:p>
        </w:tc>
        <w:tc>
          <w:tcPr>
            <w:tcW w:w="1508" w:type="dxa"/>
            <w:vAlign w:val="center"/>
          </w:tcPr>
          <w:p w14:paraId="2D7D605C">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0.01mg/m</w:t>
            </w:r>
            <w:r>
              <w:rPr>
                <w:color w:val="0D0D0D" w:themeColor="text1" w:themeTint="F2"/>
                <w:sz w:val="21"/>
                <w:szCs w:val="21"/>
                <w:vertAlign w:val="superscript"/>
                <w14:textFill>
                  <w14:solidFill>
                    <w14:schemeClr w14:val="tx1">
                      <w14:lumMod w14:val="95000"/>
                      <w14:lumOff w14:val="5000"/>
                    </w14:schemeClr>
                  </w14:solidFill>
                </w14:textFill>
              </w:rPr>
              <w:t>3</w:t>
            </w:r>
          </w:p>
        </w:tc>
      </w:tr>
      <w:tr w14:paraId="44D25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Align w:val="center"/>
          </w:tcPr>
          <w:p w14:paraId="4B63DFC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硫化氢</w:t>
            </w:r>
          </w:p>
        </w:tc>
        <w:tc>
          <w:tcPr>
            <w:tcW w:w="6237" w:type="dxa"/>
            <w:vAlign w:val="center"/>
          </w:tcPr>
          <w:p w14:paraId="518BF54F">
            <w:pPr>
              <w:spacing w:line="240" w:lineRule="auto"/>
              <w:rPr>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环境空气 硫化氢 亚甲基蓝分光光度法《空气和废气监测分析方法》（第四版增补版）国家环境保护总局（2003年）</w:t>
            </w:r>
          </w:p>
        </w:tc>
        <w:tc>
          <w:tcPr>
            <w:tcW w:w="1508" w:type="dxa"/>
            <w:vAlign w:val="center"/>
          </w:tcPr>
          <w:p w14:paraId="014EBDC1">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0.001mg/m</w:t>
            </w:r>
            <w:r>
              <w:rPr>
                <w:color w:val="0D0D0D" w:themeColor="text1" w:themeTint="F2"/>
                <w:sz w:val="21"/>
                <w:szCs w:val="21"/>
                <w:vertAlign w:val="superscript"/>
                <w14:textFill>
                  <w14:solidFill>
                    <w14:schemeClr w14:val="tx1">
                      <w14:lumMod w14:val="95000"/>
                      <w14:lumOff w14:val="5000"/>
                    </w14:schemeClr>
                  </w14:solidFill>
                </w14:textFill>
              </w:rPr>
              <w:t>3</w:t>
            </w:r>
          </w:p>
        </w:tc>
      </w:tr>
      <w:tr w14:paraId="14958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Align w:val="center"/>
          </w:tcPr>
          <w:p w14:paraId="547C406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臭气浓度</w:t>
            </w:r>
          </w:p>
        </w:tc>
        <w:tc>
          <w:tcPr>
            <w:tcW w:w="6237" w:type="dxa"/>
            <w:vAlign w:val="center"/>
          </w:tcPr>
          <w:p w14:paraId="3DBF9FD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环境空气和废气 臭气的测定 三点比较式臭袋法（HJ1262-2022）</w:t>
            </w:r>
          </w:p>
        </w:tc>
        <w:tc>
          <w:tcPr>
            <w:tcW w:w="1508" w:type="dxa"/>
            <w:vAlign w:val="center"/>
          </w:tcPr>
          <w:p w14:paraId="7B62B3B8">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10（无量纲）</w:t>
            </w:r>
          </w:p>
        </w:tc>
      </w:tr>
      <w:tr w14:paraId="78559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Merge w:val="restart"/>
            <w:vAlign w:val="center"/>
          </w:tcPr>
          <w:p w14:paraId="4846C71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甲醇</w:t>
            </w:r>
          </w:p>
        </w:tc>
        <w:tc>
          <w:tcPr>
            <w:tcW w:w="6237" w:type="dxa"/>
            <w:vMerge w:val="restart"/>
            <w:vAlign w:val="center"/>
          </w:tcPr>
          <w:p w14:paraId="5E4FE563">
            <w:pPr>
              <w:spacing w:line="240" w:lineRule="auto"/>
              <w:rPr>
                <w:rFonts w:cs="Times New Roman"/>
                <w:color w:val="0D0D0D" w:themeColor="text1" w:themeTint="F2"/>
                <w:kern w:val="0"/>
                <w:sz w:val="21"/>
                <w:szCs w:val="21"/>
                <w:lang w:bidi="ar"/>
                <w14:textFill>
                  <w14:solidFill>
                    <w14:schemeClr w14:val="tx1">
                      <w14:lumMod w14:val="95000"/>
                      <w14:lumOff w14:val="5000"/>
                    </w14:schemeClr>
                  </w14:solidFill>
                </w14:textFill>
              </w:rPr>
            </w:pPr>
            <w:r>
              <w:rPr>
                <w:rFonts w:cs="Times New Roman"/>
                <w:color w:val="0D0D0D" w:themeColor="text1" w:themeTint="F2"/>
                <w:kern w:val="0"/>
                <w:sz w:val="21"/>
                <w:szCs w:val="21"/>
                <w:lang w:bidi="ar"/>
                <w14:textFill>
                  <w14:solidFill>
                    <w14:schemeClr w14:val="tx1">
                      <w14:lumMod w14:val="95000"/>
                      <w14:lumOff w14:val="5000"/>
                    </w14:schemeClr>
                  </w14:solidFill>
                </w14:textFill>
              </w:rPr>
              <w:t>气相色谱法（B）《空气和废气监测分析方法（第四版增补版）》</w:t>
            </w:r>
            <w:r>
              <w:rPr>
                <w:rFonts w:hint="eastAsia" w:cs="Times New Roman"/>
                <w:color w:val="0D0D0D" w:themeColor="text1" w:themeTint="F2"/>
                <w:kern w:val="0"/>
                <w:sz w:val="21"/>
                <w:szCs w:val="21"/>
                <w:lang w:bidi="ar"/>
                <w14:textFill>
                  <w14:solidFill>
                    <w14:schemeClr w14:val="tx1">
                      <w14:lumMod w14:val="95000"/>
                      <w14:lumOff w14:val="5000"/>
                    </w14:schemeClr>
                  </w14:solidFill>
                </w14:textFill>
              </w:rPr>
              <w:t>国家环境保护总局，2007年第六篇第一章第六条（一）</w:t>
            </w:r>
          </w:p>
        </w:tc>
        <w:tc>
          <w:tcPr>
            <w:tcW w:w="1508" w:type="dxa"/>
            <w:vAlign w:val="center"/>
          </w:tcPr>
          <w:p w14:paraId="3BA578D7">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0.1</w:t>
            </w:r>
            <w:r>
              <w:rPr>
                <w:rFonts w:cs="Times New Roman"/>
                <w:color w:val="0D0D0D" w:themeColor="text1" w:themeTint="F2"/>
                <w:sz w:val="21"/>
                <w:szCs w:val="21"/>
                <w14:textFill>
                  <w14:solidFill>
                    <w14:schemeClr w14:val="tx1">
                      <w14:lumMod w14:val="95000"/>
                      <w14:lumOff w14:val="5000"/>
                    </w14:schemeClr>
                  </w14:solidFill>
                </w14:textFill>
              </w:rPr>
              <w:t>mg/</w:t>
            </w:r>
            <w:r>
              <w:rPr>
                <w:rFonts w:hint="eastAsia" w:cs="Times New Roman"/>
                <w:color w:val="0D0D0D" w:themeColor="text1" w:themeTint="F2"/>
                <w:sz w:val="21"/>
                <w:szCs w:val="21"/>
                <w14:textFill>
                  <w14:solidFill>
                    <w14:schemeClr w14:val="tx1">
                      <w14:lumMod w14:val="95000"/>
                      <w14:lumOff w14:val="5000"/>
                    </w14:schemeClr>
                  </w14:solidFill>
                </w14:textFill>
              </w:rPr>
              <w:t>m</w:t>
            </w:r>
            <w:r>
              <w:rPr>
                <w:rFonts w:hint="eastAsia" w:cs="Times New Roman"/>
                <w:color w:val="0D0D0D" w:themeColor="text1" w:themeTint="F2"/>
                <w:sz w:val="21"/>
                <w:szCs w:val="21"/>
                <w:vertAlign w:val="superscript"/>
                <w14:textFill>
                  <w14:solidFill>
                    <w14:schemeClr w14:val="tx1">
                      <w14:lumMod w14:val="95000"/>
                      <w14:lumOff w14:val="5000"/>
                    </w14:schemeClr>
                  </w14:solidFill>
                </w14:textFill>
              </w:rPr>
              <w:t>3</w:t>
            </w:r>
          </w:p>
          <w:p w14:paraId="3A1FFDB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（小时值）</w:t>
            </w:r>
          </w:p>
        </w:tc>
      </w:tr>
      <w:tr w14:paraId="5958E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Merge w:val="continue"/>
            <w:vAlign w:val="center"/>
          </w:tcPr>
          <w:p w14:paraId="02EF36E5">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6237" w:type="dxa"/>
            <w:vMerge w:val="continue"/>
            <w:vAlign w:val="center"/>
          </w:tcPr>
          <w:p w14:paraId="2E19909C">
            <w:pPr>
              <w:spacing w:line="240" w:lineRule="auto"/>
              <w:jc w:val="center"/>
              <w:rPr>
                <w:rFonts w:cs="Times New Roman"/>
                <w:color w:val="0D0D0D" w:themeColor="text1" w:themeTint="F2"/>
                <w:kern w:val="0"/>
                <w:sz w:val="21"/>
                <w:szCs w:val="21"/>
                <w:lang w:bidi="ar"/>
                <w14:textFill>
                  <w14:solidFill>
                    <w14:schemeClr w14:val="tx1">
                      <w14:lumMod w14:val="95000"/>
                      <w14:lumOff w14:val="5000"/>
                    </w14:schemeClr>
                  </w14:solidFill>
                </w14:textFill>
              </w:rPr>
            </w:pPr>
          </w:p>
        </w:tc>
        <w:tc>
          <w:tcPr>
            <w:tcW w:w="1508" w:type="dxa"/>
            <w:vAlign w:val="center"/>
          </w:tcPr>
          <w:p w14:paraId="73EE1EEE">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0.002</w:t>
            </w:r>
            <w:r>
              <w:rPr>
                <w:rFonts w:hint="eastAsia" w:cs="Times New Roman"/>
                <w:color w:val="0D0D0D" w:themeColor="text1" w:themeTint="F2"/>
                <w:sz w:val="21"/>
                <w:szCs w:val="21"/>
                <w14:textFill>
                  <w14:solidFill>
                    <w14:schemeClr w14:val="tx1">
                      <w14:lumMod w14:val="95000"/>
                      <w14:lumOff w14:val="5000"/>
                    </w14:schemeClr>
                  </w14:solidFill>
                </w14:textFill>
              </w:rPr>
              <w:t>µ</w:t>
            </w:r>
            <w:r>
              <w:rPr>
                <w:rFonts w:cs="Times New Roman"/>
                <w:color w:val="0D0D0D" w:themeColor="text1" w:themeTint="F2"/>
                <w:sz w:val="21"/>
                <w:szCs w:val="21"/>
                <w14:textFill>
                  <w14:solidFill>
                    <w14:schemeClr w14:val="tx1">
                      <w14:lumMod w14:val="95000"/>
                      <w14:lumOff w14:val="5000"/>
                    </w14:schemeClr>
                  </w14:solidFill>
                </w14:textFill>
              </w:rPr>
              <w:t>g</w:t>
            </w:r>
          </w:p>
          <w:p w14:paraId="25CD8AF7">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（日均值）</w:t>
            </w:r>
          </w:p>
        </w:tc>
      </w:tr>
      <w:tr w14:paraId="22E97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Align w:val="center"/>
          </w:tcPr>
          <w:p w14:paraId="15973D2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TSP</w:t>
            </w:r>
          </w:p>
        </w:tc>
        <w:tc>
          <w:tcPr>
            <w:tcW w:w="6237" w:type="dxa"/>
            <w:vAlign w:val="center"/>
          </w:tcPr>
          <w:p w14:paraId="6610ECE2">
            <w:pPr>
              <w:spacing w:line="240" w:lineRule="auto"/>
              <w:jc w:val="center"/>
              <w:rPr>
                <w:rFonts w:cs="Times New Roman"/>
                <w:color w:val="0D0D0D" w:themeColor="text1" w:themeTint="F2"/>
                <w:kern w:val="0"/>
                <w:sz w:val="21"/>
                <w:szCs w:val="21"/>
                <w:u w:val="single"/>
                <w:lang w:bidi="ar"/>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lang w:bidi="ar"/>
                <w14:textFill>
                  <w14:solidFill>
                    <w14:schemeClr w14:val="tx1">
                      <w14:lumMod w14:val="95000"/>
                      <w14:lumOff w14:val="5000"/>
                    </w14:schemeClr>
                  </w14:solidFill>
                </w14:textFill>
              </w:rPr>
              <w:t>环境空气总悬浮颗粒物的测定重量法（HJ1263-2022）</w:t>
            </w:r>
          </w:p>
        </w:tc>
        <w:tc>
          <w:tcPr>
            <w:tcW w:w="1508" w:type="dxa"/>
            <w:vAlign w:val="center"/>
          </w:tcPr>
          <w:p w14:paraId="325C8866">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7μg/m</w:t>
            </w:r>
            <w:r>
              <w:rPr>
                <w:rFonts w:cs="Times New Roman"/>
                <w:color w:val="0D0D0D" w:themeColor="text1" w:themeTint="F2"/>
                <w:kern w:val="0"/>
                <w:sz w:val="21"/>
                <w:szCs w:val="21"/>
                <w:u w:val="single"/>
                <w:vertAlign w:val="superscript"/>
                <w14:textFill>
                  <w14:solidFill>
                    <w14:schemeClr w14:val="tx1">
                      <w14:lumMod w14:val="95000"/>
                      <w14:lumOff w14:val="5000"/>
                    </w14:schemeClr>
                  </w14:solidFill>
                </w14:textFill>
              </w:rPr>
              <w:t>3</w:t>
            </w:r>
          </w:p>
        </w:tc>
      </w:tr>
    </w:tbl>
    <w:p w14:paraId="617DE5A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（4）环境空气质量评价标准</w:t>
      </w:r>
    </w:p>
    <w:p w14:paraId="6FD01C9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TSP执行《环境空气质量标准》（GB3095-2012）及其修改单中的二级标准；</w:t>
      </w:r>
      <w:r>
        <w:rPr>
          <w:rFonts w:hint="eastAsia"/>
          <w:color w:val="0D0D0D" w:themeColor="text1" w:themeTint="F2"/>
          <w14:textFill>
            <w14:solidFill>
              <w14:schemeClr w14:val="tx1">
                <w14:lumMod w14:val="95000"/>
                <w14:lumOff w14:val="5000"/>
              </w14:schemeClr>
            </w14:solidFill>
          </w14:textFill>
        </w:rPr>
        <w:t>甲醇、TVOC、氨、硫化氢参照执行《环境影响评价导则  大气环境》（HJ2.2-2018）附录D其他污染物空气质量浓度参考限值；非甲烷总烃参照执行《大气污染物综合排放标准详解》标准值；臭气浓度无质量标准，留作背景值。</w:t>
      </w:r>
    </w:p>
    <w:p w14:paraId="4348F57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（5）监测结果统计分析</w:t>
      </w:r>
    </w:p>
    <w:p w14:paraId="6BAD1D6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大气环境质量现状监测结果及统计分析详见表4.2-5。</w:t>
      </w:r>
    </w:p>
    <w:p w14:paraId="2F608CEB">
      <w:pPr>
        <w:pStyle w:val="11"/>
        <w:sectPr>
          <w:pgSz w:w="11906" w:h="16838"/>
          <w:pgMar w:top="1440" w:right="1440" w:bottom="1440" w:left="1440" w:header="851" w:footer="992" w:gutter="0"/>
          <w:cols w:space="425" w:num="1"/>
          <w:docGrid w:type="lines" w:linePitch="312" w:charSpace="0"/>
        </w:sectPr>
      </w:pPr>
    </w:p>
    <w:p w14:paraId="38303D5F">
      <w:pPr>
        <w:pStyle w:val="11"/>
      </w:pPr>
      <w:r>
        <w:rPr>
          <w:rFonts w:hint="eastAsia"/>
        </w:rPr>
        <w:t xml:space="preserve"> 环境空气质量现状监测结果及分析表</w:t>
      </w:r>
    </w:p>
    <w:p w14:paraId="03E72C04">
      <w:pPr>
        <w:widowControl/>
        <w:spacing w:line="240" w:lineRule="auto"/>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（涉密，公示本已删除）</w:t>
      </w:r>
    </w:p>
    <w:p w14:paraId="5C60BF7E">
      <w:pPr>
        <w:widowControl/>
        <w:spacing w:line="240" w:lineRule="auto"/>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14:paraId="155377AE">
      <w:pPr>
        <w:ind w:firstLine="480" w:firstLineChars="200"/>
        <w:rPr>
          <w:color w:val="0D0D0D" w:themeColor="text1" w:themeTint="F2"/>
          <w14:textFill>
            <w14:solidFill>
              <w14:schemeClr w14:val="tx1">
                <w14:lumMod w14:val="95000"/>
                <w14:lumOff w14:val="5000"/>
              </w14:schemeClr>
            </w14:solidFill>
          </w14:textFill>
        </w:rPr>
        <w:sectPr>
          <w:pgSz w:w="16838" w:h="11906" w:orient="landscape"/>
          <w:pgMar w:top="1440" w:right="1440" w:bottom="1440" w:left="1440" w:header="851" w:footer="992" w:gutter="0"/>
          <w:cols w:space="425" w:num="1"/>
          <w:docGrid w:type="linesAndChars" w:linePitch="312" w:charSpace="0"/>
        </w:sectPr>
      </w:pPr>
    </w:p>
    <w:p w14:paraId="008FB66E">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由上表可知，项目区域TSP满足《环境空气质量标准》（GB3095-2012）及修改单中的二级标准；甲醇、氨、硫化氢的1小时平均浓度、TVOC8小时平均浓度及甲醇24小时平均浓度均可满足《环境影响评价导则  大气环境》（HJ2.2-2018）中附录D其他污染物空气质量浓度参考限值要求；非甲烷总烃1小时平均浓度可满足《大气污染物综合排放标准详解》标准限值要求；臭气浓度无质量标准，留作背景值。项目区域环境空气质量良好。</w:t>
      </w:r>
    </w:p>
    <w:p w14:paraId="45A71AE6">
      <w:pPr>
        <w:pStyle w:val="9"/>
      </w:pPr>
      <w:bookmarkStart w:id="133" w:name="_Toc204062599"/>
      <w:r>
        <w:rPr>
          <w:rFonts w:hint="eastAsia"/>
        </w:rPr>
        <w:t>地表水环境现状调查与评价</w:t>
      </w:r>
      <w:bookmarkEnd w:id="133"/>
    </w:p>
    <w:p w14:paraId="2527E922">
      <w:pPr>
        <w:ind w:firstLine="480" w:firstLineChars="200"/>
        <w:rPr>
          <w:color w:val="0D0D0D" w:themeColor="text1" w:themeTint="F2"/>
          <w14:textFill>
            <w14:solidFill>
              <w14:schemeClr w14:val="tx1">
                <w14:lumMod w14:val="95000"/>
                <w14:lumOff w14:val="5000"/>
              </w14:schemeClr>
            </w14:solidFill>
          </w14:textFill>
        </w:rPr>
      </w:pPr>
      <w:bookmarkStart w:id="134" w:name="_Hlk195746807"/>
      <w:r>
        <w:rPr>
          <w:rFonts w:hint="eastAsia"/>
          <w:color w:val="0D0D0D" w:themeColor="text1" w:themeTint="F2"/>
          <w14:textFill>
            <w14:solidFill>
              <w14:schemeClr w14:val="tx1">
                <w14:lumMod w14:val="95000"/>
                <w14:lumOff w14:val="5000"/>
              </w14:schemeClr>
            </w14:solidFill>
          </w14:textFill>
        </w:rPr>
        <w:t>项目实行雨污分流，</w:t>
      </w:r>
      <w:bookmarkEnd w:id="134"/>
      <w:r>
        <w:rPr>
          <w:rFonts w:hint="eastAsia"/>
          <w:color w:val="0D0D0D" w:themeColor="text1" w:themeTint="F2"/>
          <w14:textFill>
            <w14:solidFill>
              <w14:schemeClr w14:val="tx1">
                <w14:lumMod w14:val="95000"/>
                <w14:lumOff w14:val="5000"/>
              </w14:schemeClr>
            </w14:solidFill>
          </w14:textFill>
        </w:rPr>
        <w:t>初期雨水经初期雨水池收集后泵入厂区污水处理站与生产废水一起处理达标后排入市政污水管网，生活污水经三级化粪池处理后排入市政污水管网，废水输送至钦州胜科水务有限公司污水处理厂进一步处理后排入钦州港金鼓江排污混合区（GX056DⅣ）深海排放。根据《环境影响评价技术导则  地表水环境》（HJ2.3-2018），地表水评价等级为三级B，故本次评价不开展地表水现状调查。</w:t>
      </w:r>
    </w:p>
    <w:p w14:paraId="167ADD2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2023年钦州市环境质量状况年报》，钦州市主要河流水质继续保持良好及以上水平，其中钦江干流水质保持为优；大风江干流保持为良好；茅岭江干流水质有所下降，由优下降为良好。钦州市灵东水库、金窝水库、洪潮江水库和小江水库水质均保持为优；其中灵东水库、金窝水库和洪潮江水库的营养状态为中营养。钦州市7个国控考核地表水断面水质优良比例为85.7%，其中Ⅱ类断面4个，占比57.1%；Ⅲ类断面2个，占比28.6%；Ⅳ类断面1个，占比14.3%。7个国控考核断面中，有6个断面达到“十四五”国家考核目标，达标率为85.7%，与去年持平。</w:t>
      </w:r>
    </w:p>
    <w:p w14:paraId="5DD2CF0D">
      <w:pPr>
        <w:pStyle w:val="9"/>
      </w:pPr>
      <w:bookmarkStart w:id="135" w:name="_Toc204062600"/>
      <w:r>
        <w:rPr>
          <w:rFonts w:hint="eastAsia"/>
        </w:rPr>
        <w:t>海水环境现状调查与评价</w:t>
      </w:r>
      <w:bookmarkEnd w:id="135"/>
    </w:p>
    <w:p w14:paraId="3A35223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实行雨污分流，初期雨水经初期雨水池收集后泵入厂区污水处理站与生产废水一起处理达标后排入市政污水管网，生活污水经三级化粪池处理后排入市政污水管网，废水输送至钦州胜科水务有限公司污水处理厂进一步处理后排入钦州港金鼓江排污混合区（GX056DⅣ）深海排放。</w:t>
      </w:r>
    </w:p>
    <w:p w14:paraId="2FB28D4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为了解钦州港金鼓江排污混合区（GX056DⅣ）海域水环境质量现状，本次评价引用国家海洋环境监测中心的海水水质监测信息公开系统中GXN14010站点2024年10月的监测数据进行评价，监测数据详见表4.2-6。</w:t>
      </w:r>
    </w:p>
    <w:p w14:paraId="0BBD137D">
      <w:pPr>
        <w:pStyle w:val="11"/>
      </w:pPr>
      <w:r>
        <w:rPr>
          <w:rFonts w:hint="eastAsia"/>
        </w:rPr>
        <w:t xml:space="preserve"> 引用海水质量监测结果表</w:t>
      </w:r>
    </w:p>
    <w:p w14:paraId="0C740192">
      <w:pPr>
        <w:ind w:firstLine="480" w:firstLineChars="20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（涉密，公示本已删除）</w:t>
      </w:r>
    </w:p>
    <w:p w14:paraId="41E6BC1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由上表可知，钦州港金鼓江排污混合区（GX056DⅣ）GXN14010站点各监测因子均符合《海水水质标准》（GB3097-1997）第四类标准。</w:t>
      </w:r>
    </w:p>
    <w:p w14:paraId="5C2104A6">
      <w:pPr>
        <w:pStyle w:val="9"/>
      </w:pPr>
      <w:bookmarkStart w:id="136" w:name="_Toc204062601"/>
      <w:r>
        <w:rPr>
          <w:rFonts w:hint="eastAsia"/>
        </w:rPr>
        <w:t>地下水环境现状调查与评价</w:t>
      </w:r>
      <w:bookmarkEnd w:id="136"/>
    </w:p>
    <w:p w14:paraId="7DD0A68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（1）监测布点</w:t>
      </w:r>
    </w:p>
    <w:p w14:paraId="5F959103">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项目地下水评价等级为二级，根据《环境影响评价技术导则  地下水环境》（HJ610-2016），项目地下水环境现状监测应布设水质监测点位不少于5个，原则上建设项目场地上游和两侧的地下水水质监测点均不得少于1个，建设项目场地及其下游影响区的地下水水质监测点不得少于2个。一般情况下，地下水水位监测点数以不小于相应评价级别地下水水质监测点数的2倍为宜。</w:t>
      </w:r>
    </w:p>
    <w:p w14:paraId="48955B54">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本次评价设置5个地下水水质监测点，其中厂区上游设置1个监测点，厂区内设置1个监测点，侧游设置2个监测点，下游设置1个监测点，符合导则要求，地下水监测点设置基本合理。</w:t>
      </w:r>
    </w:p>
    <w:p w14:paraId="6CA1F699">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本次评价设置10个地下水水位监测点，水位调查时间为2024年12月2日，点位信息详见表4.2-7。</w:t>
      </w:r>
    </w:p>
    <w:p w14:paraId="31C70B71">
      <w:pPr>
        <w:pStyle w:val="11"/>
      </w:pPr>
      <w:r>
        <w:rPr>
          <w:rFonts w:hint="eastAsia"/>
        </w:rPr>
        <w:t xml:space="preserve"> 地下水监测布点情况一览表</w:t>
      </w:r>
    </w:p>
    <w:p w14:paraId="7FE38EA7">
      <w:pPr>
        <w:ind w:firstLine="480" w:firstLineChars="20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（涉密，公示本已删除）</w:t>
      </w:r>
    </w:p>
    <w:p w14:paraId="77C9410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（2）监测因子</w:t>
      </w:r>
    </w:p>
    <w:p w14:paraId="32B74441">
      <w:pPr>
        <w:widowControl/>
        <w:ind w:firstLine="480" w:firstLineChars="200"/>
        <w:textAlignment w:val="center"/>
        <w:rPr>
          <w:color w:val="0D0D0D" w:themeColor="text1" w:themeTint="F2"/>
          <w:kern w:val="28"/>
          <w:szCs w:val="21"/>
          <w14:textFill>
            <w14:solidFill>
              <w14:schemeClr w14:val="tx1">
                <w14:lumMod w14:val="95000"/>
                <w14:lumOff w14:val="5000"/>
              </w14:schemeClr>
            </w14:solidFill>
          </w14:textFill>
        </w:rPr>
      </w:pPr>
      <w:r>
        <w:rPr>
          <w:color w:val="0D0D0D" w:themeColor="text1" w:themeTint="F2"/>
          <w:kern w:val="28"/>
          <w:szCs w:val="21"/>
          <w14:textFill>
            <w14:solidFill>
              <w14:schemeClr w14:val="tx1">
                <w14:lumMod w14:val="95000"/>
                <w14:lumOff w14:val="5000"/>
              </w14:schemeClr>
            </w14:solidFill>
          </w14:textFill>
        </w:rPr>
        <w:t>K</w:t>
      </w:r>
      <w:r>
        <w:rPr>
          <w:color w:val="0D0D0D" w:themeColor="text1" w:themeTint="F2"/>
          <w:kern w:val="28"/>
          <w:szCs w:val="21"/>
          <w:vertAlign w:val="superscript"/>
          <w14:textFill>
            <w14:solidFill>
              <w14:schemeClr w14:val="tx1">
                <w14:lumMod w14:val="95000"/>
                <w14:lumOff w14:val="5000"/>
              </w14:schemeClr>
            </w14:solidFill>
          </w14:textFill>
        </w:rPr>
        <w:t>+</w:t>
      </w:r>
      <w:r>
        <w:rPr>
          <w:color w:val="0D0D0D" w:themeColor="text1" w:themeTint="F2"/>
          <w:kern w:val="28"/>
          <w:szCs w:val="21"/>
          <w14:textFill>
            <w14:solidFill>
              <w14:schemeClr w14:val="tx1">
                <w14:lumMod w14:val="95000"/>
                <w14:lumOff w14:val="5000"/>
              </w14:schemeClr>
            </w14:solidFill>
          </w14:textFill>
        </w:rPr>
        <w:t>、Na</w:t>
      </w:r>
      <w:r>
        <w:rPr>
          <w:color w:val="0D0D0D" w:themeColor="text1" w:themeTint="F2"/>
          <w:kern w:val="28"/>
          <w:szCs w:val="21"/>
          <w:vertAlign w:val="superscript"/>
          <w14:textFill>
            <w14:solidFill>
              <w14:schemeClr w14:val="tx1">
                <w14:lumMod w14:val="95000"/>
                <w14:lumOff w14:val="5000"/>
              </w14:schemeClr>
            </w14:solidFill>
          </w14:textFill>
        </w:rPr>
        <w:t>+</w:t>
      </w:r>
      <w:r>
        <w:rPr>
          <w:color w:val="0D0D0D" w:themeColor="text1" w:themeTint="F2"/>
          <w:kern w:val="28"/>
          <w:szCs w:val="21"/>
          <w14:textFill>
            <w14:solidFill>
              <w14:schemeClr w14:val="tx1">
                <w14:lumMod w14:val="95000"/>
                <w14:lumOff w14:val="5000"/>
              </w14:schemeClr>
            </w14:solidFill>
          </w14:textFill>
        </w:rPr>
        <w:t>、Ca</w:t>
      </w:r>
      <w:r>
        <w:rPr>
          <w:color w:val="0D0D0D" w:themeColor="text1" w:themeTint="F2"/>
          <w:kern w:val="28"/>
          <w:szCs w:val="21"/>
          <w:vertAlign w:val="superscript"/>
          <w14:textFill>
            <w14:solidFill>
              <w14:schemeClr w14:val="tx1">
                <w14:lumMod w14:val="95000"/>
                <w14:lumOff w14:val="5000"/>
              </w14:schemeClr>
            </w14:solidFill>
          </w14:textFill>
        </w:rPr>
        <w:t>2+</w:t>
      </w:r>
      <w:r>
        <w:rPr>
          <w:color w:val="0D0D0D" w:themeColor="text1" w:themeTint="F2"/>
          <w:kern w:val="28"/>
          <w:szCs w:val="21"/>
          <w14:textFill>
            <w14:solidFill>
              <w14:schemeClr w14:val="tx1">
                <w14:lumMod w14:val="95000"/>
                <w14:lumOff w14:val="5000"/>
              </w14:schemeClr>
            </w14:solidFill>
          </w14:textFill>
        </w:rPr>
        <w:t>、Mg</w:t>
      </w:r>
      <w:r>
        <w:rPr>
          <w:color w:val="0D0D0D" w:themeColor="text1" w:themeTint="F2"/>
          <w:kern w:val="28"/>
          <w:szCs w:val="21"/>
          <w:vertAlign w:val="superscript"/>
          <w14:textFill>
            <w14:solidFill>
              <w14:schemeClr w14:val="tx1">
                <w14:lumMod w14:val="95000"/>
                <w14:lumOff w14:val="5000"/>
              </w14:schemeClr>
            </w14:solidFill>
          </w14:textFill>
        </w:rPr>
        <w:t>2+</w:t>
      </w:r>
      <w:r>
        <w:rPr>
          <w:color w:val="0D0D0D" w:themeColor="text1" w:themeTint="F2"/>
          <w:kern w:val="28"/>
          <w:szCs w:val="21"/>
          <w14:textFill>
            <w14:solidFill>
              <w14:schemeClr w14:val="tx1">
                <w14:lumMod w14:val="95000"/>
                <w14:lumOff w14:val="5000"/>
              </w14:schemeClr>
            </w14:solidFill>
          </w14:textFill>
        </w:rPr>
        <w:t>、CO</w:t>
      </w:r>
      <w:r>
        <w:rPr>
          <w:color w:val="0D0D0D" w:themeColor="text1" w:themeTint="F2"/>
          <w:kern w:val="28"/>
          <w:szCs w:val="21"/>
          <w:vertAlign w:val="subscript"/>
          <w14:textFill>
            <w14:solidFill>
              <w14:schemeClr w14:val="tx1">
                <w14:lumMod w14:val="95000"/>
                <w14:lumOff w14:val="5000"/>
              </w14:schemeClr>
            </w14:solidFill>
          </w14:textFill>
        </w:rPr>
        <w:t>3</w:t>
      </w:r>
      <w:r>
        <w:rPr>
          <w:color w:val="0D0D0D" w:themeColor="text1" w:themeTint="F2"/>
          <w:kern w:val="28"/>
          <w:szCs w:val="21"/>
          <w:vertAlign w:val="superscript"/>
          <w14:textFill>
            <w14:solidFill>
              <w14:schemeClr w14:val="tx1">
                <w14:lumMod w14:val="95000"/>
                <w14:lumOff w14:val="5000"/>
              </w14:schemeClr>
            </w14:solidFill>
          </w14:textFill>
        </w:rPr>
        <w:t>2-</w:t>
      </w:r>
      <w:r>
        <w:rPr>
          <w:color w:val="0D0D0D" w:themeColor="text1" w:themeTint="F2"/>
          <w:kern w:val="28"/>
          <w:szCs w:val="21"/>
          <w14:textFill>
            <w14:solidFill>
              <w14:schemeClr w14:val="tx1">
                <w14:lumMod w14:val="95000"/>
                <w14:lumOff w14:val="5000"/>
              </w14:schemeClr>
            </w14:solidFill>
          </w14:textFill>
        </w:rPr>
        <w:t>、HCO</w:t>
      </w:r>
      <w:r>
        <w:rPr>
          <w:color w:val="0D0D0D" w:themeColor="text1" w:themeTint="F2"/>
          <w:kern w:val="28"/>
          <w:szCs w:val="21"/>
          <w:vertAlign w:val="subscript"/>
          <w14:textFill>
            <w14:solidFill>
              <w14:schemeClr w14:val="tx1">
                <w14:lumMod w14:val="95000"/>
                <w14:lumOff w14:val="5000"/>
              </w14:schemeClr>
            </w14:solidFill>
          </w14:textFill>
        </w:rPr>
        <w:t>3</w:t>
      </w:r>
      <w:r>
        <w:rPr>
          <w:color w:val="0D0D0D" w:themeColor="text1" w:themeTint="F2"/>
          <w:kern w:val="28"/>
          <w:szCs w:val="21"/>
          <w:vertAlign w:val="superscript"/>
          <w14:textFill>
            <w14:solidFill>
              <w14:schemeClr w14:val="tx1">
                <w14:lumMod w14:val="95000"/>
                <w14:lumOff w14:val="5000"/>
              </w14:schemeClr>
            </w14:solidFill>
          </w14:textFill>
        </w:rPr>
        <w:t>-</w:t>
      </w:r>
      <w:r>
        <w:rPr>
          <w:color w:val="0D0D0D" w:themeColor="text1" w:themeTint="F2"/>
          <w:kern w:val="28"/>
          <w:szCs w:val="21"/>
          <w14:textFill>
            <w14:solidFill>
              <w14:schemeClr w14:val="tx1">
                <w14:lumMod w14:val="95000"/>
                <w14:lumOff w14:val="5000"/>
              </w14:schemeClr>
            </w14:solidFill>
          </w14:textFill>
        </w:rPr>
        <w:t>、Cl</w:t>
      </w:r>
      <w:r>
        <w:rPr>
          <w:color w:val="0D0D0D" w:themeColor="text1" w:themeTint="F2"/>
          <w:kern w:val="28"/>
          <w:szCs w:val="21"/>
          <w:vertAlign w:val="superscript"/>
          <w14:textFill>
            <w14:solidFill>
              <w14:schemeClr w14:val="tx1">
                <w14:lumMod w14:val="95000"/>
                <w14:lumOff w14:val="5000"/>
              </w14:schemeClr>
            </w14:solidFill>
          </w14:textFill>
        </w:rPr>
        <w:t>-</w:t>
      </w:r>
      <w:r>
        <w:rPr>
          <w:color w:val="0D0D0D" w:themeColor="text1" w:themeTint="F2"/>
          <w:kern w:val="28"/>
          <w:szCs w:val="21"/>
          <w14:textFill>
            <w14:solidFill>
              <w14:schemeClr w14:val="tx1">
                <w14:lumMod w14:val="95000"/>
                <w14:lumOff w14:val="5000"/>
              </w14:schemeClr>
            </w14:solidFill>
          </w14:textFill>
        </w:rPr>
        <w:t>、SO</w:t>
      </w:r>
      <w:r>
        <w:rPr>
          <w:color w:val="0D0D0D" w:themeColor="text1" w:themeTint="F2"/>
          <w:kern w:val="28"/>
          <w:szCs w:val="21"/>
          <w:vertAlign w:val="subscript"/>
          <w14:textFill>
            <w14:solidFill>
              <w14:schemeClr w14:val="tx1">
                <w14:lumMod w14:val="95000"/>
                <w14:lumOff w14:val="5000"/>
              </w14:schemeClr>
            </w14:solidFill>
          </w14:textFill>
        </w:rPr>
        <w:t>4</w:t>
      </w:r>
      <w:r>
        <w:rPr>
          <w:color w:val="0D0D0D" w:themeColor="text1" w:themeTint="F2"/>
          <w:kern w:val="28"/>
          <w:szCs w:val="21"/>
          <w:vertAlign w:val="superscript"/>
          <w14:textFill>
            <w14:solidFill>
              <w14:schemeClr w14:val="tx1">
                <w14:lumMod w14:val="95000"/>
                <w14:lumOff w14:val="5000"/>
              </w14:schemeClr>
            </w14:solidFill>
          </w14:textFill>
        </w:rPr>
        <w:t>2-</w:t>
      </w:r>
      <w:r>
        <w:rPr>
          <w:color w:val="0D0D0D" w:themeColor="text1" w:themeTint="F2"/>
          <w:kern w:val="28"/>
          <w:szCs w:val="21"/>
          <w14:textFill>
            <w14:solidFill>
              <w14:schemeClr w14:val="tx1">
                <w14:lumMod w14:val="95000"/>
                <w14:lumOff w14:val="5000"/>
              </w14:schemeClr>
            </w14:solidFill>
          </w14:textFill>
        </w:rPr>
        <w:t>、</w:t>
      </w:r>
      <w:r>
        <w:rPr>
          <w:rFonts w:hint="eastAsia"/>
          <w:color w:val="0D0D0D" w:themeColor="text1" w:themeTint="F2"/>
          <w:kern w:val="28"/>
          <w:szCs w:val="21"/>
          <w14:textFill>
            <w14:solidFill>
              <w14:schemeClr w14:val="tx1">
                <w14:lumMod w14:val="95000"/>
                <w14:lumOff w14:val="5000"/>
              </w14:schemeClr>
            </w14:solidFill>
          </w14:textFill>
        </w:rPr>
        <w:t>pH值、</w:t>
      </w:r>
      <w:r>
        <w:rPr>
          <w:color w:val="0D0D0D" w:themeColor="text1" w:themeTint="F2"/>
          <w:kern w:val="28"/>
          <w:szCs w:val="21"/>
          <w14:textFill>
            <w14:solidFill>
              <w14:schemeClr w14:val="tx1">
                <w14:lumMod w14:val="95000"/>
                <w14:lumOff w14:val="5000"/>
              </w14:schemeClr>
            </w14:solidFill>
          </w14:textFill>
        </w:rPr>
        <w:t>溶解性总固体、</w:t>
      </w:r>
      <w:r>
        <w:rPr>
          <w:rFonts w:hint="eastAsia"/>
          <w:color w:val="0D0D0D" w:themeColor="text1" w:themeTint="F2"/>
          <w:kern w:val="28"/>
          <w:szCs w:val="21"/>
          <w14:textFill>
            <w14:solidFill>
              <w14:schemeClr w14:val="tx1">
                <w14:lumMod w14:val="95000"/>
                <w14:lumOff w14:val="5000"/>
              </w14:schemeClr>
            </w14:solidFill>
          </w14:textFill>
        </w:rPr>
        <w:t>高锰酸盐指数（以O</w:t>
      </w:r>
      <w:r>
        <w:rPr>
          <w:rFonts w:hint="eastAsia"/>
          <w:color w:val="0D0D0D" w:themeColor="text1" w:themeTint="F2"/>
          <w:kern w:val="28"/>
          <w:szCs w:val="21"/>
          <w:vertAlign w:val="subscript"/>
          <w14:textFill>
            <w14:solidFill>
              <w14:schemeClr w14:val="tx1">
                <w14:lumMod w14:val="95000"/>
                <w14:lumOff w14:val="5000"/>
              </w14:schemeClr>
            </w14:solidFill>
          </w14:textFill>
        </w:rPr>
        <w:t>2</w:t>
      </w:r>
      <w:r>
        <w:rPr>
          <w:rFonts w:hint="eastAsia"/>
          <w:color w:val="0D0D0D" w:themeColor="text1" w:themeTint="F2"/>
          <w:kern w:val="28"/>
          <w:szCs w:val="21"/>
          <w14:textFill>
            <w14:solidFill>
              <w14:schemeClr w14:val="tx1">
                <w14:lumMod w14:val="95000"/>
                <w14:lumOff w14:val="5000"/>
              </w14:schemeClr>
            </w14:solidFill>
          </w14:textFill>
        </w:rPr>
        <w:t>计）、氨氮、亚硝酸盐氮、硝酸盐氮、挥发酚、总硬度、铜、铅、锌、镉、六价铬、汞、砷、石油类共24项。</w:t>
      </w:r>
    </w:p>
    <w:p w14:paraId="167E5327">
      <w:pPr>
        <w:widowControl/>
        <w:ind w:firstLine="480" w:firstLineChars="200"/>
        <w:textAlignment w:val="center"/>
        <w:rPr>
          <w:color w:val="0D0D0D" w:themeColor="text1" w:themeTint="F2"/>
          <w:kern w:val="28"/>
          <w:szCs w:val="21"/>
          <w14:textFill>
            <w14:solidFill>
              <w14:schemeClr w14:val="tx1">
                <w14:lumMod w14:val="95000"/>
                <w14:lumOff w14:val="5000"/>
              </w14:schemeClr>
            </w14:solidFill>
          </w14:textFill>
        </w:rPr>
      </w:pPr>
      <w:r>
        <w:rPr>
          <w:rFonts w:hint="eastAsia"/>
          <w:color w:val="0D0D0D" w:themeColor="text1" w:themeTint="F2"/>
          <w:kern w:val="28"/>
          <w:szCs w:val="21"/>
          <w14:textFill>
            <w14:solidFill>
              <w14:schemeClr w14:val="tx1">
                <w14:lumMod w14:val="95000"/>
                <w14:lumOff w14:val="5000"/>
              </w14:schemeClr>
            </w14:solidFill>
          </w14:textFill>
        </w:rPr>
        <w:t>（3）监测时间及频率</w:t>
      </w:r>
    </w:p>
    <w:p w14:paraId="0B72F34B">
      <w:pPr>
        <w:widowControl/>
        <w:ind w:firstLine="480" w:firstLineChars="200"/>
        <w:textAlignment w:val="center"/>
        <w:rPr>
          <w:color w:val="0D0D0D" w:themeColor="text1" w:themeTint="F2"/>
          <w:kern w:val="28"/>
          <w:szCs w:val="21"/>
          <w14:textFill>
            <w14:solidFill>
              <w14:schemeClr w14:val="tx1">
                <w14:lumMod w14:val="95000"/>
                <w14:lumOff w14:val="5000"/>
              </w14:schemeClr>
            </w14:solidFill>
          </w14:textFill>
        </w:rPr>
      </w:pPr>
      <w:r>
        <w:rPr>
          <w:rFonts w:hint="eastAsia"/>
          <w:color w:val="0D0D0D" w:themeColor="text1" w:themeTint="F2"/>
          <w:kern w:val="28"/>
          <w:szCs w:val="21"/>
          <w14:textFill>
            <w14:solidFill>
              <w14:schemeClr w14:val="tx1">
                <w14:lumMod w14:val="95000"/>
                <w14:lumOff w14:val="5000"/>
              </w14:schemeClr>
            </w14:solidFill>
          </w14:textFill>
        </w:rPr>
        <w:t>监测时间为2024年12月2日，监测频次为连续监测1天，每天监测1次。</w:t>
      </w:r>
    </w:p>
    <w:p w14:paraId="7C1C414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（4）监测分析方法</w:t>
      </w:r>
    </w:p>
    <w:p w14:paraId="199D17E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监测方法按照《地下水环境监测技术规范》（HJ164-2020）要求进行采样，分析方法按照《水和废水分析方法》进行分析，所用的方法及检出限见表4.2-8。</w:t>
      </w:r>
    </w:p>
    <w:p w14:paraId="23EE6792">
      <w:pPr>
        <w:pStyle w:val="11"/>
      </w:pPr>
      <w:r>
        <w:rPr>
          <w:rFonts w:hint="eastAsia"/>
        </w:rPr>
        <w:t xml:space="preserve"> 监测分析方法及检出限一览表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7"/>
        <w:gridCol w:w="2065"/>
        <w:gridCol w:w="5349"/>
        <w:gridCol w:w="1281"/>
      </w:tblGrid>
      <w:tr w14:paraId="69120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trPr>
        <w:tc>
          <w:tcPr>
            <w:tcW w:w="296" w:type="pct"/>
            <w:vAlign w:val="center"/>
          </w:tcPr>
          <w:p w14:paraId="036CBDA4">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bookmarkStart w:id="137" w:name="OLE_LINK4" w:colFirst="0" w:colLast="3"/>
            <w:r>
              <w:rPr>
                <w:rFonts w:cs="Times New Roman"/>
                <w:color w:val="0D0D0D" w:themeColor="text1" w:themeTint="F2"/>
                <w:sz w:val="21"/>
                <w:szCs w:val="21"/>
                <w14:textFill>
                  <w14:solidFill>
                    <w14:schemeClr w14:val="tx1">
                      <w14:lumMod w14:val="95000"/>
                      <w14:lumOff w14:val="5000"/>
                    </w14:schemeClr>
                  </w14:solidFill>
                </w14:textFill>
              </w:rPr>
              <w:t>序号</w:t>
            </w:r>
          </w:p>
        </w:tc>
        <w:tc>
          <w:tcPr>
            <w:tcW w:w="1117" w:type="pct"/>
            <w:vAlign w:val="center"/>
          </w:tcPr>
          <w:p w14:paraId="7DB3F598">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监测项目</w:t>
            </w:r>
          </w:p>
        </w:tc>
        <w:tc>
          <w:tcPr>
            <w:tcW w:w="2894" w:type="pct"/>
            <w:vAlign w:val="center"/>
          </w:tcPr>
          <w:p w14:paraId="7BE1D12F">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分析方法</w:t>
            </w:r>
          </w:p>
        </w:tc>
        <w:tc>
          <w:tcPr>
            <w:tcW w:w="693" w:type="pct"/>
            <w:vAlign w:val="center"/>
          </w:tcPr>
          <w:p w14:paraId="2122F9C7">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检出限</w:t>
            </w:r>
          </w:p>
          <w:p w14:paraId="55D50AF4">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或范围</w:t>
            </w:r>
          </w:p>
        </w:tc>
      </w:tr>
      <w:bookmarkEnd w:id="137"/>
      <w:tr w14:paraId="373AB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6" w:type="pct"/>
            <w:tcBorders>
              <w:top w:val="single" w:color="auto" w:sz="4" w:space="0"/>
              <w:left w:val="single" w:color="auto" w:sz="4" w:space="0"/>
              <w:bottom w:val="single" w:color="auto" w:sz="4" w:space="0"/>
              <w:right w:val="single" w:color="auto" w:sz="4" w:space="0"/>
            </w:tcBorders>
            <w:vAlign w:val="center"/>
          </w:tcPr>
          <w:p w14:paraId="74953AEE">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w:t>
            </w:r>
          </w:p>
        </w:tc>
        <w:tc>
          <w:tcPr>
            <w:tcW w:w="1117" w:type="pct"/>
            <w:tcBorders>
              <w:top w:val="single" w:color="auto" w:sz="4" w:space="0"/>
              <w:left w:val="single" w:color="auto" w:sz="4" w:space="0"/>
              <w:bottom w:val="single" w:color="auto" w:sz="4" w:space="0"/>
              <w:right w:val="single" w:color="auto" w:sz="4" w:space="0"/>
            </w:tcBorders>
            <w:shd w:val="clear" w:color="auto" w:fill="FFFFFF"/>
            <w:vAlign w:val="center"/>
          </w:tcPr>
          <w:p w14:paraId="1C02B53F">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水质采样</w:t>
            </w:r>
          </w:p>
        </w:tc>
        <w:tc>
          <w:tcPr>
            <w:tcW w:w="3588"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EF0043C">
            <w:pPr>
              <w:pStyle w:val="17"/>
              <w:spacing w:line="240" w:lineRule="auto"/>
              <w:ind w:firstLine="0" w:firstLineChars="0"/>
              <w:jc w:val="center"/>
              <w:rPr>
                <w:rFonts w:ascii="Times New Roman" w:hAnsi="Times New Roman"/>
                <w:color w:val="0D0D0D" w:themeColor="text1" w:themeTint="F2"/>
                <w:sz w:val="21"/>
                <w:szCs w:val="21"/>
                <w14:textFill>
                  <w14:solidFill>
                    <w14:schemeClr w14:val="tx1">
                      <w14:lumMod w14:val="95000"/>
                      <w14:lumOff w14:val="5000"/>
                    </w14:schemeClr>
                  </w14:solidFill>
                </w14:textFill>
              </w:rPr>
            </w:pPr>
            <w:r>
              <w:rPr>
                <w:rFonts w:ascii="Times New Roman" w:hAnsi="Times New Roman"/>
                <w:color w:val="0D0D0D" w:themeColor="text1" w:themeTint="F2"/>
                <w:sz w:val="21"/>
                <w:szCs w:val="21"/>
                <w14:textFill>
                  <w14:solidFill>
                    <w14:schemeClr w14:val="tx1">
                      <w14:lumMod w14:val="95000"/>
                      <w14:lumOff w14:val="5000"/>
                    </w14:schemeClr>
                  </w14:solidFill>
                </w14:textFill>
              </w:rPr>
              <w:t>《地下水环境监测技术规范》（HJ/T164-2004）</w:t>
            </w:r>
          </w:p>
          <w:p w14:paraId="48DF3D2D">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《水质 样品的保存和管理技术规定》（H493</w:t>
            </w:r>
            <w:r>
              <w:rPr>
                <w:rFonts w:hint="eastAsia" w:cs="Times New Roman"/>
                <w:color w:val="0D0D0D" w:themeColor="text1" w:themeTint="F2"/>
                <w:sz w:val="21"/>
                <w:szCs w:val="21"/>
                <w14:textFill>
                  <w14:solidFill>
                    <w14:schemeClr w14:val="tx1">
                      <w14:lumMod w14:val="95000"/>
                      <w14:lumOff w14:val="5000"/>
                    </w14:schemeClr>
                  </w14:solidFill>
                </w14:textFill>
              </w:rPr>
              <w:t>-</w:t>
            </w:r>
            <w:r>
              <w:rPr>
                <w:rFonts w:cs="Times New Roman"/>
                <w:color w:val="0D0D0D" w:themeColor="text1" w:themeTint="F2"/>
                <w:sz w:val="21"/>
                <w:szCs w:val="21"/>
                <w14:textFill>
                  <w14:solidFill>
                    <w14:schemeClr w14:val="tx1">
                      <w14:lumMod w14:val="95000"/>
                      <w14:lumOff w14:val="5000"/>
                    </w14:schemeClr>
                  </w14:solidFill>
                </w14:textFill>
              </w:rPr>
              <w:t>2009）</w:t>
            </w:r>
          </w:p>
        </w:tc>
      </w:tr>
      <w:tr w14:paraId="12475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6" w:type="pct"/>
            <w:tcBorders>
              <w:top w:val="single" w:color="auto" w:sz="4" w:space="0"/>
              <w:left w:val="single" w:color="auto" w:sz="4" w:space="0"/>
              <w:bottom w:val="single" w:color="auto" w:sz="4" w:space="0"/>
              <w:right w:val="single" w:color="auto" w:sz="4" w:space="0"/>
            </w:tcBorders>
            <w:vAlign w:val="center"/>
          </w:tcPr>
          <w:p w14:paraId="628571F4">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w:t>
            </w:r>
          </w:p>
        </w:tc>
        <w:tc>
          <w:tcPr>
            <w:tcW w:w="1117" w:type="pct"/>
            <w:tcBorders>
              <w:top w:val="single" w:color="auto" w:sz="4" w:space="0"/>
              <w:left w:val="single" w:color="auto" w:sz="4" w:space="0"/>
              <w:bottom w:val="single" w:color="auto" w:sz="4" w:space="0"/>
              <w:right w:val="single" w:color="auto" w:sz="4" w:space="0"/>
            </w:tcBorders>
            <w:shd w:val="clear" w:color="auto" w:fill="FFFFFF"/>
            <w:vAlign w:val="center"/>
          </w:tcPr>
          <w:p w14:paraId="347196A7">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pH值</w:t>
            </w:r>
          </w:p>
          <w:p w14:paraId="04AD458F">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（无量纲）</w:t>
            </w:r>
          </w:p>
        </w:tc>
        <w:tc>
          <w:tcPr>
            <w:tcW w:w="2894" w:type="pct"/>
            <w:tcBorders>
              <w:top w:val="single" w:color="auto" w:sz="4" w:space="0"/>
              <w:left w:val="single" w:color="auto" w:sz="4" w:space="0"/>
              <w:bottom w:val="single" w:color="auto" w:sz="4" w:space="0"/>
              <w:right w:val="single" w:color="auto" w:sz="4" w:space="0"/>
            </w:tcBorders>
            <w:shd w:val="clear" w:color="auto" w:fill="FFFFFF"/>
            <w:vAlign w:val="center"/>
          </w:tcPr>
          <w:p w14:paraId="06523DF8">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水质 pH值的测定 电极法（HJ 1147-2020）</w:t>
            </w:r>
          </w:p>
        </w:tc>
        <w:tc>
          <w:tcPr>
            <w:tcW w:w="693" w:type="pct"/>
            <w:tcBorders>
              <w:top w:val="single" w:color="auto" w:sz="4" w:space="0"/>
              <w:left w:val="single" w:color="auto" w:sz="4" w:space="0"/>
              <w:bottom w:val="single" w:color="auto" w:sz="4" w:space="0"/>
              <w:right w:val="single" w:color="auto" w:sz="4" w:space="0"/>
            </w:tcBorders>
            <w:shd w:val="clear" w:color="auto" w:fill="FFFFFF"/>
            <w:vAlign w:val="center"/>
          </w:tcPr>
          <w:p w14:paraId="1C1FFD5B">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w:t>
            </w:r>
          </w:p>
        </w:tc>
      </w:tr>
      <w:tr w14:paraId="1F4F8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6" w:type="pct"/>
            <w:tcBorders>
              <w:top w:val="single" w:color="auto" w:sz="4" w:space="0"/>
              <w:left w:val="single" w:color="auto" w:sz="4" w:space="0"/>
              <w:bottom w:val="single" w:color="auto" w:sz="4" w:space="0"/>
              <w:right w:val="single" w:color="auto" w:sz="4" w:space="0"/>
            </w:tcBorders>
            <w:vAlign w:val="center"/>
          </w:tcPr>
          <w:p w14:paraId="02E85014">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3</w:t>
            </w:r>
          </w:p>
        </w:tc>
        <w:tc>
          <w:tcPr>
            <w:tcW w:w="1117" w:type="pct"/>
            <w:tcBorders>
              <w:top w:val="single" w:color="auto" w:sz="4" w:space="0"/>
              <w:left w:val="single" w:color="auto" w:sz="4" w:space="0"/>
              <w:bottom w:val="single" w:color="auto" w:sz="4" w:space="0"/>
              <w:right w:val="single" w:color="auto" w:sz="4" w:space="0"/>
            </w:tcBorders>
            <w:shd w:val="clear" w:color="auto" w:fill="FFFFFF"/>
            <w:vAlign w:val="center"/>
          </w:tcPr>
          <w:p w14:paraId="2554BF4C">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溶解性总固体</w:t>
            </w:r>
          </w:p>
        </w:tc>
        <w:tc>
          <w:tcPr>
            <w:tcW w:w="2894" w:type="pct"/>
            <w:tcBorders>
              <w:top w:val="single" w:color="auto" w:sz="4" w:space="0"/>
              <w:left w:val="single" w:color="auto" w:sz="4" w:space="0"/>
              <w:bottom w:val="single" w:color="auto" w:sz="4" w:space="0"/>
              <w:right w:val="single" w:color="auto" w:sz="4" w:space="0"/>
            </w:tcBorders>
            <w:shd w:val="clear" w:color="auto" w:fill="FFFFFF"/>
            <w:vAlign w:val="center"/>
          </w:tcPr>
          <w:p w14:paraId="3F3B8AA6">
            <w:pPr>
              <w:adjustRightInd w:val="0"/>
              <w:snapToGrid w:val="0"/>
              <w:spacing w:line="240" w:lineRule="auto"/>
              <w:rPr>
                <w:rFonts w:cs="Times New Roman"/>
                <w:color w:val="0D0D0D" w:themeColor="text1" w:themeTint="F2"/>
                <w:sz w:val="21"/>
                <w:szCs w:val="21"/>
                <w14:textFill>
                  <w14:solidFill>
                    <w14:schemeClr w14:val="tx1">
                      <w14:lumMod w14:val="95000"/>
                      <w14:lumOff w14:val="5000"/>
                    </w14:schemeClr>
                  </w14:solidFill>
                </w14:textFill>
              </w:rPr>
            </w:pPr>
            <w:r>
              <w:rPr>
                <w:color w:val="0D0D0D" w:themeColor="text1" w:themeTint="F2"/>
                <w:kern w:val="0"/>
                <w:sz w:val="21"/>
                <w:szCs w:val="21"/>
                <w:lang w:bidi="ar"/>
                <w14:textFill>
                  <w14:solidFill>
                    <w14:schemeClr w14:val="tx1">
                      <w14:lumMod w14:val="95000"/>
                      <w14:lumOff w14:val="5000"/>
                    </w14:schemeClr>
                  </w14:solidFill>
                </w14:textFill>
              </w:rPr>
              <w:t>生活饮用水标准检验方法 第4部分：感官性状和物理指标（11.1称量法）（GB/T5750.4-2023）</w:t>
            </w:r>
          </w:p>
        </w:tc>
        <w:tc>
          <w:tcPr>
            <w:tcW w:w="693" w:type="pct"/>
            <w:tcBorders>
              <w:top w:val="single" w:color="auto" w:sz="4" w:space="0"/>
              <w:left w:val="single" w:color="auto" w:sz="4" w:space="0"/>
              <w:bottom w:val="single" w:color="auto" w:sz="4" w:space="0"/>
              <w:right w:val="single" w:color="auto" w:sz="4" w:space="0"/>
            </w:tcBorders>
            <w:shd w:val="clear" w:color="auto" w:fill="FFFFFF"/>
            <w:vAlign w:val="center"/>
          </w:tcPr>
          <w:p w14:paraId="6A42CA15">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4mg/L</w:t>
            </w:r>
          </w:p>
        </w:tc>
      </w:tr>
      <w:tr w14:paraId="520A1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6" w:type="pct"/>
            <w:tcBorders>
              <w:top w:val="single" w:color="auto" w:sz="4" w:space="0"/>
              <w:left w:val="single" w:color="auto" w:sz="4" w:space="0"/>
              <w:bottom w:val="single" w:color="auto" w:sz="4" w:space="0"/>
              <w:right w:val="single" w:color="auto" w:sz="4" w:space="0"/>
            </w:tcBorders>
            <w:vAlign w:val="center"/>
          </w:tcPr>
          <w:p w14:paraId="0FEE9B87">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4</w:t>
            </w:r>
          </w:p>
        </w:tc>
        <w:tc>
          <w:tcPr>
            <w:tcW w:w="1117" w:type="pct"/>
            <w:tcBorders>
              <w:top w:val="single" w:color="auto" w:sz="4" w:space="0"/>
              <w:left w:val="single" w:color="auto" w:sz="4" w:space="0"/>
              <w:bottom w:val="single" w:color="auto" w:sz="4" w:space="0"/>
              <w:right w:val="single" w:color="auto" w:sz="4" w:space="0"/>
            </w:tcBorders>
            <w:shd w:val="clear" w:color="auto" w:fill="FFFFFF"/>
            <w:vAlign w:val="center"/>
          </w:tcPr>
          <w:p w14:paraId="6B2E0752">
            <w:pPr>
              <w:pStyle w:val="60"/>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耗氧量</w:t>
            </w:r>
          </w:p>
          <w:p w14:paraId="4FD131FB">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（高锰酸盐指数）</w:t>
            </w:r>
          </w:p>
        </w:tc>
        <w:tc>
          <w:tcPr>
            <w:tcW w:w="2894" w:type="pct"/>
            <w:tcBorders>
              <w:top w:val="single" w:color="auto" w:sz="4" w:space="0"/>
              <w:left w:val="single" w:color="auto" w:sz="4" w:space="0"/>
              <w:bottom w:val="single" w:color="auto" w:sz="4" w:space="0"/>
              <w:right w:val="single" w:color="auto" w:sz="4" w:space="0"/>
            </w:tcBorders>
            <w:shd w:val="clear" w:color="auto" w:fill="FFFFFF"/>
            <w:vAlign w:val="center"/>
          </w:tcPr>
          <w:p w14:paraId="27773CE8">
            <w:pPr>
              <w:adjustRightInd w:val="0"/>
              <w:snapToGrid w:val="0"/>
              <w:spacing w:line="240" w:lineRule="auto"/>
              <w:rPr>
                <w:rFonts w:cs="Times New Roman"/>
                <w:color w:val="0D0D0D" w:themeColor="text1" w:themeTint="F2"/>
                <w:sz w:val="21"/>
                <w:szCs w:val="21"/>
                <w14:textFill>
                  <w14:solidFill>
                    <w14:schemeClr w14:val="tx1">
                      <w14:lumMod w14:val="95000"/>
                      <w14:lumOff w14:val="5000"/>
                    </w14:schemeClr>
                  </w14:solidFill>
                </w14:textFill>
              </w:rPr>
            </w:pPr>
            <w:r>
              <w:rPr>
                <w:color w:val="0D0D0D" w:themeColor="text1" w:themeTint="F2"/>
                <w:kern w:val="0"/>
                <w:sz w:val="21"/>
                <w:szCs w:val="21"/>
                <w:lang w:bidi="ar"/>
                <w14:textFill>
                  <w14:solidFill>
                    <w14:schemeClr w14:val="tx1">
                      <w14:lumMod w14:val="95000"/>
                      <w14:lumOff w14:val="5000"/>
                    </w14:schemeClr>
                  </w14:solidFill>
                </w14:textFill>
              </w:rPr>
              <w:t>生活饮用水标准检验方法 第7部分：有机物综合指标（4.1酸性高锰酸钾滴定法）（GB/T5750.7-2023）</w:t>
            </w:r>
          </w:p>
        </w:tc>
        <w:tc>
          <w:tcPr>
            <w:tcW w:w="693" w:type="pct"/>
            <w:tcBorders>
              <w:top w:val="single" w:color="auto" w:sz="4" w:space="0"/>
              <w:left w:val="single" w:color="auto" w:sz="4" w:space="0"/>
              <w:bottom w:val="single" w:color="auto" w:sz="4" w:space="0"/>
              <w:right w:val="single" w:color="auto" w:sz="4" w:space="0"/>
            </w:tcBorders>
            <w:shd w:val="clear" w:color="auto" w:fill="FFFFFF"/>
            <w:vAlign w:val="center"/>
          </w:tcPr>
          <w:p w14:paraId="24685824">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0.05</w:t>
            </w:r>
            <w:r>
              <w:rPr>
                <w:rFonts w:cs="Times New Roman"/>
                <w:color w:val="0D0D0D" w:themeColor="text1" w:themeTint="F2"/>
                <w:sz w:val="21"/>
                <w:szCs w:val="21"/>
                <w14:textFill>
                  <w14:solidFill>
                    <w14:schemeClr w14:val="tx1">
                      <w14:lumMod w14:val="95000"/>
                      <w14:lumOff w14:val="5000"/>
                    </w14:schemeClr>
                  </w14:solidFill>
                </w14:textFill>
              </w:rPr>
              <w:t>mg/L</w:t>
            </w:r>
          </w:p>
        </w:tc>
      </w:tr>
      <w:tr w14:paraId="0F2BF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6" w:type="pct"/>
            <w:tcBorders>
              <w:top w:val="single" w:color="auto" w:sz="4" w:space="0"/>
              <w:left w:val="single" w:color="auto" w:sz="4" w:space="0"/>
              <w:bottom w:val="single" w:color="auto" w:sz="4" w:space="0"/>
              <w:right w:val="single" w:color="auto" w:sz="4" w:space="0"/>
            </w:tcBorders>
            <w:vAlign w:val="center"/>
          </w:tcPr>
          <w:p w14:paraId="54EC9EF4">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5</w:t>
            </w:r>
          </w:p>
        </w:tc>
        <w:tc>
          <w:tcPr>
            <w:tcW w:w="1117" w:type="pct"/>
            <w:tcBorders>
              <w:top w:val="single" w:color="auto" w:sz="4" w:space="0"/>
              <w:left w:val="single" w:color="auto" w:sz="4" w:space="0"/>
              <w:bottom w:val="single" w:color="auto" w:sz="4" w:space="0"/>
              <w:right w:val="single" w:color="auto" w:sz="4" w:space="0"/>
            </w:tcBorders>
            <w:shd w:val="clear" w:color="auto" w:fill="FFFFFF"/>
            <w:vAlign w:val="center"/>
          </w:tcPr>
          <w:p w14:paraId="149AE384">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氨氮</w:t>
            </w:r>
          </w:p>
        </w:tc>
        <w:tc>
          <w:tcPr>
            <w:tcW w:w="2894" w:type="pct"/>
            <w:tcBorders>
              <w:top w:val="single" w:color="auto" w:sz="4" w:space="0"/>
              <w:left w:val="single" w:color="auto" w:sz="4" w:space="0"/>
              <w:bottom w:val="single" w:color="auto" w:sz="4" w:space="0"/>
              <w:right w:val="single" w:color="auto" w:sz="4" w:space="0"/>
            </w:tcBorders>
            <w:shd w:val="clear" w:color="auto" w:fill="FFFFFF"/>
            <w:vAlign w:val="center"/>
          </w:tcPr>
          <w:p w14:paraId="1516EF82">
            <w:pPr>
              <w:adjustRightInd w:val="0"/>
              <w:snapToGrid w:val="0"/>
              <w:spacing w:line="240" w:lineRule="auto"/>
              <w:rPr>
                <w:rFonts w:cs="Times New Roman"/>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水质 氨氮的测定 纳氏试剂分光光度法（HJ535-2009）</w:t>
            </w:r>
          </w:p>
        </w:tc>
        <w:tc>
          <w:tcPr>
            <w:tcW w:w="693" w:type="pct"/>
            <w:tcBorders>
              <w:top w:val="single" w:color="auto" w:sz="4" w:space="0"/>
              <w:left w:val="single" w:color="auto" w:sz="4" w:space="0"/>
              <w:bottom w:val="single" w:color="auto" w:sz="4" w:space="0"/>
              <w:right w:val="single" w:color="auto" w:sz="4" w:space="0"/>
            </w:tcBorders>
            <w:shd w:val="clear" w:color="auto" w:fill="FFFFFF"/>
            <w:vAlign w:val="center"/>
          </w:tcPr>
          <w:p w14:paraId="2BEF1CAE">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0.025mg/L</w:t>
            </w:r>
          </w:p>
        </w:tc>
      </w:tr>
      <w:tr w14:paraId="0F456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6" w:type="pct"/>
            <w:tcBorders>
              <w:top w:val="single" w:color="auto" w:sz="4" w:space="0"/>
              <w:left w:val="single" w:color="auto" w:sz="4" w:space="0"/>
              <w:bottom w:val="single" w:color="auto" w:sz="4" w:space="0"/>
              <w:right w:val="single" w:color="auto" w:sz="4" w:space="0"/>
            </w:tcBorders>
            <w:vAlign w:val="center"/>
          </w:tcPr>
          <w:p w14:paraId="7222C93A">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6</w:t>
            </w:r>
          </w:p>
        </w:tc>
        <w:tc>
          <w:tcPr>
            <w:tcW w:w="1117" w:type="pct"/>
            <w:tcBorders>
              <w:top w:val="single" w:color="auto" w:sz="4" w:space="0"/>
              <w:left w:val="single" w:color="auto" w:sz="4" w:space="0"/>
              <w:bottom w:val="single" w:color="auto" w:sz="4" w:space="0"/>
              <w:right w:val="single" w:color="auto" w:sz="4" w:space="0"/>
            </w:tcBorders>
            <w:shd w:val="clear" w:color="auto" w:fill="FFFFFF"/>
            <w:vAlign w:val="center"/>
          </w:tcPr>
          <w:p w14:paraId="6C413531">
            <w:pPr>
              <w:pStyle w:val="60"/>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亚硝酸盐氮</w:t>
            </w:r>
          </w:p>
        </w:tc>
        <w:tc>
          <w:tcPr>
            <w:tcW w:w="2894" w:type="pct"/>
            <w:tcBorders>
              <w:top w:val="single" w:color="auto" w:sz="4" w:space="0"/>
              <w:left w:val="single" w:color="auto" w:sz="4" w:space="0"/>
              <w:bottom w:val="single" w:color="auto" w:sz="4" w:space="0"/>
              <w:right w:val="single" w:color="auto" w:sz="4" w:space="0"/>
            </w:tcBorders>
            <w:shd w:val="clear" w:color="auto" w:fill="FFFFFF"/>
            <w:vAlign w:val="center"/>
          </w:tcPr>
          <w:p w14:paraId="1CA2927D">
            <w:pPr>
              <w:adjustRightInd w:val="0"/>
              <w:snapToGrid w:val="0"/>
              <w:spacing w:line="240" w:lineRule="auto"/>
              <w:rPr>
                <w:rFonts w:cs="Times New Roman"/>
                <w:color w:val="0D0D0D" w:themeColor="text1" w:themeTint="F2"/>
                <w:sz w:val="21"/>
                <w:szCs w:val="21"/>
                <w14:textFill>
                  <w14:solidFill>
                    <w14:schemeClr w14:val="tx1">
                      <w14:lumMod w14:val="95000"/>
                      <w14:lumOff w14:val="5000"/>
                    </w14:schemeClr>
                  </w14:solidFill>
                </w14:textFill>
              </w:rPr>
            </w:pPr>
            <w:r>
              <w:rPr>
                <w:color w:val="0D0D0D" w:themeColor="text1" w:themeTint="F2"/>
                <w:kern w:val="0"/>
                <w:sz w:val="21"/>
                <w:szCs w:val="21"/>
                <w14:textFill>
                  <w14:solidFill>
                    <w14:schemeClr w14:val="tx1">
                      <w14:lumMod w14:val="95000"/>
                      <w14:lumOff w14:val="5000"/>
                    </w14:schemeClr>
                  </w14:solidFill>
                </w14:textFill>
              </w:rPr>
              <w:t>水质 无机阴离子（F</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、Cl</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、NO</w:t>
            </w:r>
            <w:r>
              <w:rPr>
                <w:color w:val="0D0D0D" w:themeColor="text1" w:themeTint="F2"/>
                <w:kern w:val="0"/>
                <w:sz w:val="21"/>
                <w:szCs w:val="21"/>
                <w:vertAlign w:val="subscript"/>
                <w14:textFill>
                  <w14:solidFill>
                    <w14:schemeClr w14:val="tx1">
                      <w14:lumMod w14:val="95000"/>
                      <w14:lumOff w14:val="5000"/>
                    </w14:schemeClr>
                  </w14:solidFill>
                </w14:textFill>
              </w:rPr>
              <w:t>2</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、Br</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、NO</w:t>
            </w:r>
            <w:r>
              <w:rPr>
                <w:color w:val="0D0D0D" w:themeColor="text1" w:themeTint="F2"/>
                <w:kern w:val="0"/>
                <w:sz w:val="21"/>
                <w:szCs w:val="21"/>
                <w:vertAlign w:val="subscript"/>
                <w14:textFill>
                  <w14:solidFill>
                    <w14:schemeClr w14:val="tx1">
                      <w14:lumMod w14:val="95000"/>
                      <w14:lumOff w14:val="5000"/>
                    </w14:schemeClr>
                  </w14:solidFill>
                </w14:textFill>
              </w:rPr>
              <w:t>3</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、PO</w:t>
            </w:r>
            <w:r>
              <w:rPr>
                <w:color w:val="0D0D0D" w:themeColor="text1" w:themeTint="F2"/>
                <w:kern w:val="0"/>
                <w:sz w:val="21"/>
                <w:szCs w:val="21"/>
                <w:vertAlign w:val="subscript"/>
                <w14:textFill>
                  <w14:solidFill>
                    <w14:schemeClr w14:val="tx1">
                      <w14:lumMod w14:val="95000"/>
                      <w14:lumOff w14:val="5000"/>
                    </w14:schemeClr>
                  </w14:solidFill>
                </w14:textFill>
              </w:rPr>
              <w:t>4</w:t>
            </w:r>
            <w:r>
              <w:rPr>
                <w:color w:val="0D0D0D" w:themeColor="text1" w:themeTint="F2"/>
                <w:kern w:val="0"/>
                <w:sz w:val="21"/>
                <w:szCs w:val="21"/>
                <w:vertAlign w:val="superscript"/>
                <w14:textFill>
                  <w14:solidFill>
                    <w14:schemeClr w14:val="tx1">
                      <w14:lumMod w14:val="95000"/>
                      <w14:lumOff w14:val="5000"/>
                    </w14:schemeClr>
                  </w14:solidFill>
                </w14:textFill>
              </w:rPr>
              <w:t>3-</w:t>
            </w:r>
            <w:r>
              <w:rPr>
                <w:color w:val="0D0D0D" w:themeColor="text1" w:themeTint="F2"/>
                <w:kern w:val="0"/>
                <w:sz w:val="21"/>
                <w:szCs w:val="21"/>
                <w14:textFill>
                  <w14:solidFill>
                    <w14:schemeClr w14:val="tx1">
                      <w14:lumMod w14:val="95000"/>
                      <w14:lumOff w14:val="5000"/>
                    </w14:schemeClr>
                  </w14:solidFill>
                </w14:textFill>
              </w:rPr>
              <w:t>、SO</w:t>
            </w:r>
            <w:r>
              <w:rPr>
                <w:color w:val="0D0D0D" w:themeColor="text1" w:themeTint="F2"/>
                <w:kern w:val="0"/>
                <w:sz w:val="21"/>
                <w:szCs w:val="21"/>
                <w:vertAlign w:val="subscript"/>
                <w14:textFill>
                  <w14:solidFill>
                    <w14:schemeClr w14:val="tx1">
                      <w14:lumMod w14:val="95000"/>
                      <w14:lumOff w14:val="5000"/>
                    </w14:schemeClr>
                  </w14:solidFill>
                </w14:textFill>
              </w:rPr>
              <w:t>3</w:t>
            </w:r>
            <w:r>
              <w:rPr>
                <w:color w:val="0D0D0D" w:themeColor="text1" w:themeTint="F2"/>
                <w:kern w:val="0"/>
                <w:sz w:val="21"/>
                <w:szCs w:val="21"/>
                <w:vertAlign w:val="superscript"/>
                <w14:textFill>
                  <w14:solidFill>
                    <w14:schemeClr w14:val="tx1">
                      <w14:lumMod w14:val="95000"/>
                      <w14:lumOff w14:val="5000"/>
                    </w14:schemeClr>
                  </w14:solidFill>
                </w14:textFill>
              </w:rPr>
              <w:t>2-</w:t>
            </w:r>
            <w:r>
              <w:rPr>
                <w:color w:val="0D0D0D" w:themeColor="text1" w:themeTint="F2"/>
                <w:kern w:val="0"/>
                <w:sz w:val="21"/>
                <w:szCs w:val="21"/>
                <w14:textFill>
                  <w14:solidFill>
                    <w14:schemeClr w14:val="tx1">
                      <w14:lumMod w14:val="95000"/>
                      <w14:lumOff w14:val="5000"/>
                    </w14:schemeClr>
                  </w14:solidFill>
                </w14:textFill>
              </w:rPr>
              <w:t>、SO</w:t>
            </w:r>
            <w:r>
              <w:rPr>
                <w:color w:val="0D0D0D" w:themeColor="text1" w:themeTint="F2"/>
                <w:kern w:val="0"/>
                <w:sz w:val="21"/>
                <w:szCs w:val="21"/>
                <w:vertAlign w:val="subscript"/>
                <w14:textFill>
                  <w14:solidFill>
                    <w14:schemeClr w14:val="tx1">
                      <w14:lumMod w14:val="95000"/>
                      <w14:lumOff w14:val="5000"/>
                    </w14:schemeClr>
                  </w14:solidFill>
                </w14:textFill>
              </w:rPr>
              <w:t>4</w:t>
            </w:r>
            <w:r>
              <w:rPr>
                <w:color w:val="0D0D0D" w:themeColor="text1" w:themeTint="F2"/>
                <w:kern w:val="0"/>
                <w:sz w:val="21"/>
                <w:szCs w:val="21"/>
                <w:vertAlign w:val="superscript"/>
                <w14:textFill>
                  <w14:solidFill>
                    <w14:schemeClr w14:val="tx1">
                      <w14:lumMod w14:val="95000"/>
                      <w14:lumOff w14:val="5000"/>
                    </w14:schemeClr>
                  </w14:solidFill>
                </w14:textFill>
              </w:rPr>
              <w:t>2-</w:t>
            </w:r>
            <w:r>
              <w:rPr>
                <w:color w:val="0D0D0D" w:themeColor="text1" w:themeTint="F2"/>
                <w:kern w:val="0"/>
                <w:sz w:val="21"/>
                <w:szCs w:val="21"/>
                <w14:textFill>
                  <w14:solidFill>
                    <w14:schemeClr w14:val="tx1">
                      <w14:lumMod w14:val="95000"/>
                      <w14:lumOff w14:val="5000"/>
                    </w14:schemeClr>
                  </w14:solidFill>
                </w14:textFill>
              </w:rPr>
              <w:t>）的测定 离子色谱法（HJ84-2016）</w:t>
            </w:r>
          </w:p>
        </w:tc>
        <w:tc>
          <w:tcPr>
            <w:tcW w:w="693" w:type="pct"/>
            <w:tcBorders>
              <w:top w:val="single" w:color="auto" w:sz="4" w:space="0"/>
              <w:left w:val="single" w:color="auto" w:sz="4" w:space="0"/>
              <w:bottom w:val="single" w:color="auto" w:sz="4" w:space="0"/>
              <w:right w:val="single" w:color="auto" w:sz="4" w:space="0"/>
            </w:tcBorders>
            <w:shd w:val="clear" w:color="auto" w:fill="FFFFFF"/>
            <w:vAlign w:val="center"/>
          </w:tcPr>
          <w:p w14:paraId="23DA784A">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0.0</w:t>
            </w:r>
            <w:r>
              <w:rPr>
                <w:rFonts w:hint="eastAsia" w:cs="Times New Roman"/>
                <w:color w:val="0D0D0D" w:themeColor="text1" w:themeTint="F2"/>
                <w:sz w:val="21"/>
                <w:szCs w:val="21"/>
                <w14:textFill>
                  <w14:solidFill>
                    <w14:schemeClr w14:val="tx1">
                      <w14:lumMod w14:val="95000"/>
                      <w14:lumOff w14:val="5000"/>
                    </w14:schemeClr>
                  </w14:solidFill>
                </w14:textFill>
              </w:rPr>
              <w:t>16</w:t>
            </w:r>
            <w:r>
              <w:rPr>
                <w:rFonts w:cs="Times New Roman"/>
                <w:color w:val="0D0D0D" w:themeColor="text1" w:themeTint="F2"/>
                <w:sz w:val="21"/>
                <w:szCs w:val="21"/>
                <w14:textFill>
                  <w14:solidFill>
                    <w14:schemeClr w14:val="tx1">
                      <w14:lumMod w14:val="95000"/>
                      <w14:lumOff w14:val="5000"/>
                    </w14:schemeClr>
                  </w14:solidFill>
                </w14:textFill>
              </w:rPr>
              <w:t>mg/L</w:t>
            </w:r>
          </w:p>
        </w:tc>
      </w:tr>
      <w:tr w14:paraId="70D9A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6" w:type="pct"/>
            <w:tcBorders>
              <w:top w:val="single" w:color="auto" w:sz="4" w:space="0"/>
              <w:left w:val="single" w:color="auto" w:sz="4" w:space="0"/>
              <w:bottom w:val="single" w:color="auto" w:sz="4" w:space="0"/>
              <w:right w:val="single" w:color="auto" w:sz="4" w:space="0"/>
            </w:tcBorders>
            <w:vAlign w:val="center"/>
          </w:tcPr>
          <w:p w14:paraId="57EAF8DC">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7</w:t>
            </w:r>
          </w:p>
        </w:tc>
        <w:tc>
          <w:tcPr>
            <w:tcW w:w="1117" w:type="pct"/>
            <w:tcBorders>
              <w:top w:val="single" w:color="auto" w:sz="4" w:space="0"/>
              <w:left w:val="single" w:color="auto" w:sz="4" w:space="0"/>
              <w:bottom w:val="single" w:color="auto" w:sz="4" w:space="0"/>
              <w:right w:val="single" w:color="auto" w:sz="4" w:space="0"/>
            </w:tcBorders>
            <w:shd w:val="clear" w:color="auto" w:fill="FFFFFF"/>
            <w:vAlign w:val="center"/>
          </w:tcPr>
          <w:p w14:paraId="6C5A0389">
            <w:pPr>
              <w:pStyle w:val="60"/>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硝酸盐氮</w:t>
            </w:r>
          </w:p>
        </w:tc>
        <w:tc>
          <w:tcPr>
            <w:tcW w:w="2894" w:type="pct"/>
            <w:tcBorders>
              <w:top w:val="single" w:color="auto" w:sz="4" w:space="0"/>
              <w:left w:val="single" w:color="auto" w:sz="4" w:space="0"/>
              <w:bottom w:val="single" w:color="auto" w:sz="4" w:space="0"/>
              <w:right w:val="single" w:color="auto" w:sz="4" w:space="0"/>
            </w:tcBorders>
            <w:shd w:val="clear" w:color="auto" w:fill="FFFFFF"/>
            <w:vAlign w:val="center"/>
          </w:tcPr>
          <w:p w14:paraId="54468306">
            <w:pPr>
              <w:adjustRightInd w:val="0"/>
              <w:snapToGrid w:val="0"/>
              <w:spacing w:line="240" w:lineRule="auto"/>
              <w:rPr>
                <w:rFonts w:cs="Times New Roman"/>
                <w:color w:val="0D0D0D" w:themeColor="text1" w:themeTint="F2"/>
                <w:sz w:val="21"/>
                <w:szCs w:val="21"/>
                <w14:textFill>
                  <w14:solidFill>
                    <w14:schemeClr w14:val="tx1">
                      <w14:lumMod w14:val="95000"/>
                      <w14:lumOff w14:val="5000"/>
                    </w14:schemeClr>
                  </w14:solidFill>
                </w14:textFill>
              </w:rPr>
            </w:pPr>
            <w:r>
              <w:rPr>
                <w:color w:val="0D0D0D" w:themeColor="text1" w:themeTint="F2"/>
                <w:kern w:val="0"/>
                <w:sz w:val="21"/>
                <w:szCs w:val="21"/>
                <w14:textFill>
                  <w14:solidFill>
                    <w14:schemeClr w14:val="tx1">
                      <w14:lumMod w14:val="95000"/>
                      <w14:lumOff w14:val="5000"/>
                    </w14:schemeClr>
                  </w14:solidFill>
                </w14:textFill>
              </w:rPr>
              <w:t>水质 无机阴离子（F</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、Cl</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、NO</w:t>
            </w:r>
            <w:r>
              <w:rPr>
                <w:color w:val="0D0D0D" w:themeColor="text1" w:themeTint="F2"/>
                <w:kern w:val="0"/>
                <w:sz w:val="21"/>
                <w:szCs w:val="21"/>
                <w:vertAlign w:val="subscript"/>
                <w14:textFill>
                  <w14:solidFill>
                    <w14:schemeClr w14:val="tx1">
                      <w14:lumMod w14:val="95000"/>
                      <w14:lumOff w14:val="5000"/>
                    </w14:schemeClr>
                  </w14:solidFill>
                </w14:textFill>
              </w:rPr>
              <w:t>2</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、Br</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、NO</w:t>
            </w:r>
            <w:r>
              <w:rPr>
                <w:color w:val="0D0D0D" w:themeColor="text1" w:themeTint="F2"/>
                <w:kern w:val="0"/>
                <w:sz w:val="21"/>
                <w:szCs w:val="21"/>
                <w:vertAlign w:val="subscript"/>
                <w14:textFill>
                  <w14:solidFill>
                    <w14:schemeClr w14:val="tx1">
                      <w14:lumMod w14:val="95000"/>
                      <w14:lumOff w14:val="5000"/>
                    </w14:schemeClr>
                  </w14:solidFill>
                </w14:textFill>
              </w:rPr>
              <w:t>3</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、PO</w:t>
            </w:r>
            <w:r>
              <w:rPr>
                <w:color w:val="0D0D0D" w:themeColor="text1" w:themeTint="F2"/>
                <w:kern w:val="0"/>
                <w:sz w:val="21"/>
                <w:szCs w:val="21"/>
                <w:vertAlign w:val="subscript"/>
                <w14:textFill>
                  <w14:solidFill>
                    <w14:schemeClr w14:val="tx1">
                      <w14:lumMod w14:val="95000"/>
                      <w14:lumOff w14:val="5000"/>
                    </w14:schemeClr>
                  </w14:solidFill>
                </w14:textFill>
              </w:rPr>
              <w:t>4</w:t>
            </w:r>
            <w:r>
              <w:rPr>
                <w:color w:val="0D0D0D" w:themeColor="text1" w:themeTint="F2"/>
                <w:kern w:val="0"/>
                <w:sz w:val="21"/>
                <w:szCs w:val="21"/>
                <w:vertAlign w:val="superscript"/>
                <w14:textFill>
                  <w14:solidFill>
                    <w14:schemeClr w14:val="tx1">
                      <w14:lumMod w14:val="95000"/>
                      <w14:lumOff w14:val="5000"/>
                    </w14:schemeClr>
                  </w14:solidFill>
                </w14:textFill>
              </w:rPr>
              <w:t>3-</w:t>
            </w:r>
            <w:r>
              <w:rPr>
                <w:color w:val="0D0D0D" w:themeColor="text1" w:themeTint="F2"/>
                <w:kern w:val="0"/>
                <w:sz w:val="21"/>
                <w:szCs w:val="21"/>
                <w14:textFill>
                  <w14:solidFill>
                    <w14:schemeClr w14:val="tx1">
                      <w14:lumMod w14:val="95000"/>
                      <w14:lumOff w14:val="5000"/>
                    </w14:schemeClr>
                  </w14:solidFill>
                </w14:textFill>
              </w:rPr>
              <w:t>、SO</w:t>
            </w:r>
            <w:r>
              <w:rPr>
                <w:color w:val="0D0D0D" w:themeColor="text1" w:themeTint="F2"/>
                <w:kern w:val="0"/>
                <w:sz w:val="21"/>
                <w:szCs w:val="21"/>
                <w:vertAlign w:val="subscript"/>
                <w14:textFill>
                  <w14:solidFill>
                    <w14:schemeClr w14:val="tx1">
                      <w14:lumMod w14:val="95000"/>
                      <w14:lumOff w14:val="5000"/>
                    </w14:schemeClr>
                  </w14:solidFill>
                </w14:textFill>
              </w:rPr>
              <w:t>3</w:t>
            </w:r>
            <w:r>
              <w:rPr>
                <w:color w:val="0D0D0D" w:themeColor="text1" w:themeTint="F2"/>
                <w:kern w:val="0"/>
                <w:sz w:val="21"/>
                <w:szCs w:val="21"/>
                <w:vertAlign w:val="superscript"/>
                <w14:textFill>
                  <w14:solidFill>
                    <w14:schemeClr w14:val="tx1">
                      <w14:lumMod w14:val="95000"/>
                      <w14:lumOff w14:val="5000"/>
                    </w14:schemeClr>
                  </w14:solidFill>
                </w14:textFill>
              </w:rPr>
              <w:t>2-</w:t>
            </w:r>
            <w:r>
              <w:rPr>
                <w:color w:val="0D0D0D" w:themeColor="text1" w:themeTint="F2"/>
                <w:kern w:val="0"/>
                <w:sz w:val="21"/>
                <w:szCs w:val="21"/>
                <w14:textFill>
                  <w14:solidFill>
                    <w14:schemeClr w14:val="tx1">
                      <w14:lumMod w14:val="95000"/>
                      <w14:lumOff w14:val="5000"/>
                    </w14:schemeClr>
                  </w14:solidFill>
                </w14:textFill>
              </w:rPr>
              <w:t>、SO</w:t>
            </w:r>
            <w:r>
              <w:rPr>
                <w:color w:val="0D0D0D" w:themeColor="text1" w:themeTint="F2"/>
                <w:kern w:val="0"/>
                <w:sz w:val="21"/>
                <w:szCs w:val="21"/>
                <w:vertAlign w:val="subscript"/>
                <w14:textFill>
                  <w14:solidFill>
                    <w14:schemeClr w14:val="tx1">
                      <w14:lumMod w14:val="95000"/>
                      <w14:lumOff w14:val="5000"/>
                    </w14:schemeClr>
                  </w14:solidFill>
                </w14:textFill>
              </w:rPr>
              <w:t>4</w:t>
            </w:r>
            <w:r>
              <w:rPr>
                <w:color w:val="0D0D0D" w:themeColor="text1" w:themeTint="F2"/>
                <w:kern w:val="0"/>
                <w:sz w:val="21"/>
                <w:szCs w:val="21"/>
                <w:vertAlign w:val="superscript"/>
                <w14:textFill>
                  <w14:solidFill>
                    <w14:schemeClr w14:val="tx1">
                      <w14:lumMod w14:val="95000"/>
                      <w14:lumOff w14:val="5000"/>
                    </w14:schemeClr>
                  </w14:solidFill>
                </w14:textFill>
              </w:rPr>
              <w:t>2-</w:t>
            </w:r>
            <w:r>
              <w:rPr>
                <w:color w:val="0D0D0D" w:themeColor="text1" w:themeTint="F2"/>
                <w:kern w:val="0"/>
                <w:sz w:val="21"/>
                <w:szCs w:val="21"/>
                <w14:textFill>
                  <w14:solidFill>
                    <w14:schemeClr w14:val="tx1">
                      <w14:lumMod w14:val="95000"/>
                      <w14:lumOff w14:val="5000"/>
                    </w14:schemeClr>
                  </w14:solidFill>
                </w14:textFill>
              </w:rPr>
              <w:t>）的测定 离子色谱法（HJ84-2016）</w:t>
            </w:r>
          </w:p>
        </w:tc>
        <w:tc>
          <w:tcPr>
            <w:tcW w:w="693" w:type="pct"/>
            <w:tcBorders>
              <w:top w:val="single" w:color="auto" w:sz="4" w:space="0"/>
              <w:left w:val="single" w:color="auto" w:sz="4" w:space="0"/>
              <w:bottom w:val="single" w:color="auto" w:sz="4" w:space="0"/>
              <w:right w:val="single" w:color="auto" w:sz="4" w:space="0"/>
            </w:tcBorders>
            <w:shd w:val="clear" w:color="auto" w:fill="FFFFFF"/>
            <w:vAlign w:val="center"/>
          </w:tcPr>
          <w:p w14:paraId="301D5885">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0.0</w:t>
            </w:r>
            <w:r>
              <w:rPr>
                <w:rFonts w:hint="eastAsia" w:cs="Times New Roman"/>
                <w:color w:val="0D0D0D" w:themeColor="text1" w:themeTint="F2"/>
                <w:sz w:val="21"/>
                <w:szCs w:val="21"/>
                <w14:textFill>
                  <w14:solidFill>
                    <w14:schemeClr w14:val="tx1">
                      <w14:lumMod w14:val="95000"/>
                      <w14:lumOff w14:val="5000"/>
                    </w14:schemeClr>
                  </w14:solidFill>
                </w14:textFill>
              </w:rPr>
              <w:t>16</w:t>
            </w:r>
            <w:r>
              <w:rPr>
                <w:rFonts w:cs="Times New Roman"/>
                <w:color w:val="0D0D0D" w:themeColor="text1" w:themeTint="F2"/>
                <w:sz w:val="21"/>
                <w:szCs w:val="21"/>
                <w14:textFill>
                  <w14:solidFill>
                    <w14:schemeClr w14:val="tx1">
                      <w14:lumMod w14:val="95000"/>
                      <w14:lumOff w14:val="5000"/>
                    </w14:schemeClr>
                  </w14:solidFill>
                </w14:textFill>
              </w:rPr>
              <w:t>mg/L</w:t>
            </w:r>
          </w:p>
        </w:tc>
      </w:tr>
      <w:tr w14:paraId="3BE04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6" w:type="pct"/>
            <w:tcBorders>
              <w:top w:val="single" w:color="auto" w:sz="4" w:space="0"/>
              <w:left w:val="single" w:color="auto" w:sz="4" w:space="0"/>
              <w:bottom w:val="single" w:color="auto" w:sz="4" w:space="0"/>
              <w:right w:val="single" w:color="auto" w:sz="4" w:space="0"/>
            </w:tcBorders>
            <w:vAlign w:val="center"/>
          </w:tcPr>
          <w:p w14:paraId="5DE14F5B">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8</w:t>
            </w:r>
          </w:p>
        </w:tc>
        <w:tc>
          <w:tcPr>
            <w:tcW w:w="1117" w:type="pct"/>
            <w:tcBorders>
              <w:top w:val="single" w:color="auto" w:sz="4" w:space="0"/>
              <w:left w:val="single" w:color="auto" w:sz="4" w:space="0"/>
              <w:bottom w:val="single" w:color="auto" w:sz="4" w:space="0"/>
              <w:right w:val="single" w:color="auto" w:sz="4" w:space="0"/>
            </w:tcBorders>
            <w:shd w:val="clear" w:color="auto" w:fill="FFFFFF"/>
            <w:vAlign w:val="center"/>
          </w:tcPr>
          <w:p w14:paraId="27AE2BB4">
            <w:pPr>
              <w:pStyle w:val="60"/>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挥发酚（类）</w:t>
            </w:r>
          </w:p>
        </w:tc>
        <w:tc>
          <w:tcPr>
            <w:tcW w:w="2894" w:type="pct"/>
            <w:tcBorders>
              <w:top w:val="single" w:color="auto" w:sz="4" w:space="0"/>
              <w:left w:val="single" w:color="auto" w:sz="4" w:space="0"/>
              <w:bottom w:val="single" w:color="auto" w:sz="4" w:space="0"/>
              <w:right w:val="single" w:color="auto" w:sz="4" w:space="0"/>
            </w:tcBorders>
            <w:shd w:val="clear" w:color="auto" w:fill="FFFFFF"/>
            <w:vAlign w:val="center"/>
          </w:tcPr>
          <w:p w14:paraId="5FCF6378">
            <w:pPr>
              <w:adjustRightInd w:val="0"/>
              <w:snapToGrid w:val="0"/>
              <w:spacing w:line="240" w:lineRule="auto"/>
              <w:rPr>
                <w:rFonts w:cs="Times New Roman"/>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水质 挥发酚的测定 4-氨基安替比林分光光度法（方法1萃取分光光度法）（HJ503-2009）</w:t>
            </w:r>
          </w:p>
        </w:tc>
        <w:tc>
          <w:tcPr>
            <w:tcW w:w="693" w:type="pct"/>
            <w:tcBorders>
              <w:top w:val="single" w:color="auto" w:sz="4" w:space="0"/>
              <w:left w:val="single" w:color="auto" w:sz="4" w:space="0"/>
              <w:bottom w:val="single" w:color="auto" w:sz="4" w:space="0"/>
              <w:right w:val="single" w:color="auto" w:sz="4" w:space="0"/>
            </w:tcBorders>
            <w:shd w:val="clear" w:color="auto" w:fill="FFFFFF"/>
            <w:vAlign w:val="center"/>
          </w:tcPr>
          <w:p w14:paraId="3227CC95">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0.0003mg/L</w:t>
            </w:r>
          </w:p>
        </w:tc>
      </w:tr>
      <w:tr w14:paraId="7B0CF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6" w:type="pct"/>
            <w:tcBorders>
              <w:top w:val="single" w:color="auto" w:sz="4" w:space="0"/>
              <w:left w:val="single" w:color="auto" w:sz="4" w:space="0"/>
              <w:bottom w:val="single" w:color="auto" w:sz="4" w:space="0"/>
              <w:right w:val="single" w:color="auto" w:sz="4" w:space="0"/>
            </w:tcBorders>
            <w:vAlign w:val="center"/>
          </w:tcPr>
          <w:p w14:paraId="4C114A0D">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9</w:t>
            </w:r>
          </w:p>
        </w:tc>
        <w:tc>
          <w:tcPr>
            <w:tcW w:w="1117" w:type="pct"/>
            <w:tcBorders>
              <w:top w:val="single" w:color="auto" w:sz="4" w:space="0"/>
              <w:left w:val="single" w:color="auto" w:sz="4" w:space="0"/>
              <w:bottom w:val="single" w:color="auto" w:sz="4" w:space="0"/>
              <w:right w:val="single" w:color="auto" w:sz="4" w:space="0"/>
            </w:tcBorders>
            <w:shd w:val="clear" w:color="auto" w:fill="FFFFFF"/>
            <w:vAlign w:val="center"/>
          </w:tcPr>
          <w:p w14:paraId="7B8EE602">
            <w:pPr>
              <w:pStyle w:val="60"/>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总硬度</w:t>
            </w:r>
          </w:p>
          <w:p w14:paraId="4E52B6A7">
            <w:pPr>
              <w:pStyle w:val="60"/>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（钙和镁总量）</w:t>
            </w:r>
          </w:p>
        </w:tc>
        <w:tc>
          <w:tcPr>
            <w:tcW w:w="2894" w:type="pct"/>
            <w:tcBorders>
              <w:top w:val="single" w:color="auto" w:sz="4" w:space="0"/>
              <w:left w:val="single" w:color="auto" w:sz="4" w:space="0"/>
              <w:bottom w:val="single" w:color="auto" w:sz="4" w:space="0"/>
              <w:right w:val="single" w:color="auto" w:sz="4" w:space="0"/>
            </w:tcBorders>
            <w:shd w:val="clear" w:color="auto" w:fill="FFFFFF"/>
            <w:vAlign w:val="center"/>
          </w:tcPr>
          <w:p w14:paraId="56360E04">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水质 钙和镁总量的测定 EDTA滴定法（GB7477-87）</w:t>
            </w:r>
          </w:p>
        </w:tc>
        <w:tc>
          <w:tcPr>
            <w:tcW w:w="693" w:type="pct"/>
            <w:tcBorders>
              <w:top w:val="single" w:color="auto" w:sz="4" w:space="0"/>
              <w:left w:val="single" w:color="auto" w:sz="4" w:space="0"/>
              <w:bottom w:val="single" w:color="auto" w:sz="4" w:space="0"/>
              <w:right w:val="single" w:color="auto" w:sz="4" w:space="0"/>
            </w:tcBorders>
            <w:shd w:val="clear" w:color="auto" w:fill="FFFFFF"/>
            <w:vAlign w:val="center"/>
          </w:tcPr>
          <w:p w14:paraId="72C49820">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5</w:t>
            </w:r>
            <w:r>
              <w:rPr>
                <w:rFonts w:cs="Times New Roman"/>
                <w:color w:val="0D0D0D" w:themeColor="text1" w:themeTint="F2"/>
                <w:sz w:val="21"/>
                <w:szCs w:val="21"/>
                <w14:textFill>
                  <w14:solidFill>
                    <w14:schemeClr w14:val="tx1">
                      <w14:lumMod w14:val="95000"/>
                      <w14:lumOff w14:val="5000"/>
                    </w14:schemeClr>
                  </w14:solidFill>
                </w14:textFill>
              </w:rPr>
              <w:t>mg/L</w:t>
            </w:r>
          </w:p>
        </w:tc>
      </w:tr>
      <w:tr w14:paraId="0ED14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6" w:type="pct"/>
            <w:tcBorders>
              <w:top w:val="single" w:color="auto" w:sz="4" w:space="0"/>
              <w:left w:val="single" w:color="auto" w:sz="4" w:space="0"/>
              <w:bottom w:val="single" w:color="auto" w:sz="4" w:space="0"/>
              <w:right w:val="single" w:color="auto" w:sz="4" w:space="0"/>
            </w:tcBorders>
            <w:vAlign w:val="center"/>
          </w:tcPr>
          <w:p w14:paraId="612A14E7">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10</w:t>
            </w:r>
          </w:p>
        </w:tc>
        <w:tc>
          <w:tcPr>
            <w:tcW w:w="1117" w:type="pct"/>
            <w:tcBorders>
              <w:top w:val="single" w:color="auto" w:sz="4" w:space="0"/>
              <w:left w:val="single" w:color="auto" w:sz="4" w:space="0"/>
              <w:bottom w:val="single" w:color="auto" w:sz="4" w:space="0"/>
              <w:right w:val="single" w:color="auto" w:sz="4" w:space="0"/>
            </w:tcBorders>
            <w:shd w:val="clear" w:color="auto" w:fill="FFFFFF"/>
            <w:vAlign w:val="center"/>
          </w:tcPr>
          <w:p w14:paraId="2670D921">
            <w:pPr>
              <w:pStyle w:val="60"/>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铜</w:t>
            </w:r>
          </w:p>
        </w:tc>
        <w:tc>
          <w:tcPr>
            <w:tcW w:w="2894" w:type="pct"/>
            <w:tcBorders>
              <w:top w:val="single" w:color="auto" w:sz="4" w:space="0"/>
              <w:left w:val="single" w:color="auto" w:sz="4" w:space="0"/>
              <w:bottom w:val="single" w:color="auto" w:sz="4" w:space="0"/>
              <w:right w:val="single" w:color="auto" w:sz="4" w:space="0"/>
            </w:tcBorders>
            <w:shd w:val="clear" w:color="auto" w:fill="FFFFFF"/>
            <w:vAlign w:val="center"/>
          </w:tcPr>
          <w:p w14:paraId="5246A074">
            <w:pPr>
              <w:adjustRightInd w:val="0"/>
              <w:snapToGrid w:val="0"/>
              <w:spacing w:line="240" w:lineRule="auto"/>
              <w:rPr>
                <w:rFonts w:cs="Times New Roman"/>
                <w:color w:val="0D0D0D" w:themeColor="text1" w:themeTint="F2"/>
                <w:sz w:val="21"/>
                <w:szCs w:val="21"/>
                <w14:textFill>
                  <w14:solidFill>
                    <w14:schemeClr w14:val="tx1">
                      <w14:lumMod w14:val="95000"/>
                      <w14:lumOff w14:val="5000"/>
                    </w14:schemeClr>
                  </w14:solidFill>
                </w14:textFill>
              </w:rPr>
            </w:pPr>
            <w:r>
              <w:rPr>
                <w:color w:val="0D0D0D" w:themeColor="text1" w:themeTint="F2"/>
                <w:kern w:val="0"/>
                <w:sz w:val="21"/>
                <w:szCs w:val="21"/>
                <w:lang w:bidi="ar"/>
                <w14:textFill>
                  <w14:solidFill>
                    <w14:schemeClr w14:val="tx1">
                      <w14:lumMod w14:val="95000"/>
                      <w14:lumOff w14:val="5000"/>
                    </w14:schemeClr>
                  </w14:solidFill>
                </w14:textFill>
              </w:rPr>
              <w:t>水质 铜、锌、铅、镉的测定 原子吸收分光光度法（第一部分 直接法）（GB7475-87）</w:t>
            </w:r>
          </w:p>
        </w:tc>
        <w:tc>
          <w:tcPr>
            <w:tcW w:w="693" w:type="pct"/>
            <w:tcBorders>
              <w:top w:val="single" w:color="auto" w:sz="4" w:space="0"/>
              <w:left w:val="single" w:color="auto" w:sz="4" w:space="0"/>
              <w:bottom w:val="single" w:color="auto" w:sz="4" w:space="0"/>
              <w:right w:val="single" w:color="auto" w:sz="4" w:space="0"/>
            </w:tcBorders>
            <w:shd w:val="clear" w:color="auto" w:fill="FFFFFF"/>
            <w:vAlign w:val="center"/>
          </w:tcPr>
          <w:p w14:paraId="7A865755">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0.05</w:t>
            </w:r>
            <w:r>
              <w:rPr>
                <w:rFonts w:cs="Times New Roman"/>
                <w:color w:val="0D0D0D" w:themeColor="text1" w:themeTint="F2"/>
                <w:sz w:val="21"/>
                <w:szCs w:val="21"/>
                <w14:textFill>
                  <w14:solidFill>
                    <w14:schemeClr w14:val="tx1">
                      <w14:lumMod w14:val="95000"/>
                      <w14:lumOff w14:val="5000"/>
                    </w14:schemeClr>
                  </w14:solidFill>
                </w14:textFill>
              </w:rPr>
              <w:t>mg/L</w:t>
            </w:r>
          </w:p>
        </w:tc>
      </w:tr>
      <w:tr w14:paraId="4F752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6" w:type="pct"/>
            <w:tcBorders>
              <w:top w:val="single" w:color="auto" w:sz="4" w:space="0"/>
              <w:left w:val="single" w:color="auto" w:sz="4" w:space="0"/>
              <w:bottom w:val="single" w:color="auto" w:sz="4" w:space="0"/>
              <w:right w:val="single" w:color="auto" w:sz="4" w:space="0"/>
            </w:tcBorders>
            <w:vAlign w:val="center"/>
          </w:tcPr>
          <w:p w14:paraId="388848DE">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11</w:t>
            </w:r>
          </w:p>
        </w:tc>
        <w:tc>
          <w:tcPr>
            <w:tcW w:w="1117" w:type="pct"/>
            <w:tcBorders>
              <w:top w:val="single" w:color="auto" w:sz="4" w:space="0"/>
              <w:left w:val="single" w:color="auto" w:sz="4" w:space="0"/>
              <w:bottom w:val="single" w:color="auto" w:sz="4" w:space="0"/>
              <w:right w:val="single" w:color="auto" w:sz="4" w:space="0"/>
            </w:tcBorders>
            <w:shd w:val="clear" w:color="auto" w:fill="FFFFFF"/>
            <w:vAlign w:val="center"/>
          </w:tcPr>
          <w:p w14:paraId="5F603A7F">
            <w:pPr>
              <w:pStyle w:val="60"/>
              <w:jc w:val="center"/>
              <w:rPr>
                <w:b/>
                <w:bCs w:val="0"/>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铅</w:t>
            </w:r>
          </w:p>
        </w:tc>
        <w:tc>
          <w:tcPr>
            <w:tcW w:w="2894" w:type="pct"/>
            <w:tcBorders>
              <w:top w:val="single" w:color="auto" w:sz="4" w:space="0"/>
              <w:left w:val="single" w:color="auto" w:sz="4" w:space="0"/>
              <w:bottom w:val="single" w:color="auto" w:sz="4" w:space="0"/>
              <w:right w:val="single" w:color="auto" w:sz="4" w:space="0"/>
            </w:tcBorders>
            <w:shd w:val="clear" w:color="auto" w:fill="FFFFFF"/>
            <w:vAlign w:val="center"/>
          </w:tcPr>
          <w:p w14:paraId="09B10FC7">
            <w:pPr>
              <w:adjustRightInd w:val="0"/>
              <w:snapToGrid w:val="0"/>
              <w:spacing w:line="240" w:lineRule="auto"/>
              <w:rPr>
                <w:rFonts w:cs="Times New Roman"/>
                <w:b/>
                <w:color w:val="0D0D0D" w:themeColor="text1" w:themeTint="F2"/>
                <w:sz w:val="21"/>
                <w:szCs w:val="21"/>
                <w14:textFill>
                  <w14:solidFill>
                    <w14:schemeClr w14:val="tx1">
                      <w14:lumMod w14:val="95000"/>
                      <w14:lumOff w14:val="5000"/>
                    </w14:schemeClr>
                  </w14:solidFill>
                </w14:textFill>
              </w:rPr>
            </w:pPr>
            <w:r>
              <w:rPr>
                <w:color w:val="0D0D0D" w:themeColor="text1" w:themeTint="F2"/>
                <w:kern w:val="0"/>
                <w:sz w:val="21"/>
                <w:szCs w:val="21"/>
                <w:lang w:bidi="ar"/>
                <w14:textFill>
                  <w14:solidFill>
                    <w14:schemeClr w14:val="tx1">
                      <w14:lumMod w14:val="95000"/>
                      <w14:lumOff w14:val="5000"/>
                    </w14:schemeClr>
                  </w14:solidFill>
                </w14:textFill>
              </w:rPr>
              <w:t>石墨炉原子吸收分光光度法《水和废水监测分析方法》（第四版）国家环境保护总局（2002年）</w:t>
            </w:r>
          </w:p>
        </w:tc>
        <w:tc>
          <w:tcPr>
            <w:tcW w:w="693" w:type="pct"/>
            <w:tcBorders>
              <w:top w:val="single" w:color="auto" w:sz="4" w:space="0"/>
              <w:left w:val="single" w:color="auto" w:sz="4" w:space="0"/>
              <w:bottom w:val="single" w:color="auto" w:sz="4" w:space="0"/>
              <w:right w:val="single" w:color="auto" w:sz="4" w:space="0"/>
            </w:tcBorders>
            <w:shd w:val="clear" w:color="auto" w:fill="FFFFFF"/>
            <w:vAlign w:val="center"/>
          </w:tcPr>
          <w:p w14:paraId="68B6FF83">
            <w:pPr>
              <w:spacing w:line="240" w:lineRule="auto"/>
              <w:jc w:val="center"/>
              <w:rPr>
                <w:rFonts w:cs="Times New Roman"/>
                <w:b/>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1μg/L</w:t>
            </w:r>
          </w:p>
        </w:tc>
      </w:tr>
      <w:tr w14:paraId="51F1D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6" w:type="pct"/>
            <w:tcBorders>
              <w:top w:val="single" w:color="auto" w:sz="4" w:space="0"/>
              <w:left w:val="single" w:color="auto" w:sz="4" w:space="0"/>
              <w:bottom w:val="single" w:color="auto" w:sz="4" w:space="0"/>
              <w:right w:val="single" w:color="auto" w:sz="4" w:space="0"/>
            </w:tcBorders>
            <w:vAlign w:val="center"/>
          </w:tcPr>
          <w:p w14:paraId="572E9DE1">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12</w:t>
            </w:r>
          </w:p>
        </w:tc>
        <w:tc>
          <w:tcPr>
            <w:tcW w:w="1117" w:type="pct"/>
            <w:tcBorders>
              <w:top w:val="single" w:color="auto" w:sz="4" w:space="0"/>
              <w:left w:val="single" w:color="auto" w:sz="4" w:space="0"/>
              <w:bottom w:val="single" w:color="auto" w:sz="4" w:space="0"/>
              <w:right w:val="single" w:color="auto" w:sz="4" w:space="0"/>
            </w:tcBorders>
            <w:shd w:val="clear" w:color="auto" w:fill="FFFFFF"/>
            <w:vAlign w:val="center"/>
          </w:tcPr>
          <w:p w14:paraId="326BA9A4">
            <w:pPr>
              <w:pStyle w:val="60"/>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锌</w:t>
            </w:r>
          </w:p>
        </w:tc>
        <w:tc>
          <w:tcPr>
            <w:tcW w:w="2894" w:type="pct"/>
            <w:tcBorders>
              <w:top w:val="single" w:color="auto" w:sz="4" w:space="0"/>
              <w:left w:val="single" w:color="auto" w:sz="4" w:space="0"/>
              <w:bottom w:val="single" w:color="auto" w:sz="4" w:space="0"/>
              <w:right w:val="single" w:color="auto" w:sz="4" w:space="0"/>
            </w:tcBorders>
            <w:shd w:val="clear" w:color="auto" w:fill="FFFFFF"/>
            <w:vAlign w:val="center"/>
          </w:tcPr>
          <w:p w14:paraId="6757B771">
            <w:pPr>
              <w:adjustRightInd w:val="0"/>
              <w:snapToGrid w:val="0"/>
              <w:spacing w:line="240" w:lineRule="auto"/>
              <w:rPr>
                <w:rFonts w:cs="Times New Roman"/>
                <w:color w:val="0D0D0D" w:themeColor="text1" w:themeTint="F2"/>
                <w:sz w:val="21"/>
                <w:szCs w:val="21"/>
                <w14:textFill>
                  <w14:solidFill>
                    <w14:schemeClr w14:val="tx1">
                      <w14:lumMod w14:val="95000"/>
                      <w14:lumOff w14:val="5000"/>
                    </w14:schemeClr>
                  </w14:solidFill>
                </w14:textFill>
              </w:rPr>
            </w:pPr>
            <w:r>
              <w:rPr>
                <w:color w:val="0D0D0D" w:themeColor="text1" w:themeTint="F2"/>
                <w:kern w:val="0"/>
                <w:sz w:val="21"/>
                <w:szCs w:val="21"/>
                <w:lang w:bidi="ar"/>
                <w14:textFill>
                  <w14:solidFill>
                    <w14:schemeClr w14:val="tx1">
                      <w14:lumMod w14:val="95000"/>
                      <w14:lumOff w14:val="5000"/>
                    </w14:schemeClr>
                  </w14:solidFill>
                </w14:textFill>
              </w:rPr>
              <w:t>水质 铜、锌、铅、镉的测定 原子吸收分光光度法（第一部分 直接法）（GB7475-87）</w:t>
            </w:r>
          </w:p>
        </w:tc>
        <w:tc>
          <w:tcPr>
            <w:tcW w:w="693" w:type="pct"/>
            <w:tcBorders>
              <w:top w:val="single" w:color="auto" w:sz="4" w:space="0"/>
              <w:left w:val="single" w:color="auto" w:sz="4" w:space="0"/>
              <w:bottom w:val="single" w:color="auto" w:sz="4" w:space="0"/>
              <w:right w:val="single" w:color="auto" w:sz="4" w:space="0"/>
            </w:tcBorders>
            <w:shd w:val="clear" w:color="auto" w:fill="FFFFFF"/>
            <w:vAlign w:val="center"/>
          </w:tcPr>
          <w:p w14:paraId="2B25531A">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0.05</w:t>
            </w:r>
            <w:r>
              <w:rPr>
                <w:rFonts w:cs="Times New Roman"/>
                <w:color w:val="0D0D0D" w:themeColor="text1" w:themeTint="F2"/>
                <w:sz w:val="21"/>
                <w:szCs w:val="21"/>
                <w14:textFill>
                  <w14:solidFill>
                    <w14:schemeClr w14:val="tx1">
                      <w14:lumMod w14:val="95000"/>
                      <w14:lumOff w14:val="5000"/>
                    </w14:schemeClr>
                  </w14:solidFill>
                </w14:textFill>
              </w:rPr>
              <w:t>mg/L</w:t>
            </w:r>
          </w:p>
        </w:tc>
      </w:tr>
      <w:tr w14:paraId="61105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6" w:type="pct"/>
            <w:tcBorders>
              <w:top w:val="single" w:color="auto" w:sz="4" w:space="0"/>
              <w:left w:val="single" w:color="auto" w:sz="4" w:space="0"/>
              <w:bottom w:val="single" w:color="auto" w:sz="4" w:space="0"/>
              <w:right w:val="single" w:color="auto" w:sz="4" w:space="0"/>
            </w:tcBorders>
            <w:vAlign w:val="center"/>
          </w:tcPr>
          <w:p w14:paraId="23C0E4DF">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13</w:t>
            </w:r>
          </w:p>
        </w:tc>
        <w:tc>
          <w:tcPr>
            <w:tcW w:w="1117" w:type="pct"/>
            <w:tcBorders>
              <w:top w:val="single" w:color="auto" w:sz="4" w:space="0"/>
              <w:left w:val="single" w:color="auto" w:sz="4" w:space="0"/>
              <w:bottom w:val="single" w:color="auto" w:sz="4" w:space="0"/>
              <w:right w:val="single" w:color="auto" w:sz="4" w:space="0"/>
            </w:tcBorders>
            <w:shd w:val="clear" w:color="auto" w:fill="FFFFFF"/>
            <w:vAlign w:val="center"/>
          </w:tcPr>
          <w:p w14:paraId="3A190512">
            <w:pPr>
              <w:pStyle w:val="60"/>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镉</w:t>
            </w:r>
          </w:p>
        </w:tc>
        <w:tc>
          <w:tcPr>
            <w:tcW w:w="2894" w:type="pct"/>
            <w:tcBorders>
              <w:top w:val="single" w:color="auto" w:sz="4" w:space="0"/>
              <w:left w:val="single" w:color="auto" w:sz="4" w:space="0"/>
              <w:bottom w:val="single" w:color="auto" w:sz="4" w:space="0"/>
              <w:right w:val="single" w:color="auto" w:sz="4" w:space="0"/>
            </w:tcBorders>
            <w:shd w:val="clear" w:color="auto" w:fill="FFFFFF"/>
            <w:vAlign w:val="center"/>
          </w:tcPr>
          <w:p w14:paraId="6CE45702">
            <w:pPr>
              <w:adjustRightInd w:val="0"/>
              <w:snapToGrid w:val="0"/>
              <w:spacing w:line="240" w:lineRule="auto"/>
              <w:rPr>
                <w:rFonts w:cs="Times New Roman"/>
                <w:color w:val="0D0D0D" w:themeColor="text1" w:themeTint="F2"/>
                <w:sz w:val="21"/>
                <w:szCs w:val="21"/>
                <w14:textFill>
                  <w14:solidFill>
                    <w14:schemeClr w14:val="tx1">
                      <w14:lumMod w14:val="95000"/>
                      <w14:lumOff w14:val="5000"/>
                    </w14:schemeClr>
                  </w14:solidFill>
                </w14:textFill>
              </w:rPr>
            </w:pPr>
            <w:r>
              <w:rPr>
                <w:color w:val="0D0D0D" w:themeColor="text1" w:themeTint="F2"/>
                <w:kern w:val="0"/>
                <w:sz w:val="21"/>
                <w:szCs w:val="21"/>
                <w:lang w:bidi="ar"/>
                <w14:textFill>
                  <w14:solidFill>
                    <w14:schemeClr w14:val="tx1">
                      <w14:lumMod w14:val="95000"/>
                      <w14:lumOff w14:val="5000"/>
                    </w14:schemeClr>
                  </w14:solidFill>
                </w14:textFill>
              </w:rPr>
              <w:t>石墨炉原子吸收分光光度法《水和废水监测分析方法》（第四版）国家环境保护总局（2002年）</w:t>
            </w:r>
          </w:p>
        </w:tc>
        <w:tc>
          <w:tcPr>
            <w:tcW w:w="693" w:type="pct"/>
            <w:tcBorders>
              <w:top w:val="single" w:color="auto" w:sz="4" w:space="0"/>
              <w:left w:val="single" w:color="auto" w:sz="4" w:space="0"/>
              <w:bottom w:val="single" w:color="auto" w:sz="4" w:space="0"/>
              <w:right w:val="single" w:color="auto" w:sz="4" w:space="0"/>
            </w:tcBorders>
            <w:shd w:val="clear" w:color="auto" w:fill="FFFFFF"/>
            <w:vAlign w:val="center"/>
          </w:tcPr>
          <w:p w14:paraId="0EEACEE8">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0.1μg/L</w:t>
            </w:r>
          </w:p>
        </w:tc>
      </w:tr>
      <w:tr w14:paraId="3A782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6" w:type="pct"/>
            <w:tcBorders>
              <w:top w:val="single" w:color="auto" w:sz="4" w:space="0"/>
              <w:left w:val="single" w:color="auto" w:sz="4" w:space="0"/>
              <w:bottom w:val="single" w:color="auto" w:sz="4" w:space="0"/>
              <w:right w:val="single" w:color="auto" w:sz="4" w:space="0"/>
            </w:tcBorders>
            <w:vAlign w:val="center"/>
          </w:tcPr>
          <w:p w14:paraId="60DD26C7">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14</w:t>
            </w:r>
          </w:p>
        </w:tc>
        <w:tc>
          <w:tcPr>
            <w:tcW w:w="1117" w:type="pct"/>
            <w:tcBorders>
              <w:top w:val="single" w:color="auto" w:sz="4" w:space="0"/>
              <w:left w:val="single" w:color="auto" w:sz="4" w:space="0"/>
              <w:bottom w:val="single" w:color="auto" w:sz="4" w:space="0"/>
              <w:right w:val="single" w:color="auto" w:sz="4" w:space="0"/>
            </w:tcBorders>
            <w:shd w:val="clear" w:color="auto" w:fill="FFFFFF"/>
            <w:vAlign w:val="center"/>
          </w:tcPr>
          <w:p w14:paraId="1F258D04">
            <w:pPr>
              <w:pStyle w:val="60"/>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六价铬</w:t>
            </w:r>
          </w:p>
        </w:tc>
        <w:tc>
          <w:tcPr>
            <w:tcW w:w="2894" w:type="pct"/>
            <w:tcBorders>
              <w:top w:val="single" w:color="auto" w:sz="4" w:space="0"/>
              <w:left w:val="single" w:color="auto" w:sz="4" w:space="0"/>
              <w:bottom w:val="single" w:color="auto" w:sz="4" w:space="0"/>
              <w:right w:val="single" w:color="auto" w:sz="4" w:space="0"/>
            </w:tcBorders>
            <w:shd w:val="clear" w:color="auto" w:fill="FFFFFF"/>
            <w:vAlign w:val="center"/>
          </w:tcPr>
          <w:p w14:paraId="7E9F9B6E">
            <w:pPr>
              <w:adjustRightInd w:val="0"/>
              <w:snapToGrid w:val="0"/>
              <w:spacing w:line="240" w:lineRule="auto"/>
              <w:rPr>
                <w:rFonts w:cs="Times New Roman"/>
                <w:color w:val="0D0D0D" w:themeColor="text1" w:themeTint="F2"/>
                <w:sz w:val="21"/>
                <w:szCs w:val="21"/>
                <w:shd w:val="clear" w:color="auto" w:fill="FFFFFF"/>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水质 六价铬的测定  二苯碳酰二肼分光光度法（GB7467-87）</w:t>
            </w:r>
          </w:p>
        </w:tc>
        <w:tc>
          <w:tcPr>
            <w:tcW w:w="693" w:type="pct"/>
            <w:tcBorders>
              <w:top w:val="single" w:color="auto" w:sz="4" w:space="0"/>
              <w:left w:val="single" w:color="auto" w:sz="4" w:space="0"/>
              <w:bottom w:val="single" w:color="auto" w:sz="4" w:space="0"/>
              <w:right w:val="single" w:color="auto" w:sz="4" w:space="0"/>
            </w:tcBorders>
            <w:shd w:val="clear" w:color="auto" w:fill="FFFFFF"/>
            <w:vAlign w:val="center"/>
          </w:tcPr>
          <w:p w14:paraId="4C1AC804">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0.004mg/L</w:t>
            </w:r>
          </w:p>
        </w:tc>
      </w:tr>
      <w:tr w14:paraId="7AD9E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6" w:type="pct"/>
            <w:tcBorders>
              <w:top w:val="single" w:color="auto" w:sz="4" w:space="0"/>
              <w:left w:val="single" w:color="auto" w:sz="4" w:space="0"/>
              <w:bottom w:val="single" w:color="auto" w:sz="4" w:space="0"/>
              <w:right w:val="single" w:color="auto" w:sz="4" w:space="0"/>
            </w:tcBorders>
            <w:vAlign w:val="center"/>
          </w:tcPr>
          <w:p w14:paraId="68C404FB">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15</w:t>
            </w:r>
          </w:p>
        </w:tc>
        <w:tc>
          <w:tcPr>
            <w:tcW w:w="1117" w:type="pct"/>
            <w:tcBorders>
              <w:top w:val="single" w:color="auto" w:sz="4" w:space="0"/>
              <w:left w:val="single" w:color="auto" w:sz="4" w:space="0"/>
              <w:bottom w:val="single" w:color="auto" w:sz="4" w:space="0"/>
              <w:right w:val="single" w:color="auto" w:sz="4" w:space="0"/>
            </w:tcBorders>
            <w:shd w:val="clear" w:color="auto" w:fill="FFFFFF"/>
            <w:vAlign w:val="center"/>
          </w:tcPr>
          <w:p w14:paraId="42FFF61D">
            <w:pPr>
              <w:pStyle w:val="6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汞</w:t>
            </w:r>
          </w:p>
        </w:tc>
        <w:tc>
          <w:tcPr>
            <w:tcW w:w="2894" w:type="pct"/>
            <w:tcBorders>
              <w:top w:val="single" w:color="auto" w:sz="4" w:space="0"/>
              <w:left w:val="single" w:color="auto" w:sz="4" w:space="0"/>
              <w:bottom w:val="single" w:color="auto" w:sz="4" w:space="0"/>
              <w:right w:val="single" w:color="auto" w:sz="4" w:space="0"/>
            </w:tcBorders>
            <w:shd w:val="clear" w:color="auto" w:fill="FFFFFF"/>
            <w:vAlign w:val="center"/>
          </w:tcPr>
          <w:p w14:paraId="709183B5">
            <w:pPr>
              <w:adjustRightInd w:val="0"/>
              <w:snapToGrid w:val="0"/>
              <w:spacing w:line="240" w:lineRule="auto"/>
              <w:rPr>
                <w:rFonts w:cs="Times New Roman"/>
                <w:color w:val="0D0D0D" w:themeColor="text1" w:themeTint="F2"/>
                <w:sz w:val="21"/>
                <w:szCs w:val="21"/>
                <w14:textFill>
                  <w14:solidFill>
                    <w14:schemeClr w14:val="tx1">
                      <w14:lumMod w14:val="95000"/>
                      <w14:lumOff w14:val="5000"/>
                    </w14:schemeClr>
                  </w14:solidFill>
                </w14:textFill>
              </w:rPr>
            </w:pPr>
            <w:r>
              <w:rPr>
                <w:color w:val="0D0D0D" w:themeColor="text1" w:themeTint="F2"/>
                <w:kern w:val="0"/>
                <w:sz w:val="21"/>
                <w:szCs w:val="21"/>
                <w14:textFill>
                  <w14:solidFill>
                    <w14:schemeClr w14:val="tx1">
                      <w14:lumMod w14:val="95000"/>
                      <w14:lumOff w14:val="5000"/>
                    </w14:schemeClr>
                  </w14:solidFill>
                </w14:textFill>
              </w:rPr>
              <w:t>水质 汞、砷、硒、铋和锑的测定 原子荧光法（HJ694-2014）</w:t>
            </w:r>
          </w:p>
        </w:tc>
        <w:tc>
          <w:tcPr>
            <w:tcW w:w="693" w:type="pct"/>
            <w:tcBorders>
              <w:top w:val="single" w:color="auto" w:sz="4" w:space="0"/>
              <w:left w:val="single" w:color="auto" w:sz="4" w:space="0"/>
              <w:bottom w:val="single" w:color="auto" w:sz="4" w:space="0"/>
              <w:right w:val="single" w:color="auto" w:sz="4" w:space="0"/>
            </w:tcBorders>
            <w:shd w:val="clear" w:color="auto" w:fill="FFFFFF"/>
            <w:vAlign w:val="center"/>
          </w:tcPr>
          <w:p w14:paraId="1976BA68">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color w:val="0D0D0D" w:themeColor="text1" w:themeTint="F2"/>
                <w:kern w:val="0"/>
                <w:sz w:val="21"/>
                <w:szCs w:val="21"/>
                <w14:textFill>
                  <w14:solidFill>
                    <w14:schemeClr w14:val="tx1">
                      <w14:lumMod w14:val="95000"/>
                      <w14:lumOff w14:val="5000"/>
                    </w14:schemeClr>
                  </w14:solidFill>
                </w14:textFill>
              </w:rPr>
              <w:t>0.04</w:t>
            </w:r>
            <w:r>
              <w:rPr>
                <w:color w:val="0D0D0D" w:themeColor="text1" w:themeTint="F2"/>
                <w:sz w:val="21"/>
                <w:szCs w:val="21"/>
                <w14:textFill>
                  <w14:solidFill>
                    <w14:schemeClr w14:val="tx1">
                      <w14:lumMod w14:val="95000"/>
                      <w14:lumOff w14:val="5000"/>
                    </w14:schemeClr>
                  </w14:solidFill>
                </w14:textFill>
              </w:rPr>
              <w:t>μg/L</w:t>
            </w:r>
          </w:p>
        </w:tc>
      </w:tr>
      <w:tr w14:paraId="07AA4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6" w:type="pct"/>
            <w:tcBorders>
              <w:top w:val="single" w:color="auto" w:sz="4" w:space="0"/>
              <w:left w:val="single" w:color="auto" w:sz="4" w:space="0"/>
              <w:bottom w:val="single" w:color="auto" w:sz="4" w:space="0"/>
              <w:right w:val="single" w:color="auto" w:sz="4" w:space="0"/>
            </w:tcBorders>
            <w:vAlign w:val="center"/>
          </w:tcPr>
          <w:p w14:paraId="75C6BEFA">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16</w:t>
            </w:r>
          </w:p>
        </w:tc>
        <w:tc>
          <w:tcPr>
            <w:tcW w:w="1117" w:type="pct"/>
            <w:tcBorders>
              <w:top w:val="single" w:color="auto" w:sz="4" w:space="0"/>
              <w:left w:val="single" w:color="auto" w:sz="4" w:space="0"/>
              <w:bottom w:val="single" w:color="auto" w:sz="4" w:space="0"/>
              <w:right w:val="single" w:color="auto" w:sz="4" w:space="0"/>
            </w:tcBorders>
            <w:shd w:val="clear" w:color="auto" w:fill="FFFFFF"/>
            <w:vAlign w:val="center"/>
          </w:tcPr>
          <w:p w14:paraId="64996E69">
            <w:pPr>
              <w:pStyle w:val="60"/>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砷</w:t>
            </w:r>
          </w:p>
        </w:tc>
        <w:tc>
          <w:tcPr>
            <w:tcW w:w="2894" w:type="pct"/>
            <w:tcBorders>
              <w:top w:val="single" w:color="auto" w:sz="4" w:space="0"/>
              <w:left w:val="single" w:color="auto" w:sz="4" w:space="0"/>
              <w:bottom w:val="single" w:color="auto" w:sz="4" w:space="0"/>
              <w:right w:val="single" w:color="auto" w:sz="4" w:space="0"/>
            </w:tcBorders>
            <w:shd w:val="clear" w:color="auto" w:fill="FFFFFF"/>
            <w:vAlign w:val="center"/>
          </w:tcPr>
          <w:p w14:paraId="6D2D9A11">
            <w:pPr>
              <w:spacing w:line="240" w:lineRule="auto"/>
              <w:rPr>
                <w:rFonts w:cs="Times New Roman"/>
                <w:color w:val="0D0D0D" w:themeColor="text1" w:themeTint="F2"/>
                <w:sz w:val="21"/>
                <w:szCs w:val="21"/>
                <w14:textFill>
                  <w14:solidFill>
                    <w14:schemeClr w14:val="tx1">
                      <w14:lumMod w14:val="95000"/>
                      <w14:lumOff w14:val="5000"/>
                    </w14:schemeClr>
                  </w14:solidFill>
                </w14:textFill>
              </w:rPr>
            </w:pPr>
            <w:r>
              <w:rPr>
                <w:color w:val="0D0D0D" w:themeColor="text1" w:themeTint="F2"/>
                <w:kern w:val="0"/>
                <w:sz w:val="21"/>
                <w:szCs w:val="21"/>
                <w14:textFill>
                  <w14:solidFill>
                    <w14:schemeClr w14:val="tx1">
                      <w14:lumMod w14:val="95000"/>
                      <w14:lumOff w14:val="5000"/>
                    </w14:schemeClr>
                  </w14:solidFill>
                </w14:textFill>
              </w:rPr>
              <w:t>水质 汞、砷、硒、铋和锑的测定 原子荧光法（HJ694-2014）</w:t>
            </w:r>
          </w:p>
        </w:tc>
        <w:tc>
          <w:tcPr>
            <w:tcW w:w="693" w:type="pct"/>
            <w:tcBorders>
              <w:top w:val="single" w:color="auto" w:sz="4" w:space="0"/>
              <w:left w:val="single" w:color="auto" w:sz="4" w:space="0"/>
              <w:bottom w:val="single" w:color="auto" w:sz="4" w:space="0"/>
              <w:right w:val="single" w:color="auto" w:sz="4" w:space="0"/>
            </w:tcBorders>
            <w:shd w:val="clear" w:color="auto" w:fill="FFFFFF"/>
            <w:vAlign w:val="center"/>
          </w:tcPr>
          <w:p w14:paraId="097C7BE9">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color w:val="0D0D0D" w:themeColor="text1" w:themeTint="F2"/>
                <w:kern w:val="0"/>
                <w:sz w:val="21"/>
                <w:szCs w:val="21"/>
                <w14:textFill>
                  <w14:solidFill>
                    <w14:schemeClr w14:val="tx1">
                      <w14:lumMod w14:val="95000"/>
                      <w14:lumOff w14:val="5000"/>
                    </w14:schemeClr>
                  </w14:solidFill>
                </w14:textFill>
              </w:rPr>
              <w:t>0.3</w:t>
            </w:r>
            <w:r>
              <w:rPr>
                <w:color w:val="0D0D0D" w:themeColor="text1" w:themeTint="F2"/>
                <w:sz w:val="21"/>
                <w:szCs w:val="21"/>
                <w14:textFill>
                  <w14:solidFill>
                    <w14:schemeClr w14:val="tx1">
                      <w14:lumMod w14:val="95000"/>
                      <w14:lumOff w14:val="5000"/>
                    </w14:schemeClr>
                  </w14:solidFill>
                </w14:textFill>
              </w:rPr>
              <w:t>μg/L</w:t>
            </w:r>
          </w:p>
        </w:tc>
      </w:tr>
      <w:tr w14:paraId="672EF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6" w:type="pct"/>
            <w:tcBorders>
              <w:top w:val="single" w:color="auto" w:sz="4" w:space="0"/>
              <w:left w:val="single" w:color="auto" w:sz="4" w:space="0"/>
              <w:bottom w:val="single" w:color="auto" w:sz="4" w:space="0"/>
              <w:right w:val="single" w:color="auto" w:sz="4" w:space="0"/>
            </w:tcBorders>
            <w:vAlign w:val="center"/>
          </w:tcPr>
          <w:p w14:paraId="2A327D63">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17</w:t>
            </w:r>
          </w:p>
        </w:tc>
        <w:tc>
          <w:tcPr>
            <w:tcW w:w="1117" w:type="pct"/>
            <w:tcBorders>
              <w:top w:val="single" w:color="auto" w:sz="4" w:space="0"/>
              <w:left w:val="single" w:color="auto" w:sz="4" w:space="0"/>
              <w:bottom w:val="single" w:color="auto" w:sz="4" w:space="0"/>
              <w:right w:val="single" w:color="auto" w:sz="4" w:space="0"/>
            </w:tcBorders>
            <w:shd w:val="clear" w:color="auto" w:fill="FFFFFF"/>
            <w:vAlign w:val="center"/>
          </w:tcPr>
          <w:p w14:paraId="6E00F895">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石油类</w:t>
            </w:r>
          </w:p>
        </w:tc>
        <w:tc>
          <w:tcPr>
            <w:tcW w:w="2894" w:type="pct"/>
            <w:tcBorders>
              <w:top w:val="single" w:color="auto" w:sz="4" w:space="0"/>
              <w:left w:val="single" w:color="auto" w:sz="4" w:space="0"/>
              <w:bottom w:val="single" w:color="auto" w:sz="4" w:space="0"/>
              <w:right w:val="single" w:color="auto" w:sz="4" w:space="0"/>
            </w:tcBorders>
            <w:shd w:val="clear" w:color="auto" w:fill="FFFFFF"/>
            <w:vAlign w:val="center"/>
          </w:tcPr>
          <w:p w14:paraId="364D601E">
            <w:pPr>
              <w:adjustRightInd w:val="0"/>
              <w:snapToGrid w:val="0"/>
              <w:spacing w:line="240" w:lineRule="auto"/>
              <w:rPr>
                <w:rFonts w:cs="Times New Roman"/>
                <w:color w:val="0D0D0D" w:themeColor="text1" w:themeTint="F2"/>
                <w:sz w:val="21"/>
                <w:szCs w:val="21"/>
                <w14:textFill>
                  <w14:solidFill>
                    <w14:schemeClr w14:val="tx1">
                      <w14:lumMod w14:val="95000"/>
                      <w14:lumOff w14:val="5000"/>
                    </w14:schemeClr>
                  </w14:solidFill>
                </w14:textFill>
              </w:rPr>
            </w:pPr>
            <w:r>
              <w:rPr>
                <w:color w:val="0D0D0D" w:themeColor="text1" w:themeTint="F2"/>
                <w:kern w:val="0"/>
                <w:sz w:val="21"/>
                <w:szCs w:val="21"/>
                <w:lang w:bidi="ar"/>
                <w14:textFill>
                  <w14:solidFill>
                    <w14:schemeClr w14:val="tx1">
                      <w14:lumMod w14:val="95000"/>
                      <w14:lumOff w14:val="5000"/>
                    </w14:schemeClr>
                  </w14:solidFill>
                </w14:textFill>
              </w:rPr>
              <w:t>水质 石油类的测定 紫外分光光度法（试行）（HJ970-2018）</w:t>
            </w:r>
          </w:p>
        </w:tc>
        <w:tc>
          <w:tcPr>
            <w:tcW w:w="693" w:type="pct"/>
            <w:tcBorders>
              <w:top w:val="single" w:color="auto" w:sz="4" w:space="0"/>
              <w:left w:val="single" w:color="auto" w:sz="4" w:space="0"/>
              <w:bottom w:val="single" w:color="auto" w:sz="4" w:space="0"/>
              <w:right w:val="single" w:color="auto" w:sz="4" w:space="0"/>
            </w:tcBorders>
            <w:shd w:val="clear" w:color="auto" w:fill="FFFFFF"/>
            <w:vAlign w:val="center"/>
          </w:tcPr>
          <w:p w14:paraId="516D3FA1">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0.01mg/L</w:t>
            </w:r>
          </w:p>
        </w:tc>
      </w:tr>
      <w:tr w14:paraId="2F3D3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6" w:type="pct"/>
            <w:tcBorders>
              <w:top w:val="single" w:color="auto" w:sz="4" w:space="0"/>
              <w:left w:val="single" w:color="auto" w:sz="4" w:space="0"/>
              <w:bottom w:val="single" w:color="auto" w:sz="4" w:space="0"/>
              <w:right w:val="single" w:color="auto" w:sz="4" w:space="0"/>
            </w:tcBorders>
            <w:vAlign w:val="center"/>
          </w:tcPr>
          <w:p w14:paraId="0ECAB036">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18</w:t>
            </w:r>
          </w:p>
        </w:tc>
        <w:tc>
          <w:tcPr>
            <w:tcW w:w="1117" w:type="pct"/>
            <w:tcBorders>
              <w:top w:val="single" w:color="auto" w:sz="4" w:space="0"/>
              <w:left w:val="single" w:color="auto" w:sz="4" w:space="0"/>
              <w:bottom w:val="single" w:color="auto" w:sz="4" w:space="0"/>
              <w:right w:val="single" w:color="auto" w:sz="4" w:space="0"/>
            </w:tcBorders>
            <w:shd w:val="clear" w:color="auto" w:fill="FFFFFF"/>
            <w:vAlign w:val="center"/>
          </w:tcPr>
          <w:p w14:paraId="10D6D1F3">
            <w:pPr>
              <w:pStyle w:val="60"/>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K</w:t>
            </w:r>
            <w:r>
              <w:rPr>
                <w:color w:val="0D0D0D" w:themeColor="text1" w:themeTint="F2"/>
                <w:sz w:val="21"/>
                <w:szCs w:val="21"/>
                <w:vertAlign w:val="superscript"/>
                <w14:textFill>
                  <w14:solidFill>
                    <w14:schemeClr w14:val="tx1">
                      <w14:lumMod w14:val="95000"/>
                      <w14:lumOff w14:val="5000"/>
                    </w14:schemeClr>
                  </w14:solidFill>
                </w14:textFill>
              </w:rPr>
              <w:t>+</w:t>
            </w:r>
          </w:p>
        </w:tc>
        <w:tc>
          <w:tcPr>
            <w:tcW w:w="2894" w:type="pct"/>
            <w:tcBorders>
              <w:top w:val="single" w:color="auto" w:sz="4" w:space="0"/>
              <w:left w:val="single" w:color="auto" w:sz="4" w:space="0"/>
              <w:bottom w:val="single" w:color="auto" w:sz="4" w:space="0"/>
              <w:right w:val="single" w:color="auto" w:sz="4" w:space="0"/>
            </w:tcBorders>
            <w:shd w:val="clear" w:color="auto" w:fill="FFFFFF"/>
            <w:vAlign w:val="center"/>
          </w:tcPr>
          <w:p w14:paraId="1C4111F3">
            <w:pPr>
              <w:spacing w:line="240" w:lineRule="auto"/>
              <w:rPr>
                <w:rFonts w:cs="Times New Roman"/>
                <w:color w:val="0D0D0D" w:themeColor="text1" w:themeTint="F2"/>
                <w:sz w:val="21"/>
                <w:szCs w:val="21"/>
                <w14:textFill>
                  <w14:solidFill>
                    <w14:schemeClr w14:val="tx1">
                      <w14:lumMod w14:val="95000"/>
                      <w14:lumOff w14:val="5000"/>
                    </w14:schemeClr>
                  </w14:solidFill>
                </w14:textFill>
              </w:rPr>
            </w:pPr>
            <w:r>
              <w:rPr>
                <w:color w:val="0D0D0D" w:themeColor="text1" w:themeTint="F2"/>
                <w:kern w:val="0"/>
                <w:sz w:val="21"/>
                <w:szCs w:val="21"/>
                <w14:textFill>
                  <w14:solidFill>
                    <w14:schemeClr w14:val="tx1">
                      <w14:lumMod w14:val="95000"/>
                      <w14:lumOff w14:val="5000"/>
                    </w14:schemeClr>
                  </w14:solidFill>
                </w14:textFill>
              </w:rPr>
              <w:t>水质 可溶性阳离子（Li</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、Na</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、NH</w:t>
            </w:r>
            <w:r>
              <w:rPr>
                <w:color w:val="0D0D0D" w:themeColor="text1" w:themeTint="F2"/>
                <w:kern w:val="0"/>
                <w:sz w:val="21"/>
                <w:szCs w:val="21"/>
                <w:vertAlign w:val="subscript"/>
                <w14:textFill>
                  <w14:solidFill>
                    <w14:schemeClr w14:val="tx1">
                      <w14:lumMod w14:val="95000"/>
                      <w14:lumOff w14:val="5000"/>
                    </w14:schemeClr>
                  </w14:solidFill>
                </w14:textFill>
              </w:rPr>
              <w:t>4</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、K</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、Ca</w:t>
            </w:r>
            <w:r>
              <w:rPr>
                <w:color w:val="0D0D0D" w:themeColor="text1" w:themeTint="F2"/>
                <w:kern w:val="0"/>
                <w:sz w:val="21"/>
                <w:szCs w:val="21"/>
                <w:vertAlign w:val="superscript"/>
                <w14:textFill>
                  <w14:solidFill>
                    <w14:schemeClr w14:val="tx1">
                      <w14:lumMod w14:val="95000"/>
                      <w14:lumOff w14:val="5000"/>
                    </w14:schemeClr>
                  </w14:solidFill>
                </w14:textFill>
              </w:rPr>
              <w:t>2+</w:t>
            </w:r>
            <w:r>
              <w:rPr>
                <w:color w:val="0D0D0D" w:themeColor="text1" w:themeTint="F2"/>
                <w:kern w:val="0"/>
                <w:sz w:val="21"/>
                <w:szCs w:val="21"/>
                <w14:textFill>
                  <w14:solidFill>
                    <w14:schemeClr w14:val="tx1">
                      <w14:lumMod w14:val="95000"/>
                      <w14:lumOff w14:val="5000"/>
                    </w14:schemeClr>
                  </w14:solidFill>
                </w14:textFill>
              </w:rPr>
              <w:t>、Mg</w:t>
            </w:r>
            <w:r>
              <w:rPr>
                <w:color w:val="0D0D0D" w:themeColor="text1" w:themeTint="F2"/>
                <w:kern w:val="0"/>
                <w:sz w:val="21"/>
                <w:szCs w:val="21"/>
                <w:vertAlign w:val="superscript"/>
                <w14:textFill>
                  <w14:solidFill>
                    <w14:schemeClr w14:val="tx1">
                      <w14:lumMod w14:val="95000"/>
                      <w14:lumOff w14:val="5000"/>
                    </w14:schemeClr>
                  </w14:solidFill>
                </w14:textFill>
              </w:rPr>
              <w:t>2+</w:t>
            </w:r>
            <w:r>
              <w:rPr>
                <w:color w:val="0D0D0D" w:themeColor="text1" w:themeTint="F2"/>
                <w:kern w:val="0"/>
                <w:sz w:val="21"/>
                <w:szCs w:val="21"/>
                <w14:textFill>
                  <w14:solidFill>
                    <w14:schemeClr w14:val="tx1">
                      <w14:lumMod w14:val="95000"/>
                      <w14:lumOff w14:val="5000"/>
                    </w14:schemeClr>
                  </w14:solidFill>
                </w14:textFill>
              </w:rPr>
              <w:t>）的测定 离子色谱法（HJ812-2016）</w:t>
            </w:r>
          </w:p>
        </w:tc>
        <w:tc>
          <w:tcPr>
            <w:tcW w:w="693" w:type="pct"/>
            <w:tcBorders>
              <w:top w:val="single" w:color="auto" w:sz="4" w:space="0"/>
              <w:left w:val="single" w:color="auto" w:sz="4" w:space="0"/>
              <w:bottom w:val="single" w:color="auto" w:sz="4" w:space="0"/>
              <w:right w:val="single" w:color="auto" w:sz="4" w:space="0"/>
            </w:tcBorders>
            <w:shd w:val="clear" w:color="auto" w:fill="FFFFFF"/>
            <w:vAlign w:val="center"/>
          </w:tcPr>
          <w:p w14:paraId="075A5360">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0.02</w:t>
            </w:r>
            <w:r>
              <w:rPr>
                <w:rFonts w:cs="Times New Roman"/>
                <w:color w:val="0D0D0D" w:themeColor="text1" w:themeTint="F2"/>
                <w:sz w:val="21"/>
                <w:szCs w:val="21"/>
                <w14:textFill>
                  <w14:solidFill>
                    <w14:schemeClr w14:val="tx1">
                      <w14:lumMod w14:val="95000"/>
                      <w14:lumOff w14:val="5000"/>
                    </w14:schemeClr>
                  </w14:solidFill>
                </w14:textFill>
              </w:rPr>
              <w:t>mg/L</w:t>
            </w:r>
          </w:p>
        </w:tc>
      </w:tr>
      <w:tr w14:paraId="08D76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6" w:type="pct"/>
            <w:tcBorders>
              <w:top w:val="single" w:color="auto" w:sz="4" w:space="0"/>
              <w:left w:val="single" w:color="auto" w:sz="4" w:space="0"/>
              <w:bottom w:val="single" w:color="auto" w:sz="4" w:space="0"/>
              <w:right w:val="single" w:color="auto" w:sz="4" w:space="0"/>
            </w:tcBorders>
            <w:vAlign w:val="center"/>
          </w:tcPr>
          <w:p w14:paraId="1C052795">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19</w:t>
            </w:r>
          </w:p>
        </w:tc>
        <w:tc>
          <w:tcPr>
            <w:tcW w:w="1117" w:type="pct"/>
            <w:tcBorders>
              <w:top w:val="single" w:color="auto" w:sz="4" w:space="0"/>
              <w:left w:val="single" w:color="auto" w:sz="4" w:space="0"/>
              <w:bottom w:val="single" w:color="auto" w:sz="4" w:space="0"/>
              <w:right w:val="single" w:color="auto" w:sz="4" w:space="0"/>
            </w:tcBorders>
            <w:shd w:val="clear" w:color="auto" w:fill="FFFFFF"/>
            <w:vAlign w:val="center"/>
          </w:tcPr>
          <w:p w14:paraId="0CCC3B00">
            <w:pPr>
              <w:pStyle w:val="60"/>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Na</w:t>
            </w:r>
            <w:r>
              <w:rPr>
                <w:color w:val="0D0D0D" w:themeColor="text1" w:themeTint="F2"/>
                <w:sz w:val="21"/>
                <w:szCs w:val="21"/>
                <w:vertAlign w:val="superscript"/>
                <w14:textFill>
                  <w14:solidFill>
                    <w14:schemeClr w14:val="tx1">
                      <w14:lumMod w14:val="95000"/>
                      <w14:lumOff w14:val="5000"/>
                    </w14:schemeClr>
                  </w14:solidFill>
                </w14:textFill>
              </w:rPr>
              <w:t>+</w:t>
            </w:r>
          </w:p>
        </w:tc>
        <w:tc>
          <w:tcPr>
            <w:tcW w:w="2894" w:type="pct"/>
            <w:tcBorders>
              <w:top w:val="single" w:color="auto" w:sz="4" w:space="0"/>
              <w:left w:val="single" w:color="auto" w:sz="4" w:space="0"/>
              <w:bottom w:val="single" w:color="auto" w:sz="4" w:space="0"/>
              <w:right w:val="single" w:color="auto" w:sz="4" w:space="0"/>
            </w:tcBorders>
            <w:shd w:val="clear" w:color="auto" w:fill="FFFFFF"/>
            <w:vAlign w:val="center"/>
          </w:tcPr>
          <w:p w14:paraId="12002780">
            <w:pPr>
              <w:spacing w:line="240" w:lineRule="auto"/>
              <w:rPr>
                <w:rFonts w:cs="Times New Roman"/>
                <w:color w:val="0D0D0D" w:themeColor="text1" w:themeTint="F2"/>
                <w:sz w:val="21"/>
                <w:szCs w:val="21"/>
                <w:shd w:val="clear" w:color="auto" w:fill="FFFFFF"/>
                <w14:textFill>
                  <w14:solidFill>
                    <w14:schemeClr w14:val="tx1">
                      <w14:lumMod w14:val="95000"/>
                      <w14:lumOff w14:val="5000"/>
                    </w14:schemeClr>
                  </w14:solidFill>
                </w14:textFill>
              </w:rPr>
            </w:pPr>
            <w:r>
              <w:rPr>
                <w:color w:val="0D0D0D" w:themeColor="text1" w:themeTint="F2"/>
                <w:kern w:val="0"/>
                <w:sz w:val="21"/>
                <w:szCs w:val="21"/>
                <w14:textFill>
                  <w14:solidFill>
                    <w14:schemeClr w14:val="tx1">
                      <w14:lumMod w14:val="95000"/>
                      <w14:lumOff w14:val="5000"/>
                    </w14:schemeClr>
                  </w14:solidFill>
                </w14:textFill>
              </w:rPr>
              <w:t>水质 可溶性阳离子（Li</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、Na</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、NH</w:t>
            </w:r>
            <w:r>
              <w:rPr>
                <w:color w:val="0D0D0D" w:themeColor="text1" w:themeTint="F2"/>
                <w:kern w:val="0"/>
                <w:sz w:val="21"/>
                <w:szCs w:val="21"/>
                <w:vertAlign w:val="subscript"/>
                <w14:textFill>
                  <w14:solidFill>
                    <w14:schemeClr w14:val="tx1">
                      <w14:lumMod w14:val="95000"/>
                      <w14:lumOff w14:val="5000"/>
                    </w14:schemeClr>
                  </w14:solidFill>
                </w14:textFill>
              </w:rPr>
              <w:t>4</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、K</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、Ca</w:t>
            </w:r>
            <w:r>
              <w:rPr>
                <w:color w:val="0D0D0D" w:themeColor="text1" w:themeTint="F2"/>
                <w:kern w:val="0"/>
                <w:sz w:val="21"/>
                <w:szCs w:val="21"/>
                <w:vertAlign w:val="superscript"/>
                <w14:textFill>
                  <w14:solidFill>
                    <w14:schemeClr w14:val="tx1">
                      <w14:lumMod w14:val="95000"/>
                      <w14:lumOff w14:val="5000"/>
                    </w14:schemeClr>
                  </w14:solidFill>
                </w14:textFill>
              </w:rPr>
              <w:t>2+</w:t>
            </w:r>
            <w:r>
              <w:rPr>
                <w:color w:val="0D0D0D" w:themeColor="text1" w:themeTint="F2"/>
                <w:kern w:val="0"/>
                <w:sz w:val="21"/>
                <w:szCs w:val="21"/>
                <w14:textFill>
                  <w14:solidFill>
                    <w14:schemeClr w14:val="tx1">
                      <w14:lumMod w14:val="95000"/>
                      <w14:lumOff w14:val="5000"/>
                    </w14:schemeClr>
                  </w14:solidFill>
                </w14:textFill>
              </w:rPr>
              <w:t>、Mg</w:t>
            </w:r>
            <w:r>
              <w:rPr>
                <w:color w:val="0D0D0D" w:themeColor="text1" w:themeTint="F2"/>
                <w:kern w:val="0"/>
                <w:sz w:val="21"/>
                <w:szCs w:val="21"/>
                <w:vertAlign w:val="superscript"/>
                <w14:textFill>
                  <w14:solidFill>
                    <w14:schemeClr w14:val="tx1">
                      <w14:lumMod w14:val="95000"/>
                      <w14:lumOff w14:val="5000"/>
                    </w14:schemeClr>
                  </w14:solidFill>
                </w14:textFill>
              </w:rPr>
              <w:t>2+</w:t>
            </w:r>
            <w:r>
              <w:rPr>
                <w:color w:val="0D0D0D" w:themeColor="text1" w:themeTint="F2"/>
                <w:kern w:val="0"/>
                <w:sz w:val="21"/>
                <w:szCs w:val="21"/>
                <w14:textFill>
                  <w14:solidFill>
                    <w14:schemeClr w14:val="tx1">
                      <w14:lumMod w14:val="95000"/>
                      <w14:lumOff w14:val="5000"/>
                    </w14:schemeClr>
                  </w14:solidFill>
                </w14:textFill>
              </w:rPr>
              <w:t>）的测定 离子色谱法（HJ812-2016）</w:t>
            </w:r>
          </w:p>
        </w:tc>
        <w:tc>
          <w:tcPr>
            <w:tcW w:w="693" w:type="pct"/>
            <w:tcBorders>
              <w:top w:val="single" w:color="auto" w:sz="4" w:space="0"/>
              <w:left w:val="single" w:color="auto" w:sz="4" w:space="0"/>
              <w:bottom w:val="single" w:color="auto" w:sz="4" w:space="0"/>
              <w:right w:val="single" w:color="auto" w:sz="4" w:space="0"/>
            </w:tcBorders>
            <w:shd w:val="clear" w:color="auto" w:fill="FFFFFF"/>
            <w:vAlign w:val="center"/>
          </w:tcPr>
          <w:p w14:paraId="2AF80B54">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0.02</w:t>
            </w:r>
            <w:r>
              <w:rPr>
                <w:rFonts w:cs="Times New Roman"/>
                <w:color w:val="0D0D0D" w:themeColor="text1" w:themeTint="F2"/>
                <w:sz w:val="21"/>
                <w:szCs w:val="21"/>
                <w14:textFill>
                  <w14:solidFill>
                    <w14:schemeClr w14:val="tx1">
                      <w14:lumMod w14:val="95000"/>
                      <w14:lumOff w14:val="5000"/>
                    </w14:schemeClr>
                  </w14:solidFill>
                </w14:textFill>
              </w:rPr>
              <w:t>mg/L</w:t>
            </w:r>
          </w:p>
        </w:tc>
      </w:tr>
      <w:tr w14:paraId="7CBB2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6" w:type="pct"/>
            <w:tcBorders>
              <w:top w:val="single" w:color="auto" w:sz="4" w:space="0"/>
              <w:left w:val="single" w:color="auto" w:sz="4" w:space="0"/>
              <w:bottom w:val="single" w:color="auto" w:sz="4" w:space="0"/>
              <w:right w:val="single" w:color="auto" w:sz="4" w:space="0"/>
            </w:tcBorders>
            <w:vAlign w:val="center"/>
          </w:tcPr>
          <w:p w14:paraId="4AB0E943">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20</w:t>
            </w:r>
          </w:p>
        </w:tc>
        <w:tc>
          <w:tcPr>
            <w:tcW w:w="1117" w:type="pct"/>
            <w:tcBorders>
              <w:top w:val="single" w:color="auto" w:sz="4" w:space="0"/>
              <w:left w:val="single" w:color="auto" w:sz="4" w:space="0"/>
              <w:bottom w:val="single" w:color="auto" w:sz="4" w:space="0"/>
              <w:right w:val="single" w:color="auto" w:sz="4" w:space="0"/>
            </w:tcBorders>
            <w:shd w:val="clear" w:color="auto" w:fill="FFFFFF"/>
            <w:vAlign w:val="center"/>
          </w:tcPr>
          <w:p w14:paraId="7FF1879A">
            <w:pPr>
              <w:pStyle w:val="60"/>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Ca</w:t>
            </w:r>
            <w:r>
              <w:rPr>
                <w:color w:val="0D0D0D" w:themeColor="text1" w:themeTint="F2"/>
                <w:sz w:val="21"/>
                <w:szCs w:val="21"/>
                <w:vertAlign w:val="superscript"/>
                <w14:textFill>
                  <w14:solidFill>
                    <w14:schemeClr w14:val="tx1">
                      <w14:lumMod w14:val="95000"/>
                      <w14:lumOff w14:val="5000"/>
                    </w14:schemeClr>
                  </w14:solidFill>
                </w14:textFill>
              </w:rPr>
              <w:t>2+</w:t>
            </w:r>
          </w:p>
        </w:tc>
        <w:tc>
          <w:tcPr>
            <w:tcW w:w="2894" w:type="pct"/>
            <w:tcBorders>
              <w:top w:val="single" w:color="auto" w:sz="4" w:space="0"/>
              <w:left w:val="single" w:color="auto" w:sz="4" w:space="0"/>
              <w:bottom w:val="single" w:color="auto" w:sz="4" w:space="0"/>
              <w:right w:val="single" w:color="auto" w:sz="4" w:space="0"/>
            </w:tcBorders>
            <w:shd w:val="clear" w:color="auto" w:fill="FFFFFF"/>
            <w:vAlign w:val="center"/>
          </w:tcPr>
          <w:p w14:paraId="6FEC1E19">
            <w:pPr>
              <w:spacing w:line="240" w:lineRule="auto"/>
              <w:rPr>
                <w:rFonts w:cs="Times New Roman"/>
                <w:color w:val="0D0D0D" w:themeColor="text1" w:themeTint="F2"/>
                <w:sz w:val="21"/>
                <w:szCs w:val="21"/>
                <w:shd w:val="clear" w:color="auto" w:fill="FFFFFF"/>
                <w14:textFill>
                  <w14:solidFill>
                    <w14:schemeClr w14:val="tx1">
                      <w14:lumMod w14:val="95000"/>
                      <w14:lumOff w14:val="5000"/>
                    </w14:schemeClr>
                  </w14:solidFill>
                </w14:textFill>
              </w:rPr>
            </w:pPr>
            <w:r>
              <w:rPr>
                <w:color w:val="0D0D0D" w:themeColor="text1" w:themeTint="F2"/>
                <w:kern w:val="0"/>
                <w:sz w:val="21"/>
                <w:szCs w:val="21"/>
                <w14:textFill>
                  <w14:solidFill>
                    <w14:schemeClr w14:val="tx1">
                      <w14:lumMod w14:val="95000"/>
                      <w14:lumOff w14:val="5000"/>
                    </w14:schemeClr>
                  </w14:solidFill>
                </w14:textFill>
              </w:rPr>
              <w:t>水质 可溶性阳离子（Li</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、Na</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、NH</w:t>
            </w:r>
            <w:r>
              <w:rPr>
                <w:color w:val="0D0D0D" w:themeColor="text1" w:themeTint="F2"/>
                <w:kern w:val="0"/>
                <w:sz w:val="21"/>
                <w:szCs w:val="21"/>
                <w:vertAlign w:val="subscript"/>
                <w14:textFill>
                  <w14:solidFill>
                    <w14:schemeClr w14:val="tx1">
                      <w14:lumMod w14:val="95000"/>
                      <w14:lumOff w14:val="5000"/>
                    </w14:schemeClr>
                  </w14:solidFill>
                </w14:textFill>
              </w:rPr>
              <w:t>4</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、K</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、Ca</w:t>
            </w:r>
            <w:r>
              <w:rPr>
                <w:color w:val="0D0D0D" w:themeColor="text1" w:themeTint="F2"/>
                <w:kern w:val="0"/>
                <w:sz w:val="21"/>
                <w:szCs w:val="21"/>
                <w:vertAlign w:val="superscript"/>
                <w14:textFill>
                  <w14:solidFill>
                    <w14:schemeClr w14:val="tx1">
                      <w14:lumMod w14:val="95000"/>
                      <w14:lumOff w14:val="5000"/>
                    </w14:schemeClr>
                  </w14:solidFill>
                </w14:textFill>
              </w:rPr>
              <w:t>2+</w:t>
            </w:r>
            <w:r>
              <w:rPr>
                <w:color w:val="0D0D0D" w:themeColor="text1" w:themeTint="F2"/>
                <w:kern w:val="0"/>
                <w:sz w:val="21"/>
                <w:szCs w:val="21"/>
                <w14:textFill>
                  <w14:solidFill>
                    <w14:schemeClr w14:val="tx1">
                      <w14:lumMod w14:val="95000"/>
                      <w14:lumOff w14:val="5000"/>
                    </w14:schemeClr>
                  </w14:solidFill>
                </w14:textFill>
              </w:rPr>
              <w:t>、Mg</w:t>
            </w:r>
            <w:r>
              <w:rPr>
                <w:color w:val="0D0D0D" w:themeColor="text1" w:themeTint="F2"/>
                <w:kern w:val="0"/>
                <w:sz w:val="21"/>
                <w:szCs w:val="21"/>
                <w:vertAlign w:val="superscript"/>
                <w14:textFill>
                  <w14:solidFill>
                    <w14:schemeClr w14:val="tx1">
                      <w14:lumMod w14:val="95000"/>
                      <w14:lumOff w14:val="5000"/>
                    </w14:schemeClr>
                  </w14:solidFill>
                </w14:textFill>
              </w:rPr>
              <w:t>2+</w:t>
            </w:r>
            <w:r>
              <w:rPr>
                <w:color w:val="0D0D0D" w:themeColor="text1" w:themeTint="F2"/>
                <w:kern w:val="0"/>
                <w:sz w:val="21"/>
                <w:szCs w:val="21"/>
                <w14:textFill>
                  <w14:solidFill>
                    <w14:schemeClr w14:val="tx1">
                      <w14:lumMod w14:val="95000"/>
                      <w14:lumOff w14:val="5000"/>
                    </w14:schemeClr>
                  </w14:solidFill>
                </w14:textFill>
              </w:rPr>
              <w:t>）的测定 离子色谱法（HJ812-2016）</w:t>
            </w:r>
          </w:p>
        </w:tc>
        <w:tc>
          <w:tcPr>
            <w:tcW w:w="693" w:type="pct"/>
            <w:tcBorders>
              <w:top w:val="single" w:color="auto" w:sz="4" w:space="0"/>
              <w:left w:val="single" w:color="auto" w:sz="4" w:space="0"/>
              <w:bottom w:val="single" w:color="auto" w:sz="4" w:space="0"/>
              <w:right w:val="single" w:color="auto" w:sz="4" w:space="0"/>
            </w:tcBorders>
            <w:shd w:val="clear" w:color="auto" w:fill="FFFFFF"/>
            <w:vAlign w:val="center"/>
          </w:tcPr>
          <w:p w14:paraId="504B885D">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0.0</w:t>
            </w:r>
            <w:r>
              <w:rPr>
                <w:rFonts w:hint="eastAsia" w:cs="Times New Roman"/>
                <w:color w:val="0D0D0D" w:themeColor="text1" w:themeTint="F2"/>
                <w:sz w:val="21"/>
                <w:szCs w:val="21"/>
                <w14:textFill>
                  <w14:solidFill>
                    <w14:schemeClr w14:val="tx1">
                      <w14:lumMod w14:val="95000"/>
                      <w14:lumOff w14:val="5000"/>
                    </w14:schemeClr>
                  </w14:solidFill>
                </w14:textFill>
              </w:rPr>
              <w:t>3</w:t>
            </w:r>
            <w:r>
              <w:rPr>
                <w:rFonts w:cs="Times New Roman"/>
                <w:color w:val="0D0D0D" w:themeColor="text1" w:themeTint="F2"/>
                <w:sz w:val="21"/>
                <w:szCs w:val="21"/>
                <w14:textFill>
                  <w14:solidFill>
                    <w14:schemeClr w14:val="tx1">
                      <w14:lumMod w14:val="95000"/>
                      <w14:lumOff w14:val="5000"/>
                    </w14:schemeClr>
                  </w14:solidFill>
                </w14:textFill>
              </w:rPr>
              <w:t>mg/L</w:t>
            </w:r>
          </w:p>
        </w:tc>
      </w:tr>
      <w:tr w14:paraId="0FF21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6" w:type="pct"/>
            <w:tcBorders>
              <w:top w:val="single" w:color="auto" w:sz="4" w:space="0"/>
              <w:left w:val="single" w:color="auto" w:sz="4" w:space="0"/>
              <w:bottom w:val="single" w:color="auto" w:sz="4" w:space="0"/>
              <w:right w:val="single" w:color="auto" w:sz="4" w:space="0"/>
            </w:tcBorders>
            <w:vAlign w:val="center"/>
          </w:tcPr>
          <w:p w14:paraId="090BBDD5">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21</w:t>
            </w:r>
          </w:p>
        </w:tc>
        <w:tc>
          <w:tcPr>
            <w:tcW w:w="1117" w:type="pct"/>
            <w:tcBorders>
              <w:top w:val="single" w:color="auto" w:sz="4" w:space="0"/>
              <w:left w:val="single" w:color="auto" w:sz="4" w:space="0"/>
              <w:bottom w:val="single" w:color="auto" w:sz="4" w:space="0"/>
              <w:right w:val="single" w:color="auto" w:sz="4" w:space="0"/>
            </w:tcBorders>
            <w:shd w:val="clear" w:color="auto" w:fill="FFFFFF"/>
            <w:vAlign w:val="center"/>
          </w:tcPr>
          <w:p w14:paraId="227E417D">
            <w:pPr>
              <w:pStyle w:val="60"/>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Mg</w:t>
            </w:r>
            <w:r>
              <w:rPr>
                <w:color w:val="0D0D0D" w:themeColor="text1" w:themeTint="F2"/>
                <w:sz w:val="21"/>
                <w:szCs w:val="21"/>
                <w:vertAlign w:val="superscript"/>
                <w14:textFill>
                  <w14:solidFill>
                    <w14:schemeClr w14:val="tx1">
                      <w14:lumMod w14:val="95000"/>
                      <w14:lumOff w14:val="5000"/>
                    </w14:schemeClr>
                  </w14:solidFill>
                </w14:textFill>
              </w:rPr>
              <w:t>2+</w:t>
            </w:r>
          </w:p>
        </w:tc>
        <w:tc>
          <w:tcPr>
            <w:tcW w:w="2894" w:type="pct"/>
            <w:tcBorders>
              <w:top w:val="single" w:color="auto" w:sz="4" w:space="0"/>
              <w:left w:val="single" w:color="auto" w:sz="4" w:space="0"/>
              <w:bottom w:val="single" w:color="auto" w:sz="4" w:space="0"/>
              <w:right w:val="single" w:color="auto" w:sz="4" w:space="0"/>
            </w:tcBorders>
            <w:shd w:val="clear" w:color="auto" w:fill="FFFFFF"/>
            <w:vAlign w:val="center"/>
          </w:tcPr>
          <w:p w14:paraId="60A31939">
            <w:pPr>
              <w:spacing w:line="240" w:lineRule="auto"/>
              <w:rPr>
                <w:rFonts w:cs="Times New Roman"/>
                <w:color w:val="0D0D0D" w:themeColor="text1" w:themeTint="F2"/>
                <w:sz w:val="21"/>
                <w:szCs w:val="21"/>
                <w:shd w:val="clear" w:color="auto" w:fill="FFFFFF"/>
                <w14:textFill>
                  <w14:solidFill>
                    <w14:schemeClr w14:val="tx1">
                      <w14:lumMod w14:val="95000"/>
                      <w14:lumOff w14:val="5000"/>
                    </w14:schemeClr>
                  </w14:solidFill>
                </w14:textFill>
              </w:rPr>
            </w:pPr>
            <w:r>
              <w:rPr>
                <w:color w:val="0D0D0D" w:themeColor="text1" w:themeTint="F2"/>
                <w:kern w:val="0"/>
                <w:sz w:val="21"/>
                <w:szCs w:val="21"/>
                <w14:textFill>
                  <w14:solidFill>
                    <w14:schemeClr w14:val="tx1">
                      <w14:lumMod w14:val="95000"/>
                      <w14:lumOff w14:val="5000"/>
                    </w14:schemeClr>
                  </w14:solidFill>
                </w14:textFill>
              </w:rPr>
              <w:t>水质 可溶性阳离子（Li</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、Na</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、NH</w:t>
            </w:r>
            <w:r>
              <w:rPr>
                <w:color w:val="0D0D0D" w:themeColor="text1" w:themeTint="F2"/>
                <w:kern w:val="0"/>
                <w:sz w:val="21"/>
                <w:szCs w:val="21"/>
                <w:vertAlign w:val="subscript"/>
                <w14:textFill>
                  <w14:solidFill>
                    <w14:schemeClr w14:val="tx1">
                      <w14:lumMod w14:val="95000"/>
                      <w14:lumOff w14:val="5000"/>
                    </w14:schemeClr>
                  </w14:solidFill>
                </w14:textFill>
              </w:rPr>
              <w:t>4</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、K</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、Ca</w:t>
            </w:r>
            <w:r>
              <w:rPr>
                <w:color w:val="0D0D0D" w:themeColor="text1" w:themeTint="F2"/>
                <w:kern w:val="0"/>
                <w:sz w:val="21"/>
                <w:szCs w:val="21"/>
                <w:vertAlign w:val="superscript"/>
                <w14:textFill>
                  <w14:solidFill>
                    <w14:schemeClr w14:val="tx1">
                      <w14:lumMod w14:val="95000"/>
                      <w14:lumOff w14:val="5000"/>
                    </w14:schemeClr>
                  </w14:solidFill>
                </w14:textFill>
              </w:rPr>
              <w:t>2+</w:t>
            </w:r>
            <w:r>
              <w:rPr>
                <w:color w:val="0D0D0D" w:themeColor="text1" w:themeTint="F2"/>
                <w:kern w:val="0"/>
                <w:sz w:val="21"/>
                <w:szCs w:val="21"/>
                <w14:textFill>
                  <w14:solidFill>
                    <w14:schemeClr w14:val="tx1">
                      <w14:lumMod w14:val="95000"/>
                      <w14:lumOff w14:val="5000"/>
                    </w14:schemeClr>
                  </w14:solidFill>
                </w14:textFill>
              </w:rPr>
              <w:t>、Mg</w:t>
            </w:r>
            <w:r>
              <w:rPr>
                <w:color w:val="0D0D0D" w:themeColor="text1" w:themeTint="F2"/>
                <w:kern w:val="0"/>
                <w:sz w:val="21"/>
                <w:szCs w:val="21"/>
                <w:vertAlign w:val="superscript"/>
                <w14:textFill>
                  <w14:solidFill>
                    <w14:schemeClr w14:val="tx1">
                      <w14:lumMod w14:val="95000"/>
                      <w14:lumOff w14:val="5000"/>
                    </w14:schemeClr>
                  </w14:solidFill>
                </w14:textFill>
              </w:rPr>
              <w:t>2+</w:t>
            </w:r>
            <w:r>
              <w:rPr>
                <w:color w:val="0D0D0D" w:themeColor="text1" w:themeTint="F2"/>
                <w:kern w:val="0"/>
                <w:sz w:val="21"/>
                <w:szCs w:val="21"/>
                <w14:textFill>
                  <w14:solidFill>
                    <w14:schemeClr w14:val="tx1">
                      <w14:lumMod w14:val="95000"/>
                      <w14:lumOff w14:val="5000"/>
                    </w14:schemeClr>
                  </w14:solidFill>
                </w14:textFill>
              </w:rPr>
              <w:t>）的测定 离子色谱法（HJ812-2016）</w:t>
            </w:r>
          </w:p>
        </w:tc>
        <w:tc>
          <w:tcPr>
            <w:tcW w:w="693" w:type="pct"/>
            <w:tcBorders>
              <w:top w:val="single" w:color="auto" w:sz="4" w:space="0"/>
              <w:left w:val="single" w:color="auto" w:sz="4" w:space="0"/>
              <w:bottom w:val="single" w:color="auto" w:sz="4" w:space="0"/>
              <w:right w:val="single" w:color="auto" w:sz="4" w:space="0"/>
            </w:tcBorders>
            <w:shd w:val="clear" w:color="auto" w:fill="FFFFFF"/>
            <w:vAlign w:val="center"/>
          </w:tcPr>
          <w:p w14:paraId="6C0B7E1D">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0.02mg/L</w:t>
            </w:r>
          </w:p>
        </w:tc>
      </w:tr>
      <w:tr w14:paraId="459ED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6" w:type="pct"/>
            <w:tcBorders>
              <w:top w:val="single" w:color="auto" w:sz="4" w:space="0"/>
              <w:left w:val="single" w:color="auto" w:sz="4" w:space="0"/>
              <w:bottom w:val="single" w:color="auto" w:sz="4" w:space="0"/>
              <w:right w:val="single" w:color="auto" w:sz="4" w:space="0"/>
            </w:tcBorders>
            <w:vAlign w:val="center"/>
          </w:tcPr>
          <w:p w14:paraId="6471E684">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22</w:t>
            </w:r>
          </w:p>
        </w:tc>
        <w:tc>
          <w:tcPr>
            <w:tcW w:w="1117" w:type="pct"/>
            <w:tcBorders>
              <w:top w:val="single" w:color="auto" w:sz="4" w:space="0"/>
              <w:left w:val="single" w:color="auto" w:sz="4" w:space="0"/>
              <w:bottom w:val="single" w:color="auto" w:sz="4" w:space="0"/>
              <w:right w:val="single" w:color="auto" w:sz="4" w:space="0"/>
            </w:tcBorders>
            <w:shd w:val="clear" w:color="auto" w:fill="FFFFFF"/>
            <w:vAlign w:val="center"/>
          </w:tcPr>
          <w:p w14:paraId="00A54108">
            <w:pPr>
              <w:pStyle w:val="60"/>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CO</w:t>
            </w:r>
            <w:r>
              <w:rPr>
                <w:color w:val="0D0D0D" w:themeColor="text1" w:themeTint="F2"/>
                <w:sz w:val="21"/>
                <w:szCs w:val="21"/>
                <w:vertAlign w:val="subscript"/>
                <w14:textFill>
                  <w14:solidFill>
                    <w14:schemeClr w14:val="tx1">
                      <w14:lumMod w14:val="95000"/>
                      <w14:lumOff w14:val="5000"/>
                    </w14:schemeClr>
                  </w14:solidFill>
                </w14:textFill>
              </w:rPr>
              <w:t>3</w:t>
            </w:r>
            <w:r>
              <w:rPr>
                <w:color w:val="0D0D0D" w:themeColor="text1" w:themeTint="F2"/>
                <w:sz w:val="21"/>
                <w:szCs w:val="21"/>
                <w:vertAlign w:val="superscript"/>
                <w14:textFill>
                  <w14:solidFill>
                    <w14:schemeClr w14:val="tx1">
                      <w14:lumMod w14:val="95000"/>
                      <w14:lumOff w14:val="5000"/>
                    </w14:schemeClr>
                  </w14:solidFill>
                </w14:textFill>
              </w:rPr>
              <w:t>2-</w:t>
            </w:r>
          </w:p>
        </w:tc>
        <w:tc>
          <w:tcPr>
            <w:tcW w:w="2894" w:type="pct"/>
            <w:tcBorders>
              <w:top w:val="single" w:color="auto" w:sz="4" w:space="0"/>
              <w:left w:val="single" w:color="auto" w:sz="4" w:space="0"/>
              <w:bottom w:val="single" w:color="auto" w:sz="4" w:space="0"/>
              <w:right w:val="single" w:color="auto" w:sz="4" w:space="0"/>
            </w:tcBorders>
            <w:shd w:val="clear" w:color="auto" w:fill="FFFFFF"/>
            <w:vAlign w:val="center"/>
          </w:tcPr>
          <w:p w14:paraId="5EBC72AC">
            <w:pPr>
              <w:spacing w:line="240" w:lineRule="auto"/>
              <w:rPr>
                <w:rFonts w:cs="Times New Roman"/>
                <w:color w:val="0D0D0D" w:themeColor="text1" w:themeTint="F2"/>
                <w:sz w:val="21"/>
                <w:szCs w:val="21"/>
                <w:shd w:val="clear" w:color="auto" w:fill="FFFFFF"/>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碱度</w:t>
            </w:r>
            <w:r>
              <w:rPr>
                <w:rFonts w:hint="eastAsia"/>
                <w:color w:val="0D0D0D" w:themeColor="text1" w:themeTint="F2"/>
                <w:sz w:val="21"/>
                <w:szCs w:val="21"/>
                <w14:textFill>
                  <w14:solidFill>
                    <w14:schemeClr w14:val="tx1">
                      <w14:lumMod w14:val="95000"/>
                      <w14:lumOff w14:val="5000"/>
                    </w14:schemeClr>
                  </w14:solidFill>
                </w14:textFill>
              </w:rPr>
              <w:t xml:space="preserve"> </w:t>
            </w:r>
            <w:r>
              <w:rPr>
                <w:color w:val="0D0D0D" w:themeColor="text1" w:themeTint="F2"/>
                <w:sz w:val="21"/>
                <w:szCs w:val="21"/>
                <w14:textFill>
                  <w14:solidFill>
                    <w14:schemeClr w14:val="tx1">
                      <w14:lumMod w14:val="95000"/>
                      <w14:lumOff w14:val="5000"/>
                    </w14:schemeClr>
                  </w14:solidFill>
                </w14:textFill>
              </w:rPr>
              <w:t>酸碱指示剂滴定法《水和废水监测分析方法》（第四版增补版）国家环境保护总局 （2002年）</w:t>
            </w:r>
          </w:p>
        </w:tc>
        <w:tc>
          <w:tcPr>
            <w:tcW w:w="693" w:type="pct"/>
            <w:tcBorders>
              <w:top w:val="single" w:color="auto" w:sz="4" w:space="0"/>
              <w:left w:val="single" w:color="auto" w:sz="4" w:space="0"/>
              <w:bottom w:val="single" w:color="auto" w:sz="4" w:space="0"/>
              <w:right w:val="single" w:color="auto" w:sz="4" w:space="0"/>
            </w:tcBorders>
            <w:shd w:val="clear" w:color="auto" w:fill="FFFFFF"/>
            <w:vAlign w:val="center"/>
          </w:tcPr>
          <w:p w14:paraId="7E88151C">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w:t>
            </w:r>
          </w:p>
        </w:tc>
      </w:tr>
      <w:tr w14:paraId="4E987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6" w:type="pct"/>
            <w:tcBorders>
              <w:top w:val="single" w:color="auto" w:sz="4" w:space="0"/>
              <w:left w:val="single" w:color="auto" w:sz="4" w:space="0"/>
              <w:bottom w:val="single" w:color="auto" w:sz="4" w:space="0"/>
              <w:right w:val="single" w:color="auto" w:sz="4" w:space="0"/>
            </w:tcBorders>
            <w:vAlign w:val="center"/>
          </w:tcPr>
          <w:p w14:paraId="27AEFB52">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23</w:t>
            </w:r>
          </w:p>
        </w:tc>
        <w:tc>
          <w:tcPr>
            <w:tcW w:w="1117" w:type="pct"/>
            <w:tcBorders>
              <w:top w:val="single" w:color="auto" w:sz="4" w:space="0"/>
              <w:left w:val="single" w:color="auto" w:sz="4" w:space="0"/>
              <w:bottom w:val="single" w:color="auto" w:sz="4" w:space="0"/>
              <w:right w:val="single" w:color="auto" w:sz="4" w:space="0"/>
            </w:tcBorders>
            <w:shd w:val="clear" w:color="auto" w:fill="FFFFFF"/>
            <w:vAlign w:val="center"/>
          </w:tcPr>
          <w:p w14:paraId="7EEC2E0F">
            <w:pPr>
              <w:pStyle w:val="60"/>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HCO</w:t>
            </w:r>
            <w:r>
              <w:rPr>
                <w:color w:val="0D0D0D" w:themeColor="text1" w:themeTint="F2"/>
                <w:sz w:val="21"/>
                <w:szCs w:val="21"/>
                <w:vertAlign w:val="subscript"/>
                <w14:textFill>
                  <w14:solidFill>
                    <w14:schemeClr w14:val="tx1">
                      <w14:lumMod w14:val="95000"/>
                      <w14:lumOff w14:val="5000"/>
                    </w14:schemeClr>
                  </w14:solidFill>
                </w14:textFill>
              </w:rPr>
              <w:t>3</w:t>
            </w:r>
            <w:r>
              <w:rPr>
                <w:color w:val="0D0D0D" w:themeColor="text1" w:themeTint="F2"/>
                <w:sz w:val="21"/>
                <w:szCs w:val="21"/>
                <w:vertAlign w:val="superscript"/>
                <w14:textFill>
                  <w14:solidFill>
                    <w14:schemeClr w14:val="tx1">
                      <w14:lumMod w14:val="95000"/>
                      <w14:lumOff w14:val="5000"/>
                    </w14:schemeClr>
                  </w14:solidFill>
                </w14:textFill>
              </w:rPr>
              <w:t>-</w:t>
            </w:r>
          </w:p>
        </w:tc>
        <w:tc>
          <w:tcPr>
            <w:tcW w:w="2894" w:type="pct"/>
            <w:tcBorders>
              <w:top w:val="single" w:color="auto" w:sz="4" w:space="0"/>
              <w:left w:val="single" w:color="auto" w:sz="4" w:space="0"/>
              <w:bottom w:val="single" w:color="auto" w:sz="4" w:space="0"/>
              <w:right w:val="single" w:color="auto" w:sz="4" w:space="0"/>
            </w:tcBorders>
            <w:shd w:val="clear" w:color="auto" w:fill="FFFFFF"/>
            <w:vAlign w:val="center"/>
          </w:tcPr>
          <w:p w14:paraId="45AFFB45">
            <w:pPr>
              <w:spacing w:line="240" w:lineRule="auto"/>
              <w:rPr>
                <w:rFonts w:cs="Times New Roman"/>
                <w:color w:val="0D0D0D" w:themeColor="text1" w:themeTint="F2"/>
                <w:sz w:val="21"/>
                <w:szCs w:val="21"/>
                <w:shd w:val="clear" w:color="auto" w:fill="FFFFFF"/>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碱度</w:t>
            </w:r>
            <w:r>
              <w:rPr>
                <w:rFonts w:hint="eastAsia"/>
                <w:color w:val="0D0D0D" w:themeColor="text1" w:themeTint="F2"/>
                <w:sz w:val="21"/>
                <w:szCs w:val="21"/>
                <w14:textFill>
                  <w14:solidFill>
                    <w14:schemeClr w14:val="tx1">
                      <w14:lumMod w14:val="95000"/>
                      <w14:lumOff w14:val="5000"/>
                    </w14:schemeClr>
                  </w14:solidFill>
                </w14:textFill>
              </w:rPr>
              <w:t xml:space="preserve"> </w:t>
            </w:r>
            <w:r>
              <w:rPr>
                <w:color w:val="0D0D0D" w:themeColor="text1" w:themeTint="F2"/>
                <w:sz w:val="21"/>
                <w:szCs w:val="21"/>
                <w14:textFill>
                  <w14:solidFill>
                    <w14:schemeClr w14:val="tx1">
                      <w14:lumMod w14:val="95000"/>
                      <w14:lumOff w14:val="5000"/>
                    </w14:schemeClr>
                  </w14:solidFill>
                </w14:textFill>
              </w:rPr>
              <w:t>酸碱指示剂滴定法《水和废水监测分析方法》（第四版增补版）国家环境保护总局 （2002年）</w:t>
            </w:r>
          </w:p>
        </w:tc>
        <w:tc>
          <w:tcPr>
            <w:tcW w:w="693" w:type="pct"/>
            <w:tcBorders>
              <w:top w:val="single" w:color="auto" w:sz="4" w:space="0"/>
              <w:left w:val="single" w:color="auto" w:sz="4" w:space="0"/>
              <w:bottom w:val="single" w:color="auto" w:sz="4" w:space="0"/>
              <w:right w:val="single" w:color="auto" w:sz="4" w:space="0"/>
            </w:tcBorders>
            <w:shd w:val="clear" w:color="auto" w:fill="FFFFFF"/>
            <w:vAlign w:val="center"/>
          </w:tcPr>
          <w:p w14:paraId="0B476FCB">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w:t>
            </w:r>
          </w:p>
        </w:tc>
      </w:tr>
      <w:tr w14:paraId="1F0D0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6" w:type="pct"/>
            <w:tcBorders>
              <w:top w:val="single" w:color="auto" w:sz="4" w:space="0"/>
              <w:left w:val="single" w:color="auto" w:sz="4" w:space="0"/>
              <w:bottom w:val="single" w:color="auto" w:sz="4" w:space="0"/>
              <w:right w:val="single" w:color="auto" w:sz="4" w:space="0"/>
            </w:tcBorders>
            <w:vAlign w:val="center"/>
          </w:tcPr>
          <w:p w14:paraId="578EC15D">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24</w:t>
            </w:r>
          </w:p>
        </w:tc>
        <w:tc>
          <w:tcPr>
            <w:tcW w:w="1117" w:type="pct"/>
            <w:tcBorders>
              <w:top w:val="single" w:color="auto" w:sz="4" w:space="0"/>
              <w:left w:val="single" w:color="auto" w:sz="4" w:space="0"/>
              <w:bottom w:val="single" w:color="auto" w:sz="4" w:space="0"/>
              <w:right w:val="single" w:color="auto" w:sz="4" w:space="0"/>
            </w:tcBorders>
            <w:shd w:val="clear" w:color="auto" w:fill="FFFFFF"/>
            <w:vAlign w:val="center"/>
          </w:tcPr>
          <w:p w14:paraId="1A9CE44E">
            <w:pPr>
              <w:pStyle w:val="6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Cl</w:t>
            </w:r>
            <w:r>
              <w:rPr>
                <w:rFonts w:hint="eastAsia"/>
                <w:color w:val="0D0D0D" w:themeColor="text1" w:themeTint="F2"/>
                <w:sz w:val="21"/>
                <w:szCs w:val="21"/>
                <w:vertAlign w:val="superscript"/>
                <w14:textFill>
                  <w14:solidFill>
                    <w14:schemeClr w14:val="tx1">
                      <w14:lumMod w14:val="95000"/>
                      <w14:lumOff w14:val="5000"/>
                    </w14:schemeClr>
                  </w14:solidFill>
                </w14:textFill>
              </w:rPr>
              <w:t>-</w:t>
            </w:r>
          </w:p>
        </w:tc>
        <w:tc>
          <w:tcPr>
            <w:tcW w:w="2894" w:type="pct"/>
            <w:tcBorders>
              <w:top w:val="single" w:color="auto" w:sz="4" w:space="0"/>
              <w:left w:val="single" w:color="auto" w:sz="4" w:space="0"/>
              <w:bottom w:val="single" w:color="auto" w:sz="4" w:space="0"/>
              <w:right w:val="single" w:color="auto" w:sz="4" w:space="0"/>
            </w:tcBorders>
            <w:shd w:val="clear" w:color="auto" w:fill="FFFFFF"/>
            <w:vAlign w:val="center"/>
          </w:tcPr>
          <w:p w14:paraId="0FEF3DCF">
            <w:pPr>
              <w:spacing w:line="240" w:lineRule="auto"/>
              <w:rPr>
                <w:rFonts w:cs="Times New Roman"/>
                <w:color w:val="0D0D0D" w:themeColor="text1" w:themeTint="F2"/>
                <w:sz w:val="21"/>
                <w:szCs w:val="21"/>
                <w:shd w:val="clear" w:color="auto" w:fill="FFFFFF"/>
                <w14:textFill>
                  <w14:solidFill>
                    <w14:schemeClr w14:val="tx1">
                      <w14:lumMod w14:val="95000"/>
                      <w14:lumOff w14:val="5000"/>
                    </w14:schemeClr>
                  </w14:solidFill>
                </w14:textFill>
              </w:rPr>
            </w:pPr>
            <w:r>
              <w:rPr>
                <w:color w:val="0D0D0D" w:themeColor="text1" w:themeTint="F2"/>
                <w:kern w:val="0"/>
                <w:sz w:val="21"/>
                <w:szCs w:val="21"/>
                <w14:textFill>
                  <w14:solidFill>
                    <w14:schemeClr w14:val="tx1">
                      <w14:lumMod w14:val="95000"/>
                      <w14:lumOff w14:val="5000"/>
                    </w14:schemeClr>
                  </w14:solidFill>
                </w14:textFill>
              </w:rPr>
              <w:t>水质 无机阴离子（F</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、Cl</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、NO</w:t>
            </w:r>
            <w:r>
              <w:rPr>
                <w:color w:val="0D0D0D" w:themeColor="text1" w:themeTint="F2"/>
                <w:kern w:val="0"/>
                <w:sz w:val="21"/>
                <w:szCs w:val="21"/>
                <w:vertAlign w:val="subscript"/>
                <w14:textFill>
                  <w14:solidFill>
                    <w14:schemeClr w14:val="tx1">
                      <w14:lumMod w14:val="95000"/>
                      <w14:lumOff w14:val="5000"/>
                    </w14:schemeClr>
                  </w14:solidFill>
                </w14:textFill>
              </w:rPr>
              <w:t>2</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、Br</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、NO</w:t>
            </w:r>
            <w:r>
              <w:rPr>
                <w:color w:val="0D0D0D" w:themeColor="text1" w:themeTint="F2"/>
                <w:kern w:val="0"/>
                <w:sz w:val="21"/>
                <w:szCs w:val="21"/>
                <w:vertAlign w:val="subscript"/>
                <w14:textFill>
                  <w14:solidFill>
                    <w14:schemeClr w14:val="tx1">
                      <w14:lumMod w14:val="95000"/>
                      <w14:lumOff w14:val="5000"/>
                    </w14:schemeClr>
                  </w14:solidFill>
                </w14:textFill>
              </w:rPr>
              <w:t>3</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、PO</w:t>
            </w:r>
            <w:r>
              <w:rPr>
                <w:color w:val="0D0D0D" w:themeColor="text1" w:themeTint="F2"/>
                <w:kern w:val="0"/>
                <w:sz w:val="21"/>
                <w:szCs w:val="21"/>
                <w:vertAlign w:val="subscript"/>
                <w14:textFill>
                  <w14:solidFill>
                    <w14:schemeClr w14:val="tx1">
                      <w14:lumMod w14:val="95000"/>
                      <w14:lumOff w14:val="5000"/>
                    </w14:schemeClr>
                  </w14:solidFill>
                </w14:textFill>
              </w:rPr>
              <w:t>4</w:t>
            </w:r>
            <w:r>
              <w:rPr>
                <w:color w:val="0D0D0D" w:themeColor="text1" w:themeTint="F2"/>
                <w:kern w:val="0"/>
                <w:sz w:val="21"/>
                <w:szCs w:val="21"/>
                <w:vertAlign w:val="superscript"/>
                <w14:textFill>
                  <w14:solidFill>
                    <w14:schemeClr w14:val="tx1">
                      <w14:lumMod w14:val="95000"/>
                      <w14:lumOff w14:val="5000"/>
                    </w14:schemeClr>
                  </w14:solidFill>
                </w14:textFill>
              </w:rPr>
              <w:t>3-</w:t>
            </w:r>
            <w:r>
              <w:rPr>
                <w:color w:val="0D0D0D" w:themeColor="text1" w:themeTint="F2"/>
                <w:kern w:val="0"/>
                <w:sz w:val="21"/>
                <w:szCs w:val="21"/>
                <w14:textFill>
                  <w14:solidFill>
                    <w14:schemeClr w14:val="tx1">
                      <w14:lumMod w14:val="95000"/>
                      <w14:lumOff w14:val="5000"/>
                    </w14:schemeClr>
                  </w14:solidFill>
                </w14:textFill>
              </w:rPr>
              <w:t>、SO</w:t>
            </w:r>
            <w:r>
              <w:rPr>
                <w:color w:val="0D0D0D" w:themeColor="text1" w:themeTint="F2"/>
                <w:kern w:val="0"/>
                <w:sz w:val="21"/>
                <w:szCs w:val="21"/>
                <w:vertAlign w:val="subscript"/>
                <w14:textFill>
                  <w14:solidFill>
                    <w14:schemeClr w14:val="tx1">
                      <w14:lumMod w14:val="95000"/>
                      <w14:lumOff w14:val="5000"/>
                    </w14:schemeClr>
                  </w14:solidFill>
                </w14:textFill>
              </w:rPr>
              <w:t>3</w:t>
            </w:r>
            <w:r>
              <w:rPr>
                <w:color w:val="0D0D0D" w:themeColor="text1" w:themeTint="F2"/>
                <w:kern w:val="0"/>
                <w:sz w:val="21"/>
                <w:szCs w:val="21"/>
                <w:vertAlign w:val="superscript"/>
                <w14:textFill>
                  <w14:solidFill>
                    <w14:schemeClr w14:val="tx1">
                      <w14:lumMod w14:val="95000"/>
                      <w14:lumOff w14:val="5000"/>
                    </w14:schemeClr>
                  </w14:solidFill>
                </w14:textFill>
              </w:rPr>
              <w:t>2-</w:t>
            </w:r>
            <w:r>
              <w:rPr>
                <w:color w:val="0D0D0D" w:themeColor="text1" w:themeTint="F2"/>
                <w:kern w:val="0"/>
                <w:sz w:val="21"/>
                <w:szCs w:val="21"/>
                <w14:textFill>
                  <w14:solidFill>
                    <w14:schemeClr w14:val="tx1">
                      <w14:lumMod w14:val="95000"/>
                      <w14:lumOff w14:val="5000"/>
                    </w14:schemeClr>
                  </w14:solidFill>
                </w14:textFill>
              </w:rPr>
              <w:t>、SO</w:t>
            </w:r>
            <w:r>
              <w:rPr>
                <w:color w:val="0D0D0D" w:themeColor="text1" w:themeTint="F2"/>
                <w:kern w:val="0"/>
                <w:sz w:val="21"/>
                <w:szCs w:val="21"/>
                <w:vertAlign w:val="subscript"/>
                <w14:textFill>
                  <w14:solidFill>
                    <w14:schemeClr w14:val="tx1">
                      <w14:lumMod w14:val="95000"/>
                      <w14:lumOff w14:val="5000"/>
                    </w14:schemeClr>
                  </w14:solidFill>
                </w14:textFill>
              </w:rPr>
              <w:t>4</w:t>
            </w:r>
            <w:r>
              <w:rPr>
                <w:color w:val="0D0D0D" w:themeColor="text1" w:themeTint="F2"/>
                <w:kern w:val="0"/>
                <w:sz w:val="21"/>
                <w:szCs w:val="21"/>
                <w:vertAlign w:val="superscript"/>
                <w14:textFill>
                  <w14:solidFill>
                    <w14:schemeClr w14:val="tx1">
                      <w14:lumMod w14:val="95000"/>
                      <w14:lumOff w14:val="5000"/>
                    </w14:schemeClr>
                  </w14:solidFill>
                </w14:textFill>
              </w:rPr>
              <w:t>2-</w:t>
            </w:r>
            <w:r>
              <w:rPr>
                <w:color w:val="0D0D0D" w:themeColor="text1" w:themeTint="F2"/>
                <w:kern w:val="0"/>
                <w:sz w:val="21"/>
                <w:szCs w:val="21"/>
                <w14:textFill>
                  <w14:solidFill>
                    <w14:schemeClr w14:val="tx1">
                      <w14:lumMod w14:val="95000"/>
                      <w14:lumOff w14:val="5000"/>
                    </w14:schemeClr>
                  </w14:solidFill>
                </w14:textFill>
              </w:rPr>
              <w:t>）的测定 离子色谱法（HJ84-2016）</w:t>
            </w:r>
          </w:p>
        </w:tc>
        <w:tc>
          <w:tcPr>
            <w:tcW w:w="693" w:type="pct"/>
            <w:tcBorders>
              <w:top w:val="single" w:color="auto" w:sz="4" w:space="0"/>
              <w:left w:val="single" w:color="auto" w:sz="4" w:space="0"/>
              <w:bottom w:val="single" w:color="auto" w:sz="4" w:space="0"/>
              <w:right w:val="single" w:color="auto" w:sz="4" w:space="0"/>
            </w:tcBorders>
            <w:shd w:val="clear" w:color="auto" w:fill="FFFFFF"/>
            <w:vAlign w:val="center"/>
          </w:tcPr>
          <w:p w14:paraId="6822EDE3">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0.0</w:t>
            </w:r>
            <w:r>
              <w:rPr>
                <w:rFonts w:hint="eastAsia" w:cs="Times New Roman"/>
                <w:color w:val="0D0D0D" w:themeColor="text1" w:themeTint="F2"/>
                <w:sz w:val="21"/>
                <w:szCs w:val="21"/>
                <w14:textFill>
                  <w14:solidFill>
                    <w14:schemeClr w14:val="tx1">
                      <w14:lumMod w14:val="95000"/>
                      <w14:lumOff w14:val="5000"/>
                    </w14:schemeClr>
                  </w14:solidFill>
                </w14:textFill>
              </w:rPr>
              <w:t>07</w:t>
            </w:r>
            <w:r>
              <w:rPr>
                <w:rFonts w:cs="Times New Roman"/>
                <w:color w:val="0D0D0D" w:themeColor="text1" w:themeTint="F2"/>
                <w:sz w:val="21"/>
                <w:szCs w:val="21"/>
                <w14:textFill>
                  <w14:solidFill>
                    <w14:schemeClr w14:val="tx1">
                      <w14:lumMod w14:val="95000"/>
                      <w14:lumOff w14:val="5000"/>
                    </w14:schemeClr>
                  </w14:solidFill>
                </w14:textFill>
              </w:rPr>
              <w:t>mg/L</w:t>
            </w:r>
          </w:p>
        </w:tc>
      </w:tr>
      <w:tr w14:paraId="55084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6" w:type="pct"/>
            <w:tcBorders>
              <w:top w:val="single" w:color="auto" w:sz="4" w:space="0"/>
              <w:left w:val="single" w:color="auto" w:sz="4" w:space="0"/>
              <w:bottom w:val="single" w:color="auto" w:sz="4" w:space="0"/>
              <w:right w:val="single" w:color="auto" w:sz="4" w:space="0"/>
            </w:tcBorders>
            <w:vAlign w:val="center"/>
          </w:tcPr>
          <w:p w14:paraId="4BD94265">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25</w:t>
            </w:r>
          </w:p>
        </w:tc>
        <w:tc>
          <w:tcPr>
            <w:tcW w:w="1117" w:type="pct"/>
            <w:tcBorders>
              <w:top w:val="single" w:color="auto" w:sz="4" w:space="0"/>
              <w:left w:val="single" w:color="auto" w:sz="4" w:space="0"/>
              <w:bottom w:val="single" w:color="auto" w:sz="4" w:space="0"/>
              <w:right w:val="single" w:color="auto" w:sz="4" w:space="0"/>
            </w:tcBorders>
            <w:shd w:val="clear" w:color="auto" w:fill="FFFFFF"/>
            <w:vAlign w:val="center"/>
          </w:tcPr>
          <w:p w14:paraId="68D4F687">
            <w:pPr>
              <w:pStyle w:val="6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SO</w:t>
            </w:r>
            <w:r>
              <w:rPr>
                <w:rFonts w:hint="eastAsia"/>
                <w:color w:val="0D0D0D" w:themeColor="text1" w:themeTint="F2"/>
                <w:sz w:val="21"/>
                <w:szCs w:val="21"/>
                <w:vertAlign w:val="subscript"/>
                <w14:textFill>
                  <w14:solidFill>
                    <w14:schemeClr w14:val="tx1">
                      <w14:lumMod w14:val="95000"/>
                      <w14:lumOff w14:val="5000"/>
                    </w14:schemeClr>
                  </w14:solidFill>
                </w14:textFill>
              </w:rPr>
              <w:t>4</w:t>
            </w:r>
            <w:r>
              <w:rPr>
                <w:rFonts w:hint="eastAsia"/>
                <w:color w:val="0D0D0D" w:themeColor="text1" w:themeTint="F2"/>
                <w:sz w:val="21"/>
                <w:szCs w:val="21"/>
                <w:vertAlign w:val="superscript"/>
                <w14:textFill>
                  <w14:solidFill>
                    <w14:schemeClr w14:val="tx1">
                      <w14:lumMod w14:val="95000"/>
                      <w14:lumOff w14:val="5000"/>
                    </w14:schemeClr>
                  </w14:solidFill>
                </w14:textFill>
              </w:rPr>
              <w:t>2-</w:t>
            </w:r>
          </w:p>
        </w:tc>
        <w:tc>
          <w:tcPr>
            <w:tcW w:w="2894" w:type="pct"/>
            <w:tcBorders>
              <w:top w:val="single" w:color="auto" w:sz="4" w:space="0"/>
              <w:left w:val="single" w:color="auto" w:sz="4" w:space="0"/>
              <w:bottom w:val="single" w:color="auto" w:sz="4" w:space="0"/>
              <w:right w:val="single" w:color="auto" w:sz="4" w:space="0"/>
            </w:tcBorders>
            <w:shd w:val="clear" w:color="auto" w:fill="FFFFFF"/>
            <w:vAlign w:val="center"/>
          </w:tcPr>
          <w:p w14:paraId="4D029114">
            <w:pPr>
              <w:spacing w:line="240" w:lineRule="auto"/>
              <w:rPr>
                <w:rFonts w:cs="Times New Roman"/>
                <w:color w:val="0D0D0D" w:themeColor="text1" w:themeTint="F2"/>
                <w:sz w:val="21"/>
                <w:szCs w:val="21"/>
                <w:shd w:val="clear" w:color="auto" w:fill="FFFFFF"/>
                <w14:textFill>
                  <w14:solidFill>
                    <w14:schemeClr w14:val="tx1">
                      <w14:lumMod w14:val="95000"/>
                      <w14:lumOff w14:val="5000"/>
                    </w14:schemeClr>
                  </w14:solidFill>
                </w14:textFill>
              </w:rPr>
            </w:pPr>
            <w:r>
              <w:rPr>
                <w:color w:val="0D0D0D" w:themeColor="text1" w:themeTint="F2"/>
                <w:kern w:val="0"/>
                <w:sz w:val="21"/>
                <w:szCs w:val="21"/>
                <w14:textFill>
                  <w14:solidFill>
                    <w14:schemeClr w14:val="tx1">
                      <w14:lumMod w14:val="95000"/>
                      <w14:lumOff w14:val="5000"/>
                    </w14:schemeClr>
                  </w14:solidFill>
                </w14:textFill>
              </w:rPr>
              <w:t>水质 无机阴离子（F</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、Cl</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、NO</w:t>
            </w:r>
            <w:r>
              <w:rPr>
                <w:color w:val="0D0D0D" w:themeColor="text1" w:themeTint="F2"/>
                <w:kern w:val="0"/>
                <w:sz w:val="21"/>
                <w:szCs w:val="21"/>
                <w:vertAlign w:val="subscript"/>
                <w14:textFill>
                  <w14:solidFill>
                    <w14:schemeClr w14:val="tx1">
                      <w14:lumMod w14:val="95000"/>
                      <w14:lumOff w14:val="5000"/>
                    </w14:schemeClr>
                  </w14:solidFill>
                </w14:textFill>
              </w:rPr>
              <w:t>2</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、Br</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、NO</w:t>
            </w:r>
            <w:r>
              <w:rPr>
                <w:color w:val="0D0D0D" w:themeColor="text1" w:themeTint="F2"/>
                <w:kern w:val="0"/>
                <w:sz w:val="21"/>
                <w:szCs w:val="21"/>
                <w:vertAlign w:val="subscript"/>
                <w14:textFill>
                  <w14:solidFill>
                    <w14:schemeClr w14:val="tx1">
                      <w14:lumMod w14:val="95000"/>
                      <w14:lumOff w14:val="5000"/>
                    </w14:schemeClr>
                  </w14:solidFill>
                </w14:textFill>
              </w:rPr>
              <w:t>3</w:t>
            </w:r>
            <w:r>
              <w:rPr>
                <w:color w:val="0D0D0D" w:themeColor="text1" w:themeTint="F2"/>
                <w:kern w:val="0"/>
                <w:sz w:val="21"/>
                <w:szCs w:val="21"/>
                <w:vertAlign w:val="superscript"/>
                <w14:textFill>
                  <w14:solidFill>
                    <w14:schemeClr w14:val="tx1">
                      <w14:lumMod w14:val="95000"/>
                      <w14:lumOff w14:val="5000"/>
                    </w14:schemeClr>
                  </w14:solidFill>
                </w14:textFill>
              </w:rPr>
              <w:t>-</w:t>
            </w:r>
            <w:r>
              <w:rPr>
                <w:color w:val="0D0D0D" w:themeColor="text1" w:themeTint="F2"/>
                <w:kern w:val="0"/>
                <w:sz w:val="21"/>
                <w:szCs w:val="21"/>
                <w14:textFill>
                  <w14:solidFill>
                    <w14:schemeClr w14:val="tx1">
                      <w14:lumMod w14:val="95000"/>
                      <w14:lumOff w14:val="5000"/>
                    </w14:schemeClr>
                  </w14:solidFill>
                </w14:textFill>
              </w:rPr>
              <w:t>、PO</w:t>
            </w:r>
            <w:r>
              <w:rPr>
                <w:color w:val="0D0D0D" w:themeColor="text1" w:themeTint="F2"/>
                <w:kern w:val="0"/>
                <w:sz w:val="21"/>
                <w:szCs w:val="21"/>
                <w:vertAlign w:val="subscript"/>
                <w14:textFill>
                  <w14:solidFill>
                    <w14:schemeClr w14:val="tx1">
                      <w14:lumMod w14:val="95000"/>
                      <w14:lumOff w14:val="5000"/>
                    </w14:schemeClr>
                  </w14:solidFill>
                </w14:textFill>
              </w:rPr>
              <w:t>4</w:t>
            </w:r>
            <w:r>
              <w:rPr>
                <w:color w:val="0D0D0D" w:themeColor="text1" w:themeTint="F2"/>
                <w:kern w:val="0"/>
                <w:sz w:val="21"/>
                <w:szCs w:val="21"/>
                <w:vertAlign w:val="superscript"/>
                <w14:textFill>
                  <w14:solidFill>
                    <w14:schemeClr w14:val="tx1">
                      <w14:lumMod w14:val="95000"/>
                      <w14:lumOff w14:val="5000"/>
                    </w14:schemeClr>
                  </w14:solidFill>
                </w14:textFill>
              </w:rPr>
              <w:t>3-</w:t>
            </w:r>
            <w:r>
              <w:rPr>
                <w:color w:val="0D0D0D" w:themeColor="text1" w:themeTint="F2"/>
                <w:kern w:val="0"/>
                <w:sz w:val="21"/>
                <w:szCs w:val="21"/>
                <w14:textFill>
                  <w14:solidFill>
                    <w14:schemeClr w14:val="tx1">
                      <w14:lumMod w14:val="95000"/>
                      <w14:lumOff w14:val="5000"/>
                    </w14:schemeClr>
                  </w14:solidFill>
                </w14:textFill>
              </w:rPr>
              <w:t>、SO</w:t>
            </w:r>
            <w:r>
              <w:rPr>
                <w:color w:val="0D0D0D" w:themeColor="text1" w:themeTint="F2"/>
                <w:kern w:val="0"/>
                <w:sz w:val="21"/>
                <w:szCs w:val="21"/>
                <w:vertAlign w:val="subscript"/>
                <w14:textFill>
                  <w14:solidFill>
                    <w14:schemeClr w14:val="tx1">
                      <w14:lumMod w14:val="95000"/>
                      <w14:lumOff w14:val="5000"/>
                    </w14:schemeClr>
                  </w14:solidFill>
                </w14:textFill>
              </w:rPr>
              <w:t>3</w:t>
            </w:r>
            <w:r>
              <w:rPr>
                <w:color w:val="0D0D0D" w:themeColor="text1" w:themeTint="F2"/>
                <w:kern w:val="0"/>
                <w:sz w:val="21"/>
                <w:szCs w:val="21"/>
                <w:vertAlign w:val="superscript"/>
                <w14:textFill>
                  <w14:solidFill>
                    <w14:schemeClr w14:val="tx1">
                      <w14:lumMod w14:val="95000"/>
                      <w14:lumOff w14:val="5000"/>
                    </w14:schemeClr>
                  </w14:solidFill>
                </w14:textFill>
              </w:rPr>
              <w:t>2-</w:t>
            </w:r>
            <w:r>
              <w:rPr>
                <w:color w:val="0D0D0D" w:themeColor="text1" w:themeTint="F2"/>
                <w:kern w:val="0"/>
                <w:sz w:val="21"/>
                <w:szCs w:val="21"/>
                <w14:textFill>
                  <w14:solidFill>
                    <w14:schemeClr w14:val="tx1">
                      <w14:lumMod w14:val="95000"/>
                      <w14:lumOff w14:val="5000"/>
                    </w14:schemeClr>
                  </w14:solidFill>
                </w14:textFill>
              </w:rPr>
              <w:t>、SO</w:t>
            </w:r>
            <w:r>
              <w:rPr>
                <w:color w:val="0D0D0D" w:themeColor="text1" w:themeTint="F2"/>
                <w:kern w:val="0"/>
                <w:sz w:val="21"/>
                <w:szCs w:val="21"/>
                <w:vertAlign w:val="subscript"/>
                <w14:textFill>
                  <w14:solidFill>
                    <w14:schemeClr w14:val="tx1">
                      <w14:lumMod w14:val="95000"/>
                      <w14:lumOff w14:val="5000"/>
                    </w14:schemeClr>
                  </w14:solidFill>
                </w14:textFill>
              </w:rPr>
              <w:t>4</w:t>
            </w:r>
            <w:r>
              <w:rPr>
                <w:color w:val="0D0D0D" w:themeColor="text1" w:themeTint="F2"/>
                <w:kern w:val="0"/>
                <w:sz w:val="21"/>
                <w:szCs w:val="21"/>
                <w:vertAlign w:val="superscript"/>
                <w14:textFill>
                  <w14:solidFill>
                    <w14:schemeClr w14:val="tx1">
                      <w14:lumMod w14:val="95000"/>
                      <w14:lumOff w14:val="5000"/>
                    </w14:schemeClr>
                  </w14:solidFill>
                </w14:textFill>
              </w:rPr>
              <w:t>2-</w:t>
            </w:r>
            <w:r>
              <w:rPr>
                <w:color w:val="0D0D0D" w:themeColor="text1" w:themeTint="F2"/>
                <w:kern w:val="0"/>
                <w:sz w:val="21"/>
                <w:szCs w:val="21"/>
                <w14:textFill>
                  <w14:solidFill>
                    <w14:schemeClr w14:val="tx1">
                      <w14:lumMod w14:val="95000"/>
                      <w14:lumOff w14:val="5000"/>
                    </w14:schemeClr>
                  </w14:solidFill>
                </w14:textFill>
              </w:rPr>
              <w:t>）的测定 离子色谱法（HJ84-2016）</w:t>
            </w:r>
          </w:p>
        </w:tc>
        <w:tc>
          <w:tcPr>
            <w:tcW w:w="693" w:type="pct"/>
            <w:tcBorders>
              <w:top w:val="single" w:color="auto" w:sz="4" w:space="0"/>
              <w:left w:val="single" w:color="auto" w:sz="4" w:space="0"/>
              <w:bottom w:val="single" w:color="auto" w:sz="4" w:space="0"/>
              <w:right w:val="single" w:color="auto" w:sz="4" w:space="0"/>
            </w:tcBorders>
            <w:shd w:val="clear" w:color="auto" w:fill="FFFFFF"/>
            <w:vAlign w:val="center"/>
          </w:tcPr>
          <w:p w14:paraId="768485A7">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0.0</w:t>
            </w:r>
            <w:r>
              <w:rPr>
                <w:rFonts w:hint="eastAsia" w:cs="Times New Roman"/>
                <w:color w:val="0D0D0D" w:themeColor="text1" w:themeTint="F2"/>
                <w:sz w:val="21"/>
                <w:szCs w:val="21"/>
                <w14:textFill>
                  <w14:solidFill>
                    <w14:schemeClr w14:val="tx1">
                      <w14:lumMod w14:val="95000"/>
                      <w14:lumOff w14:val="5000"/>
                    </w14:schemeClr>
                  </w14:solidFill>
                </w14:textFill>
              </w:rPr>
              <w:t>18</w:t>
            </w:r>
            <w:r>
              <w:rPr>
                <w:rFonts w:cs="Times New Roman"/>
                <w:color w:val="0D0D0D" w:themeColor="text1" w:themeTint="F2"/>
                <w:sz w:val="21"/>
                <w:szCs w:val="21"/>
                <w14:textFill>
                  <w14:solidFill>
                    <w14:schemeClr w14:val="tx1">
                      <w14:lumMod w14:val="95000"/>
                      <w14:lumOff w14:val="5000"/>
                    </w14:schemeClr>
                  </w14:solidFill>
                </w14:textFill>
              </w:rPr>
              <w:t>mg/L</w:t>
            </w:r>
          </w:p>
        </w:tc>
      </w:tr>
    </w:tbl>
    <w:p w14:paraId="2BFBC47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（5）评价标准</w:t>
      </w:r>
    </w:p>
    <w:p w14:paraId="2FEBDB67">
      <w:pPr>
        <w:ind w:firstLine="480" w:firstLineChars="200"/>
        <w:rPr>
          <w:color w:val="0D0D0D" w:themeColor="text1" w:themeTint="F2"/>
          <w14:textFill>
            <w14:solidFill>
              <w14:schemeClr w14:val="tx1">
                <w14:lumMod w14:val="95000"/>
                <w14:lumOff w14:val="5000"/>
              </w14:schemeClr>
            </w14:solidFill>
          </w14:textFill>
        </w:rPr>
      </w:pPr>
      <w:r>
        <w:rPr>
          <w:rFonts w:cs="Times New Roman"/>
          <w:color w:val="0D0D0D" w:themeColor="text1" w:themeTint="F2"/>
          <w14:textFill>
            <w14:solidFill>
              <w14:schemeClr w14:val="tx1">
                <w14:lumMod w14:val="95000"/>
                <w14:lumOff w14:val="5000"/>
              </w14:schemeClr>
            </w14:solidFill>
          </w14:textFill>
        </w:rPr>
        <w:t>《地下水质量标准》（GB/T1484-2017）</w:t>
      </w:r>
      <w:r>
        <w:rPr>
          <w:rFonts w:hint="eastAsia" w:cs="Times New Roman"/>
          <w:color w:val="0D0D0D" w:themeColor="text1" w:themeTint="F2"/>
          <w14:textFill>
            <w14:solidFill>
              <w14:schemeClr w14:val="tx1">
                <w14:lumMod w14:val="95000"/>
                <w14:lumOff w14:val="5000"/>
              </w14:schemeClr>
            </w14:solidFill>
          </w14:textFill>
        </w:rPr>
        <w:t>Ⅲ</w:t>
      </w:r>
      <w:r>
        <w:rPr>
          <w:rFonts w:cs="Times New Roman"/>
          <w:color w:val="0D0D0D" w:themeColor="text1" w:themeTint="F2"/>
          <w14:textFill>
            <w14:solidFill>
              <w14:schemeClr w14:val="tx1">
                <w14:lumMod w14:val="95000"/>
                <w14:lumOff w14:val="5000"/>
              </w14:schemeClr>
            </w14:solidFill>
          </w14:textFill>
        </w:rPr>
        <w:t>类标准</w:t>
      </w:r>
      <w:r>
        <w:rPr>
          <w:rFonts w:hint="eastAsia" w:cs="Times New Roman"/>
          <w:color w:val="0D0D0D" w:themeColor="text1" w:themeTint="F2"/>
          <w14:textFill>
            <w14:solidFill>
              <w14:schemeClr w14:val="tx1">
                <w14:lumMod w14:val="95000"/>
                <w14:lumOff w14:val="5000"/>
              </w14:schemeClr>
            </w14:solidFill>
          </w14:textFill>
        </w:rPr>
        <w:t>。</w:t>
      </w:r>
    </w:p>
    <w:p w14:paraId="496537F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（6）评价方法</w:t>
      </w:r>
    </w:p>
    <w:p w14:paraId="1D9EDC48">
      <w:pPr>
        <w:ind w:firstLine="528" w:firstLineChars="200"/>
        <w:rPr>
          <w:color w:val="0D0D0D" w:themeColor="text1" w:themeTint="F2"/>
          <w:spacing w:val="12"/>
          <w14:textFill>
            <w14:solidFill>
              <w14:schemeClr w14:val="tx1">
                <w14:lumMod w14:val="95000"/>
                <w14:lumOff w14:val="5000"/>
              </w14:schemeClr>
            </w14:solidFill>
          </w14:textFill>
        </w:rPr>
      </w:pPr>
      <w:r>
        <w:rPr>
          <w:color w:val="0D0D0D" w:themeColor="text1" w:themeTint="F2"/>
          <w:spacing w:val="12"/>
          <w14:textFill>
            <w14:solidFill>
              <w14:schemeClr w14:val="tx1">
                <w14:lumMod w14:val="95000"/>
                <w14:lumOff w14:val="5000"/>
              </w14:schemeClr>
            </w14:solidFill>
          </w14:textFill>
        </w:rPr>
        <w:t>对于评价因子为定值的水质因子，其标准指数计算公式：</w:t>
      </w:r>
    </w:p>
    <w:p w14:paraId="727579D0">
      <w:pPr>
        <w:spacing w:after="156" w:afterLines="50"/>
        <w:jc w:val="center"/>
        <w:rPr>
          <w:color w:val="0D0D0D" w:themeColor="text1" w:themeTint="F2"/>
          <w:spacing w:val="12"/>
          <w14:textFill>
            <w14:solidFill>
              <w14:schemeClr w14:val="tx1">
                <w14:lumMod w14:val="95000"/>
                <w14:lumOff w14:val="5000"/>
              </w14:schemeClr>
            </w14:solidFill>
          </w14:textFill>
        </w:rPr>
      </w:pPr>
      <w:r>
        <w:rPr>
          <w:color w:val="0D0D0D" w:themeColor="text1" w:themeTint="F2"/>
          <w:spacing w:val="12"/>
          <w:position w:val="-30"/>
          <w14:textFill>
            <w14:solidFill>
              <w14:schemeClr w14:val="tx1">
                <w14:lumMod w14:val="95000"/>
                <w14:lumOff w14:val="5000"/>
              </w14:schemeClr>
            </w14:solidFill>
          </w14:textFill>
        </w:rPr>
        <w:object>
          <v:shape id="_x0000_i1027" o:spt="75" type="#_x0000_t75" style="height:36.55pt;width:43pt;" o:ole="t" filled="f" o:preferrelative="t" stroked="f" coordsize="21600,21600">
            <v:path/>
            <v:fill on="f" focussize="0,0"/>
            <v:stroke on="f" joinstyle="miter"/>
            <v:imagedata r:id="rId18" o:title=""/>
            <o:lock v:ext="edit" aspectratio="t"/>
            <w10:wrap type="none"/>
            <w10:anchorlock/>
          </v:shape>
          <o:OLEObject Type="Embed" ProgID="Equation.3" ShapeID="_x0000_i1027" DrawAspect="Content" ObjectID="_1468075727" r:id="rId17">
            <o:LockedField>false</o:LockedField>
          </o:OLEObject>
        </w:object>
      </w:r>
    </w:p>
    <w:p w14:paraId="1FCF2197">
      <w:pPr>
        <w:ind w:firstLine="528" w:firstLineChars="200"/>
        <w:rPr>
          <w:color w:val="0D0D0D" w:themeColor="text1" w:themeTint="F2"/>
          <w:spacing w:val="12"/>
          <w14:textFill>
            <w14:solidFill>
              <w14:schemeClr w14:val="tx1">
                <w14:lumMod w14:val="95000"/>
                <w14:lumOff w14:val="5000"/>
              </w14:schemeClr>
            </w14:solidFill>
          </w14:textFill>
        </w:rPr>
      </w:pPr>
      <w:r>
        <w:rPr>
          <w:color w:val="0D0D0D" w:themeColor="text1" w:themeTint="F2"/>
          <w:spacing w:val="12"/>
          <w14:textFill>
            <w14:solidFill>
              <w14:schemeClr w14:val="tx1">
                <w14:lumMod w14:val="95000"/>
                <w14:lumOff w14:val="5000"/>
              </w14:schemeClr>
            </w14:solidFill>
          </w14:textFill>
        </w:rPr>
        <w:t>式中：</w:t>
      </w:r>
    </w:p>
    <w:p w14:paraId="68486F9A">
      <w:pPr>
        <w:ind w:firstLine="528" w:firstLineChars="200"/>
        <w:rPr>
          <w:color w:val="0D0D0D" w:themeColor="text1" w:themeTint="F2"/>
          <w:spacing w:val="12"/>
          <w14:textFill>
            <w14:solidFill>
              <w14:schemeClr w14:val="tx1">
                <w14:lumMod w14:val="95000"/>
                <w14:lumOff w14:val="5000"/>
              </w14:schemeClr>
            </w14:solidFill>
          </w14:textFill>
        </w:rPr>
      </w:pPr>
      <w:r>
        <w:rPr>
          <w:color w:val="0D0D0D" w:themeColor="text1" w:themeTint="F2"/>
          <w:spacing w:val="12"/>
          <w14:textFill>
            <w14:solidFill>
              <w14:schemeClr w14:val="tx1">
                <w14:lumMod w14:val="95000"/>
                <w14:lumOff w14:val="5000"/>
              </w14:schemeClr>
            </w14:solidFill>
          </w14:textFill>
        </w:rPr>
        <w:t>P</w:t>
      </w:r>
      <w:r>
        <w:rPr>
          <w:color w:val="0D0D0D" w:themeColor="text1" w:themeTint="F2"/>
          <w:spacing w:val="12"/>
          <w:vertAlign w:val="subscript"/>
          <w14:textFill>
            <w14:solidFill>
              <w14:schemeClr w14:val="tx1">
                <w14:lumMod w14:val="95000"/>
                <w14:lumOff w14:val="5000"/>
              </w14:schemeClr>
            </w14:solidFill>
          </w14:textFill>
        </w:rPr>
        <w:t>i</w:t>
      </w:r>
      <w:r>
        <w:rPr>
          <w:color w:val="0D0D0D" w:themeColor="text1" w:themeTint="F2"/>
          <w:spacing w:val="12"/>
          <w14:textFill>
            <w14:solidFill>
              <w14:schemeClr w14:val="tx1">
                <w14:lumMod w14:val="95000"/>
                <w14:lumOff w14:val="5000"/>
              </w14:schemeClr>
            </w14:solidFill>
          </w14:textFill>
        </w:rPr>
        <w:t>——第i个水质因子的标准指数，无量纲；</w:t>
      </w:r>
    </w:p>
    <w:p w14:paraId="3DEE474E">
      <w:pPr>
        <w:ind w:firstLine="528" w:firstLineChars="200"/>
        <w:rPr>
          <w:color w:val="0D0D0D" w:themeColor="text1" w:themeTint="F2"/>
          <w:spacing w:val="12"/>
          <w14:textFill>
            <w14:solidFill>
              <w14:schemeClr w14:val="tx1">
                <w14:lumMod w14:val="95000"/>
                <w14:lumOff w14:val="5000"/>
              </w14:schemeClr>
            </w14:solidFill>
          </w14:textFill>
        </w:rPr>
      </w:pPr>
      <w:r>
        <w:rPr>
          <w:color w:val="0D0D0D" w:themeColor="text1" w:themeTint="F2"/>
          <w:spacing w:val="12"/>
          <w14:textFill>
            <w14:solidFill>
              <w14:schemeClr w14:val="tx1">
                <w14:lumMod w14:val="95000"/>
                <w14:lumOff w14:val="5000"/>
              </w14:schemeClr>
            </w14:solidFill>
          </w14:textFill>
        </w:rPr>
        <w:t>Ci——第i个水质因子的监测浓度值，mg/L；</w:t>
      </w:r>
    </w:p>
    <w:p w14:paraId="79324570">
      <w:pPr>
        <w:ind w:firstLine="528" w:firstLineChars="200"/>
        <w:rPr>
          <w:color w:val="0D0D0D" w:themeColor="text1" w:themeTint="F2"/>
          <w:spacing w:val="12"/>
          <w14:textFill>
            <w14:solidFill>
              <w14:schemeClr w14:val="tx1">
                <w14:lumMod w14:val="95000"/>
                <w14:lumOff w14:val="5000"/>
              </w14:schemeClr>
            </w14:solidFill>
          </w14:textFill>
        </w:rPr>
      </w:pPr>
      <w:r>
        <w:rPr>
          <w:color w:val="0D0D0D" w:themeColor="text1" w:themeTint="F2"/>
          <w:spacing w:val="12"/>
          <w14:textFill>
            <w14:solidFill>
              <w14:schemeClr w14:val="tx1">
                <w14:lumMod w14:val="95000"/>
                <w14:lumOff w14:val="5000"/>
              </w14:schemeClr>
            </w14:solidFill>
          </w14:textFill>
        </w:rPr>
        <w:t>C</w:t>
      </w:r>
      <w:r>
        <w:rPr>
          <w:color w:val="0D0D0D" w:themeColor="text1" w:themeTint="F2"/>
          <w:spacing w:val="12"/>
          <w:vertAlign w:val="subscript"/>
          <w14:textFill>
            <w14:solidFill>
              <w14:schemeClr w14:val="tx1">
                <w14:lumMod w14:val="95000"/>
                <w14:lumOff w14:val="5000"/>
              </w14:schemeClr>
            </w14:solidFill>
          </w14:textFill>
        </w:rPr>
        <w:t>si</w:t>
      </w:r>
      <w:r>
        <w:rPr>
          <w:color w:val="0D0D0D" w:themeColor="text1" w:themeTint="F2"/>
          <w:spacing w:val="12"/>
          <w14:textFill>
            <w14:solidFill>
              <w14:schemeClr w14:val="tx1">
                <w14:lumMod w14:val="95000"/>
                <w14:lumOff w14:val="5000"/>
              </w14:schemeClr>
            </w14:solidFill>
          </w14:textFill>
        </w:rPr>
        <w:t>——第i个水质因子的标准浓度值，mg/L。</w:t>
      </w:r>
    </w:p>
    <w:p w14:paraId="189ECC2E">
      <w:pPr>
        <w:ind w:firstLine="528" w:firstLineChars="200"/>
        <w:rPr>
          <w:color w:val="0D0D0D" w:themeColor="text1" w:themeTint="F2"/>
          <w:spacing w:val="12"/>
          <w14:textFill>
            <w14:solidFill>
              <w14:schemeClr w14:val="tx1">
                <w14:lumMod w14:val="95000"/>
                <w14:lumOff w14:val="5000"/>
              </w14:schemeClr>
            </w14:solidFill>
          </w14:textFill>
        </w:rPr>
      </w:pPr>
      <w:r>
        <w:rPr>
          <w:color w:val="0D0D0D" w:themeColor="text1" w:themeTint="F2"/>
          <w:spacing w:val="12"/>
          <w14:textFill>
            <w14:solidFill>
              <w14:schemeClr w14:val="tx1">
                <w14:lumMod w14:val="95000"/>
                <w14:lumOff w14:val="5000"/>
              </w14:schemeClr>
            </w14:solidFill>
          </w14:textFill>
        </w:rPr>
        <w:t>对于评价因子为区间值的水质因子，其标准指数计算公式：</w:t>
      </w:r>
    </w:p>
    <w:p w14:paraId="1F0BC92B">
      <w:pPr>
        <w:ind w:firstLine="2376" w:firstLineChars="900"/>
        <w:rPr>
          <w:color w:val="0D0D0D" w:themeColor="text1" w:themeTint="F2"/>
          <w:spacing w:val="12"/>
          <w14:textFill>
            <w14:solidFill>
              <w14:schemeClr w14:val="tx1">
                <w14:lumMod w14:val="95000"/>
                <w14:lumOff w14:val="5000"/>
              </w14:schemeClr>
            </w14:solidFill>
          </w14:textFill>
        </w:rPr>
      </w:pPr>
      <w:r>
        <w:rPr>
          <w:color w:val="0D0D0D" w:themeColor="text1" w:themeTint="F2"/>
          <w:spacing w:val="12"/>
          <w:position w:val="-30"/>
          <w14:textFill>
            <w14:solidFill>
              <w14:schemeClr w14:val="tx1">
                <w14:lumMod w14:val="95000"/>
                <w14:lumOff w14:val="5000"/>
              </w14:schemeClr>
            </w14:solidFill>
          </w14:textFill>
        </w:rPr>
        <w:object>
          <v:shape id="_x0000_i1028" o:spt="75" type="#_x0000_t75" style="height:36.55pt;width:86.5pt;" o:ole="t" filled="f" o:preferrelative="t" stroked="f" coordsize="21600,21600">
            <v:path/>
            <v:fill on="f" focussize="0,0"/>
            <v:stroke on="f" joinstyle="miter"/>
            <v:imagedata r:id="rId20" o:title=""/>
            <o:lock v:ext="edit" aspectratio="t"/>
            <w10:wrap type="none"/>
            <w10:anchorlock/>
          </v:shape>
          <o:OLEObject Type="Embed" ProgID="Equation.3" ShapeID="_x0000_i1028" DrawAspect="Content" ObjectID="_1468075728" r:id="rId19">
            <o:LockedField>false</o:LockedField>
          </o:OLEObject>
        </w:object>
      </w:r>
      <w:r>
        <w:rPr>
          <w:color w:val="0D0D0D" w:themeColor="text1" w:themeTint="F2"/>
          <w:spacing w:val="12"/>
          <w14:textFill>
            <w14:solidFill>
              <w14:schemeClr w14:val="tx1">
                <w14:lumMod w14:val="95000"/>
                <w14:lumOff w14:val="5000"/>
              </w14:schemeClr>
            </w14:solidFill>
          </w14:textFill>
        </w:rPr>
        <w:t xml:space="preserve">         pH≤7.0时</w:t>
      </w:r>
    </w:p>
    <w:p w14:paraId="223142E6">
      <w:pPr>
        <w:ind w:firstLine="2376" w:firstLineChars="900"/>
        <w:rPr>
          <w:color w:val="0D0D0D" w:themeColor="text1" w:themeTint="F2"/>
          <w:spacing w:val="12"/>
          <w14:textFill>
            <w14:solidFill>
              <w14:schemeClr w14:val="tx1">
                <w14:lumMod w14:val="95000"/>
                <w14:lumOff w14:val="5000"/>
              </w14:schemeClr>
            </w14:solidFill>
          </w14:textFill>
        </w:rPr>
      </w:pPr>
      <w:r>
        <w:rPr>
          <w:color w:val="0D0D0D" w:themeColor="text1" w:themeTint="F2"/>
          <w:spacing w:val="12"/>
          <w:position w:val="-30"/>
          <w14:textFill>
            <w14:solidFill>
              <w14:schemeClr w14:val="tx1">
                <w14:lumMod w14:val="95000"/>
                <w14:lumOff w14:val="5000"/>
              </w14:schemeClr>
            </w14:solidFill>
          </w14:textFill>
        </w:rPr>
        <w:object>
          <v:shape id="_x0000_i1029" o:spt="75" type="#_x0000_t75" style="height:36.55pt;width:86.5pt;" o:ole="t" filled="f" o:preferrelative="t" stroked="f" coordsize="21600,21600">
            <v:path/>
            <v:fill on="f" focussize="0,0"/>
            <v:stroke on="f" joinstyle="miter"/>
            <v:imagedata r:id="rId22" o:title=""/>
            <o:lock v:ext="edit" aspectratio="t"/>
            <w10:wrap type="none"/>
            <w10:anchorlock/>
          </v:shape>
          <o:OLEObject Type="Embed" ProgID="Equation.3" ShapeID="_x0000_i1029" DrawAspect="Content" ObjectID="_1468075729" r:id="rId21">
            <o:LockedField>false</o:LockedField>
          </o:OLEObject>
        </w:object>
      </w:r>
      <w:r>
        <w:rPr>
          <w:color w:val="0D0D0D" w:themeColor="text1" w:themeTint="F2"/>
          <w:spacing w:val="12"/>
          <w14:textFill>
            <w14:solidFill>
              <w14:schemeClr w14:val="tx1">
                <w14:lumMod w14:val="95000"/>
                <w14:lumOff w14:val="5000"/>
              </w14:schemeClr>
            </w14:solidFill>
          </w14:textFill>
        </w:rPr>
        <w:t xml:space="preserve">         pH&gt;7.0时</w:t>
      </w:r>
    </w:p>
    <w:p w14:paraId="56E047F2">
      <w:pPr>
        <w:ind w:firstLine="528" w:firstLineChars="200"/>
        <w:rPr>
          <w:color w:val="0D0D0D" w:themeColor="text1" w:themeTint="F2"/>
          <w:spacing w:val="12"/>
          <w14:textFill>
            <w14:solidFill>
              <w14:schemeClr w14:val="tx1">
                <w14:lumMod w14:val="95000"/>
                <w14:lumOff w14:val="5000"/>
              </w14:schemeClr>
            </w14:solidFill>
          </w14:textFill>
        </w:rPr>
      </w:pPr>
      <w:r>
        <w:rPr>
          <w:color w:val="0D0D0D" w:themeColor="text1" w:themeTint="F2"/>
          <w:spacing w:val="12"/>
          <w14:textFill>
            <w14:solidFill>
              <w14:schemeClr w14:val="tx1">
                <w14:lumMod w14:val="95000"/>
                <w14:lumOff w14:val="5000"/>
              </w14:schemeClr>
            </w14:solidFill>
          </w14:textFill>
        </w:rPr>
        <w:t>式中：</w:t>
      </w:r>
    </w:p>
    <w:p w14:paraId="7534F94F">
      <w:pPr>
        <w:ind w:firstLine="528" w:firstLineChars="200"/>
        <w:rPr>
          <w:color w:val="0D0D0D" w:themeColor="text1" w:themeTint="F2"/>
          <w:spacing w:val="12"/>
          <w14:textFill>
            <w14:solidFill>
              <w14:schemeClr w14:val="tx1">
                <w14:lumMod w14:val="95000"/>
                <w14:lumOff w14:val="5000"/>
              </w14:schemeClr>
            </w14:solidFill>
          </w14:textFill>
        </w:rPr>
      </w:pPr>
      <w:r>
        <w:rPr>
          <w:color w:val="0D0D0D" w:themeColor="text1" w:themeTint="F2"/>
          <w:spacing w:val="12"/>
          <w14:textFill>
            <w14:solidFill>
              <w14:schemeClr w14:val="tx1">
                <w14:lumMod w14:val="95000"/>
                <w14:lumOff w14:val="5000"/>
              </w14:schemeClr>
            </w14:solidFill>
          </w14:textFill>
        </w:rPr>
        <w:t>P</w:t>
      </w:r>
      <w:r>
        <w:rPr>
          <w:color w:val="0D0D0D" w:themeColor="text1" w:themeTint="F2"/>
          <w:spacing w:val="12"/>
          <w:vertAlign w:val="subscript"/>
          <w14:textFill>
            <w14:solidFill>
              <w14:schemeClr w14:val="tx1">
                <w14:lumMod w14:val="95000"/>
                <w14:lumOff w14:val="5000"/>
              </w14:schemeClr>
            </w14:solidFill>
          </w14:textFill>
        </w:rPr>
        <w:t>pH</w:t>
      </w:r>
      <w:r>
        <w:rPr>
          <w:color w:val="0D0D0D" w:themeColor="text1" w:themeTint="F2"/>
          <w:spacing w:val="12"/>
          <w14:textFill>
            <w14:solidFill>
              <w14:schemeClr w14:val="tx1">
                <w14:lumMod w14:val="95000"/>
                <w14:lumOff w14:val="5000"/>
              </w14:schemeClr>
            </w14:solidFill>
          </w14:textFill>
        </w:rPr>
        <w:t>——pH的标准指数，无量纲；</w:t>
      </w:r>
    </w:p>
    <w:p w14:paraId="0C4D4935">
      <w:pPr>
        <w:ind w:firstLine="528" w:firstLineChars="200"/>
        <w:rPr>
          <w:color w:val="0D0D0D" w:themeColor="text1" w:themeTint="F2"/>
          <w:spacing w:val="12"/>
          <w14:textFill>
            <w14:solidFill>
              <w14:schemeClr w14:val="tx1">
                <w14:lumMod w14:val="95000"/>
                <w14:lumOff w14:val="5000"/>
              </w14:schemeClr>
            </w14:solidFill>
          </w14:textFill>
        </w:rPr>
      </w:pPr>
      <w:r>
        <w:rPr>
          <w:color w:val="0D0D0D" w:themeColor="text1" w:themeTint="F2"/>
          <w:spacing w:val="12"/>
          <w14:textFill>
            <w14:solidFill>
              <w14:schemeClr w14:val="tx1">
                <w14:lumMod w14:val="95000"/>
                <w14:lumOff w14:val="5000"/>
              </w14:schemeClr>
            </w14:solidFill>
          </w14:textFill>
        </w:rPr>
        <w:t>pH——pH监测值，无量纲；</w:t>
      </w:r>
    </w:p>
    <w:p w14:paraId="0BFE3353">
      <w:pPr>
        <w:ind w:firstLine="528" w:firstLineChars="200"/>
        <w:rPr>
          <w:color w:val="0D0D0D" w:themeColor="text1" w:themeTint="F2"/>
          <w:spacing w:val="12"/>
          <w14:textFill>
            <w14:solidFill>
              <w14:schemeClr w14:val="tx1">
                <w14:lumMod w14:val="95000"/>
                <w14:lumOff w14:val="5000"/>
              </w14:schemeClr>
            </w14:solidFill>
          </w14:textFill>
        </w:rPr>
      </w:pPr>
      <w:r>
        <w:rPr>
          <w:color w:val="0D0D0D" w:themeColor="text1" w:themeTint="F2"/>
          <w:spacing w:val="12"/>
          <w14:textFill>
            <w14:solidFill>
              <w14:schemeClr w14:val="tx1">
                <w14:lumMod w14:val="95000"/>
                <w14:lumOff w14:val="5000"/>
              </w14:schemeClr>
            </w14:solidFill>
          </w14:textFill>
        </w:rPr>
        <w:t>pH</w:t>
      </w:r>
      <w:r>
        <w:rPr>
          <w:color w:val="0D0D0D" w:themeColor="text1" w:themeTint="F2"/>
          <w:spacing w:val="12"/>
          <w:vertAlign w:val="subscript"/>
          <w14:textFill>
            <w14:solidFill>
              <w14:schemeClr w14:val="tx1">
                <w14:lumMod w14:val="95000"/>
                <w14:lumOff w14:val="5000"/>
              </w14:schemeClr>
            </w14:solidFill>
          </w14:textFill>
        </w:rPr>
        <w:t>su</w:t>
      </w:r>
      <w:r>
        <w:rPr>
          <w:color w:val="0D0D0D" w:themeColor="text1" w:themeTint="F2"/>
          <w:spacing w:val="12"/>
          <w14:textFill>
            <w14:solidFill>
              <w14:schemeClr w14:val="tx1">
                <w14:lumMod w14:val="95000"/>
                <w14:lumOff w14:val="5000"/>
              </w14:schemeClr>
            </w14:solidFill>
          </w14:textFill>
        </w:rPr>
        <w:t>—标准pH上限值，无量纲；</w:t>
      </w:r>
    </w:p>
    <w:p w14:paraId="3203AC0E">
      <w:pPr>
        <w:ind w:firstLine="528" w:firstLineChars="200"/>
        <w:rPr>
          <w:color w:val="0D0D0D" w:themeColor="text1" w:themeTint="F2"/>
          <w:spacing w:val="12"/>
          <w14:textFill>
            <w14:solidFill>
              <w14:schemeClr w14:val="tx1">
                <w14:lumMod w14:val="95000"/>
                <w14:lumOff w14:val="5000"/>
              </w14:schemeClr>
            </w14:solidFill>
          </w14:textFill>
        </w:rPr>
      </w:pPr>
      <w:r>
        <w:rPr>
          <w:color w:val="0D0D0D" w:themeColor="text1" w:themeTint="F2"/>
          <w:spacing w:val="12"/>
          <w14:textFill>
            <w14:solidFill>
              <w14:schemeClr w14:val="tx1">
                <w14:lumMod w14:val="95000"/>
                <w14:lumOff w14:val="5000"/>
              </w14:schemeClr>
            </w14:solidFill>
          </w14:textFill>
        </w:rPr>
        <w:t>pH</w:t>
      </w:r>
      <w:r>
        <w:rPr>
          <w:color w:val="0D0D0D" w:themeColor="text1" w:themeTint="F2"/>
          <w:spacing w:val="12"/>
          <w:vertAlign w:val="subscript"/>
          <w14:textFill>
            <w14:solidFill>
              <w14:schemeClr w14:val="tx1">
                <w14:lumMod w14:val="95000"/>
                <w14:lumOff w14:val="5000"/>
              </w14:schemeClr>
            </w14:solidFill>
          </w14:textFill>
        </w:rPr>
        <w:t>sd</w:t>
      </w:r>
      <w:r>
        <w:rPr>
          <w:color w:val="0D0D0D" w:themeColor="text1" w:themeTint="F2"/>
          <w:spacing w:val="12"/>
          <w14:textFill>
            <w14:solidFill>
              <w14:schemeClr w14:val="tx1">
                <w14:lumMod w14:val="95000"/>
                <w14:lumOff w14:val="5000"/>
              </w14:schemeClr>
            </w14:solidFill>
          </w14:textFill>
        </w:rPr>
        <w:t>—标准pH下限值，无量纲。</w:t>
      </w:r>
    </w:p>
    <w:p w14:paraId="565D29F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（7）监测与评价结果</w:t>
      </w:r>
    </w:p>
    <w:p w14:paraId="1E3902E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地下水水质现状监测结果与统计结果详见表4.2-9。</w:t>
      </w:r>
    </w:p>
    <w:p w14:paraId="24DD68A4">
      <w:pPr>
        <w:ind w:firstLine="480" w:firstLineChars="200"/>
        <w:rPr>
          <w:color w:val="0D0D0D" w:themeColor="text1" w:themeTint="F2"/>
          <w14:textFill>
            <w14:solidFill>
              <w14:schemeClr w14:val="tx1">
                <w14:lumMod w14:val="95000"/>
                <w14:lumOff w14:val="5000"/>
              </w14:schemeClr>
            </w14:solidFill>
          </w14:textFill>
        </w:rPr>
        <w:sectPr>
          <w:pgSz w:w="11906" w:h="16838"/>
          <w:pgMar w:top="1440" w:right="1440" w:bottom="1440" w:left="1440" w:header="851" w:footer="992" w:gutter="0"/>
          <w:cols w:space="425" w:num="1"/>
          <w:docGrid w:type="lines" w:linePitch="312" w:charSpace="0"/>
        </w:sectPr>
      </w:pPr>
    </w:p>
    <w:p w14:paraId="76DD6A5A">
      <w:pPr>
        <w:pStyle w:val="11"/>
      </w:pPr>
      <w:r>
        <w:rPr>
          <w:rFonts w:hint="eastAsia"/>
        </w:rPr>
        <w:t xml:space="preserve"> 地下水水质监测及评价结果一览表  单位：mg/L，pH值等特别注明的除外</w:t>
      </w:r>
    </w:p>
    <w:p w14:paraId="1799CE4A">
      <w:pPr>
        <w:ind w:firstLine="480" w:firstLineChars="20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（涉密，公示本已删除）</w:t>
      </w:r>
    </w:p>
    <w:p w14:paraId="024EA9F3">
      <w:pPr>
        <w:ind w:firstLine="480" w:firstLineChars="200"/>
        <w:rPr>
          <w:color w:val="0D0D0D" w:themeColor="text1" w:themeTint="F2"/>
          <w14:textFill>
            <w14:solidFill>
              <w14:schemeClr w14:val="tx1">
                <w14:lumMod w14:val="95000"/>
                <w14:lumOff w14:val="5000"/>
              </w14:schemeClr>
            </w14:solidFill>
          </w14:textFill>
        </w:rPr>
      </w:pPr>
    </w:p>
    <w:p w14:paraId="0F5CAB8E">
      <w:pPr>
        <w:ind w:firstLine="480" w:firstLineChars="200"/>
        <w:rPr>
          <w:color w:val="0D0D0D" w:themeColor="text1" w:themeTint="F2"/>
          <w14:textFill>
            <w14:solidFill>
              <w14:schemeClr w14:val="tx1">
                <w14:lumMod w14:val="95000"/>
                <w14:lumOff w14:val="5000"/>
              </w14:schemeClr>
            </w14:solidFill>
          </w14:textFill>
        </w:rPr>
        <w:sectPr>
          <w:pgSz w:w="16838" w:h="11906" w:orient="landscape"/>
          <w:pgMar w:top="1440" w:right="1440" w:bottom="1440" w:left="1440" w:header="851" w:footer="992" w:gutter="0"/>
          <w:cols w:space="425" w:num="1"/>
          <w:docGrid w:type="linesAndChars" w:linePitch="312" w:charSpace="0"/>
        </w:sectPr>
      </w:pPr>
    </w:p>
    <w:p w14:paraId="1AFA99D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（8）小结</w:t>
      </w:r>
    </w:p>
    <w:p w14:paraId="73EE9AC4">
      <w:pPr>
        <w:snapToGrid w:val="0"/>
        <w:ind w:firstLine="480"/>
        <w:rPr>
          <w:rFonts w:cs="Times New Roman"/>
          <w:color w:val="0D0D0D" w:themeColor="text1" w:themeTint="F2"/>
          <w:lang w:bidi="ar"/>
          <w14:textFill>
            <w14:solidFill>
              <w14:schemeClr w14:val="tx1">
                <w14:lumMod w14:val="95000"/>
                <w14:lumOff w14:val="5000"/>
              </w14:schemeClr>
            </w14:solidFill>
          </w14:textFill>
        </w:rPr>
      </w:pPr>
      <w:r>
        <w:rPr>
          <w:rFonts w:hint="eastAsia" w:cs="Times New Roman"/>
          <w:color w:val="0D0D0D" w:themeColor="text1" w:themeTint="F2"/>
          <w:lang w:bidi="ar"/>
          <w14:textFill>
            <w14:solidFill>
              <w14:schemeClr w14:val="tx1">
                <w14:lumMod w14:val="95000"/>
                <w14:lumOff w14:val="5000"/>
              </w14:schemeClr>
            </w14:solidFill>
          </w14:textFill>
        </w:rPr>
        <w:t>1）地下水化学类型判断</w:t>
      </w:r>
    </w:p>
    <w:p w14:paraId="23B4384E">
      <w:pPr>
        <w:snapToGrid w:val="0"/>
        <w:ind w:firstLine="480"/>
        <w:rPr>
          <w:rFonts w:cs="Times New Roman"/>
          <w:color w:val="0D0D0D" w:themeColor="text1" w:themeTint="F2"/>
          <w:lang w:bidi="ar"/>
          <w14:textFill>
            <w14:solidFill>
              <w14:schemeClr w14:val="tx1">
                <w14:lumMod w14:val="95000"/>
                <w14:lumOff w14:val="5000"/>
              </w14:schemeClr>
            </w14:solidFill>
          </w14:textFill>
        </w:rPr>
      </w:pPr>
      <w:r>
        <w:rPr>
          <w:rFonts w:hint="eastAsia" w:cs="Times New Roman"/>
          <w:color w:val="0D0D0D" w:themeColor="text1" w:themeTint="F2"/>
          <w:lang w:bidi="ar"/>
          <w14:textFill>
            <w14:solidFill>
              <w14:schemeClr w14:val="tx1">
                <w14:lumMod w14:val="95000"/>
                <w14:lumOff w14:val="5000"/>
              </w14:schemeClr>
            </w14:solidFill>
          </w14:textFill>
        </w:rPr>
        <w:t>根据《给予EXCEL的地下水化学舒卡列夫分类方法》（北京市水文地质工程地质大队，100195），舒卡列夫分类是按照阴阳离子的含量大小及矿化度划分的，当含量大于25%毫克当量的阴离子和阳离子进行组合，参与命名。当量浓度及当量百分含量的计算方法如下：</w:t>
      </w:r>
    </w:p>
    <w:p w14:paraId="53E0DFC7">
      <w:pPr>
        <w:snapToGrid w:val="0"/>
        <w:ind w:firstLine="480"/>
        <w:rPr>
          <w:rFonts w:cs="Times New Roman"/>
          <w:iCs/>
          <w:color w:val="0D0D0D" w:themeColor="text1" w:themeTint="F2"/>
          <w:lang w:bidi="ar"/>
          <w14:textFill>
            <w14:solidFill>
              <w14:schemeClr w14:val="tx1">
                <w14:lumMod w14:val="95000"/>
                <w14:lumOff w14:val="5000"/>
              </w14:schemeClr>
            </w14:solidFill>
          </w14:textFill>
        </w:rPr>
      </w:pPr>
      <m:oMathPara>
        <m:oMath>
          <m:r>
            <m:rPr>
              <m:sty m:val="p"/>
            </m:rPr>
            <w:rPr>
              <w:rFonts w:hint="eastAsia" w:ascii="Cambria Math" w:hAnsi="Cambria Math" w:cs="Times New Roman"/>
              <w:color w:val="0D0D0D" w:themeColor="text1" w:themeTint="F2"/>
              <w14:textFill>
                <w14:solidFill>
                  <w14:schemeClr w14:val="tx1">
                    <w14:lumMod w14:val="95000"/>
                    <w14:lumOff w14:val="5000"/>
                  </w14:schemeClr>
                </w14:solidFill>
              </w14:textFill>
            </w:rPr>
            <m:t>当量浓度</m:t>
          </m:r>
          <m:r>
            <m:rPr>
              <m:sty m:val="p"/>
            </m:rPr>
            <w:rPr>
              <w:rFonts w:ascii="Cambria Math" w:hAnsi="Cambria Math" w:cs="Times New Roman"/>
              <w:color w:val="0D0D0D" w:themeColor="text1" w:themeTint="F2"/>
              <w14:textFill>
                <w14:solidFill>
                  <w14:schemeClr w14:val="tx1">
                    <w14:lumMod w14:val="95000"/>
                    <w14:lumOff w14:val="5000"/>
                  </w14:schemeClr>
                </w14:solidFill>
              </w14:textFill>
            </w:rPr>
            <m:t>=</m:t>
          </m:r>
          <m:r>
            <m:rPr>
              <m:sty m:val="p"/>
            </m:rPr>
            <w:rPr>
              <w:rFonts w:hint="eastAsia" w:ascii="Cambria Math" w:hAnsi="Cambria Math" w:cs="Times New Roman"/>
              <w:color w:val="0D0D0D" w:themeColor="text1" w:themeTint="F2"/>
              <w14:textFill>
                <w14:solidFill>
                  <w14:schemeClr w14:val="tx1">
                    <w14:lumMod w14:val="95000"/>
                    <w14:lumOff w14:val="5000"/>
                  </w14:schemeClr>
                </w14:solidFill>
              </w14:textFill>
            </w:rPr>
            <m:t>离子价</m:t>
          </m:r>
          <m:r>
            <m:rPr>
              <m:sty m:val="p"/>
            </m:rPr>
            <w:rPr>
              <w:rFonts w:ascii="Cambria Math" w:hAnsi="Cambria Math" w:cs="Times New Roman"/>
              <w:color w:val="0D0D0D" w:themeColor="text1" w:themeTint="F2"/>
              <w14:textFill>
                <w14:solidFill>
                  <w14:schemeClr w14:val="tx1">
                    <w14:lumMod w14:val="95000"/>
                    <w14:lumOff w14:val="5000"/>
                  </w14:schemeClr>
                </w14:solidFill>
              </w14:textFill>
            </w:rPr>
            <m:t>×</m:t>
          </m:r>
          <m:f>
            <m:fPr>
              <m:ctrlPr>
                <w:rPr>
                  <w:rFonts w:ascii="Cambria Math" w:hAnsi="Cambria Math" w:cs="Times New Roman"/>
                  <w:iCs/>
                  <w:color w:val="0D0D0D" w:themeColor="text1" w:themeTint="F2"/>
                  <w14:textFill>
                    <w14:solidFill>
                      <w14:schemeClr w14:val="tx1">
                        <w14:lumMod w14:val="95000"/>
                        <w14:lumOff w14:val="5000"/>
                      </w14:schemeClr>
                    </w14:solidFill>
                  </w14:textFill>
                </w:rPr>
              </m:ctrlPr>
            </m:fPr>
            <m:num>
              <m:r>
                <m:rPr>
                  <m:sty m:val="p"/>
                </m:rPr>
                <w:rPr>
                  <w:rFonts w:hint="eastAsia" w:ascii="Cambria Math" w:hAnsi="Cambria Math" w:cs="Times New Roman"/>
                  <w:color w:val="0D0D0D" w:themeColor="text1" w:themeTint="F2"/>
                  <w14:textFill>
                    <w14:solidFill>
                      <w14:schemeClr w14:val="tx1">
                        <w14:lumMod w14:val="95000"/>
                        <w14:lumOff w14:val="5000"/>
                      </w14:schemeClr>
                    </w14:solidFill>
                  </w14:textFill>
                </w:rPr>
                <m:t>质量浓度</m:t>
              </m:r>
              <m:ctrlPr>
                <w:rPr>
                  <w:rFonts w:ascii="Cambria Math" w:hAnsi="Cambria Math" w:cs="Times New Roman"/>
                  <w:iCs/>
                  <w:color w:val="0D0D0D" w:themeColor="text1" w:themeTint="F2"/>
                  <w14:textFill>
                    <w14:solidFill>
                      <w14:schemeClr w14:val="tx1">
                        <w14:lumMod w14:val="95000"/>
                        <w14:lumOff w14:val="5000"/>
                      </w14:schemeClr>
                    </w14:solidFill>
                  </w14:textFill>
                </w:rPr>
              </m:ctrlPr>
            </m:num>
            <m:den>
              <m:r>
                <m:rPr>
                  <m:sty m:val="p"/>
                </m:rPr>
                <w:rPr>
                  <w:rFonts w:hint="eastAsia" w:ascii="Cambria Math" w:hAnsi="Cambria Math" w:cs="Times New Roman"/>
                  <w:color w:val="0D0D0D" w:themeColor="text1" w:themeTint="F2"/>
                  <w14:textFill>
                    <w14:solidFill>
                      <w14:schemeClr w14:val="tx1">
                        <w14:lumMod w14:val="95000"/>
                        <w14:lumOff w14:val="5000"/>
                      </w14:schemeClr>
                    </w14:solidFill>
                  </w14:textFill>
                </w:rPr>
                <m:t>溶质分子量</m:t>
              </m:r>
              <m:ctrlPr>
                <w:rPr>
                  <w:rFonts w:ascii="Cambria Math" w:hAnsi="Cambria Math" w:cs="Times New Roman"/>
                  <w:iCs/>
                  <w:color w:val="0D0D0D" w:themeColor="text1" w:themeTint="F2"/>
                  <w14:textFill>
                    <w14:solidFill>
                      <w14:schemeClr w14:val="tx1">
                        <w14:lumMod w14:val="95000"/>
                        <w14:lumOff w14:val="5000"/>
                      </w14:schemeClr>
                    </w14:solidFill>
                  </w14:textFill>
                </w:rPr>
              </m:ctrlPr>
            </m:den>
          </m:f>
        </m:oMath>
      </m:oMathPara>
    </w:p>
    <w:p w14:paraId="74F5AE28">
      <w:pPr>
        <w:snapToGrid w:val="0"/>
        <w:ind w:firstLine="480"/>
        <w:rPr>
          <w:rFonts w:cs="Times New Roman"/>
          <w:color w:val="0D0D0D" w:themeColor="text1" w:themeTint="F2"/>
          <w:lang w:bidi="ar"/>
          <w14:textFill>
            <w14:solidFill>
              <w14:schemeClr w14:val="tx1">
                <w14:lumMod w14:val="95000"/>
                <w14:lumOff w14:val="5000"/>
              </w14:schemeClr>
            </w14:solidFill>
          </w14:textFill>
        </w:rPr>
      </w:pPr>
      <w:r>
        <w:rPr>
          <w:rFonts w:hint="eastAsia" w:cs="Times New Roman"/>
          <w:color w:val="0D0D0D" w:themeColor="text1" w:themeTint="F2"/>
          <w:lang w:bidi="ar"/>
          <w14:textFill>
            <w14:solidFill>
              <w14:schemeClr w14:val="tx1">
                <w14:lumMod w14:val="95000"/>
                <w14:lumOff w14:val="5000"/>
              </w14:schemeClr>
            </w14:solidFill>
          </w14:textFill>
        </w:rPr>
        <w:t>①将质量浓度换算成离子浓度；</w:t>
      </w:r>
    </w:p>
    <w:p w14:paraId="10271EB5">
      <w:pPr>
        <w:snapToGrid w:val="0"/>
        <w:ind w:firstLine="480"/>
        <w:rPr>
          <w:rFonts w:cs="Times New Roman"/>
          <w:color w:val="0D0D0D" w:themeColor="text1" w:themeTint="F2"/>
          <w:lang w:bidi="ar"/>
          <w14:textFill>
            <w14:solidFill>
              <w14:schemeClr w14:val="tx1">
                <w14:lumMod w14:val="95000"/>
                <w14:lumOff w14:val="5000"/>
              </w14:schemeClr>
            </w14:solidFill>
          </w14:textFill>
        </w:rPr>
      </w:pPr>
      <w:r>
        <w:rPr>
          <w:rFonts w:hint="eastAsia" w:cs="Times New Roman"/>
          <w:color w:val="0D0D0D" w:themeColor="text1" w:themeTint="F2"/>
          <w:lang w:bidi="ar"/>
          <w14:textFill>
            <w14:solidFill>
              <w14:schemeClr w14:val="tx1">
                <w14:lumMod w14:val="95000"/>
                <w14:lumOff w14:val="5000"/>
              </w14:schemeClr>
            </w14:solidFill>
          </w14:textFill>
        </w:rPr>
        <w:t>②当量浓度计算各离子的当量百分含量Ai=100*Ai/（A1+A2+…+An），阴阳离子分开计算。</w:t>
      </w:r>
    </w:p>
    <w:p w14:paraId="47D1C811">
      <w:pPr>
        <w:snapToGrid w:val="0"/>
        <w:ind w:firstLine="480"/>
        <w:rPr>
          <w:rFonts w:cs="Times New Roman"/>
          <w:color w:val="0D0D0D" w:themeColor="text1" w:themeTint="F2"/>
          <w:lang w:bidi="ar"/>
          <w14:textFill>
            <w14:solidFill>
              <w14:schemeClr w14:val="tx1">
                <w14:lumMod w14:val="95000"/>
                <w14:lumOff w14:val="5000"/>
              </w14:schemeClr>
            </w14:solidFill>
          </w14:textFill>
        </w:rPr>
      </w:pPr>
      <w:r>
        <w:rPr>
          <w:rFonts w:hint="eastAsia" w:cs="Times New Roman"/>
          <w:color w:val="0D0D0D" w:themeColor="text1" w:themeTint="F2"/>
          <w:lang w:bidi="ar"/>
          <w14:textFill>
            <w14:solidFill>
              <w14:schemeClr w14:val="tx1">
                <w14:lumMod w14:val="95000"/>
                <w14:lumOff w14:val="5000"/>
              </w14:schemeClr>
            </w14:solidFill>
          </w14:textFill>
        </w:rPr>
        <w:t>区域地下水中，钠、钾、钙、镁、碳酸根、碳酸氢根、氯离子、硫酸根监测结果详见表4.2-10。</w:t>
      </w:r>
    </w:p>
    <w:p w14:paraId="1AED7EBE">
      <w:pPr>
        <w:pStyle w:val="11"/>
      </w:pPr>
      <w:r>
        <w:rPr>
          <w:rFonts w:hint="eastAsia"/>
        </w:rPr>
        <w:t xml:space="preserve"> 评价区域地下水各离子浓度监测结果一览表 单位：mg/L</w:t>
      </w:r>
    </w:p>
    <w:p w14:paraId="5A92978C">
      <w:pPr>
        <w:ind w:firstLine="480" w:firstLineChars="20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（涉密，公示本已删除）</w:t>
      </w:r>
    </w:p>
    <w:p w14:paraId="1268E03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由上表可知，项目区域地下水类型为氯化物-钠水-B。</w:t>
      </w:r>
    </w:p>
    <w:p w14:paraId="5C6E656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2）水质监测结果</w:t>
      </w:r>
    </w:p>
    <w:p w14:paraId="01DEE831">
      <w:pPr>
        <w:ind w:firstLine="480" w:firstLineChars="200"/>
        <w:rPr>
          <w:color w:val="0D0D0D" w:themeColor="text1" w:themeTint="F2"/>
          <w:szCs w:val="24"/>
          <w14:textFill>
            <w14:solidFill>
              <w14:schemeClr w14:val="tx1">
                <w14:lumMod w14:val="95000"/>
                <w14:lumOff w14:val="5000"/>
              </w14:schemeClr>
            </w14:solidFill>
          </w14:textFill>
        </w:rPr>
      </w:pPr>
      <w:r>
        <w:rPr>
          <w:rFonts w:hint="eastAsia"/>
          <w:color w:val="0D0D0D" w:themeColor="text1" w:themeTint="F2"/>
          <w:szCs w:val="24"/>
          <w14:textFill>
            <w14:solidFill>
              <w14:schemeClr w14:val="tx1">
                <w14:lumMod w14:val="95000"/>
                <w14:lumOff w14:val="5000"/>
              </w14:schemeClr>
            </w14:solidFill>
          </w14:textFill>
        </w:rPr>
        <w:t>（涉密，公示本已删除）。</w:t>
      </w:r>
    </w:p>
    <w:p w14:paraId="5EA355FA">
      <w:pPr>
        <w:pStyle w:val="9"/>
      </w:pPr>
      <w:bookmarkStart w:id="138" w:name="_Toc204062602"/>
      <w:r>
        <w:rPr>
          <w:rFonts w:hint="eastAsia"/>
        </w:rPr>
        <w:t>声环境质量现状调查与评价</w:t>
      </w:r>
      <w:bookmarkEnd w:id="138"/>
    </w:p>
    <w:p w14:paraId="58F8D384">
      <w:pPr>
        <w:ind w:firstLine="480"/>
        <w:rPr>
          <w:rFonts w:cs="Times New Roman"/>
          <w:color w:val="0D0D0D" w:themeColor="text1" w:themeTint="F2"/>
          <w14:textFill>
            <w14:solidFill>
              <w14:schemeClr w14:val="tx1">
                <w14:lumMod w14:val="95000"/>
                <w14:lumOff w14:val="5000"/>
              </w14:schemeClr>
            </w14:solidFill>
          </w14:textFill>
        </w:rPr>
      </w:pPr>
      <w:r>
        <w:rPr>
          <w:rFonts w:cs="Times New Roman"/>
          <w:color w:val="0D0D0D" w:themeColor="text1" w:themeTint="F2"/>
          <w14:textFill>
            <w14:solidFill>
              <w14:schemeClr w14:val="tx1">
                <w14:lumMod w14:val="95000"/>
                <w14:lumOff w14:val="5000"/>
              </w14:schemeClr>
            </w14:solidFill>
          </w14:textFill>
        </w:rPr>
        <w:t>为了解</w:t>
      </w:r>
      <w:r>
        <w:rPr>
          <w:rFonts w:hint="eastAsia" w:cs="Times New Roman"/>
          <w:color w:val="0D0D0D" w:themeColor="text1" w:themeTint="F2"/>
          <w14:textFill>
            <w14:solidFill>
              <w14:schemeClr w14:val="tx1">
                <w14:lumMod w14:val="95000"/>
                <w14:lumOff w14:val="5000"/>
              </w14:schemeClr>
            </w14:solidFill>
          </w14:textFill>
        </w:rPr>
        <w:t>项目</w:t>
      </w:r>
      <w:r>
        <w:rPr>
          <w:rFonts w:cs="Times New Roman"/>
          <w:color w:val="0D0D0D" w:themeColor="text1" w:themeTint="F2"/>
          <w14:textFill>
            <w14:solidFill>
              <w14:schemeClr w14:val="tx1">
                <w14:lumMod w14:val="95000"/>
                <w14:lumOff w14:val="5000"/>
              </w14:schemeClr>
            </w14:solidFill>
          </w14:textFill>
        </w:rPr>
        <w:t>区域声环境质量状况，本次评价委托</w:t>
      </w:r>
      <w:r>
        <w:rPr>
          <w:rFonts w:hint="eastAsia"/>
          <w:color w:val="0D0D0D" w:themeColor="text1" w:themeTint="F2"/>
          <w14:textFill>
            <w14:solidFill>
              <w14:schemeClr w14:val="tx1">
                <w14:lumMod w14:val="95000"/>
                <w14:lumOff w14:val="5000"/>
              </w14:schemeClr>
            </w14:solidFill>
          </w14:textFill>
        </w:rPr>
        <w:t>广西恒沁检测科技有限公司</w:t>
      </w:r>
      <w:r>
        <w:rPr>
          <w:rFonts w:cs="Times New Roman"/>
          <w:color w:val="0D0D0D" w:themeColor="text1" w:themeTint="F2"/>
          <w14:textFill>
            <w14:solidFill>
              <w14:schemeClr w14:val="tx1">
                <w14:lumMod w14:val="95000"/>
                <w14:lumOff w14:val="5000"/>
              </w14:schemeClr>
            </w14:solidFill>
          </w14:textFill>
        </w:rPr>
        <w:t>于</w:t>
      </w:r>
      <w:r>
        <w:rPr>
          <w:rFonts w:hint="eastAsia" w:cs="Times New Roman"/>
          <w:color w:val="0D0D0D" w:themeColor="text1" w:themeTint="F2"/>
          <w14:textFill>
            <w14:solidFill>
              <w14:schemeClr w14:val="tx1">
                <w14:lumMod w14:val="95000"/>
                <w14:lumOff w14:val="5000"/>
              </w14:schemeClr>
            </w14:solidFill>
          </w14:textFill>
        </w:rPr>
        <w:t>2024年11月28日和2024年11月29日</w:t>
      </w:r>
      <w:r>
        <w:rPr>
          <w:rFonts w:cs="Times New Roman"/>
          <w:color w:val="0D0D0D" w:themeColor="text1" w:themeTint="F2"/>
          <w14:textFill>
            <w14:solidFill>
              <w14:schemeClr w14:val="tx1">
                <w14:lumMod w14:val="95000"/>
                <w14:lumOff w14:val="5000"/>
              </w14:schemeClr>
            </w14:solidFill>
          </w14:textFill>
        </w:rPr>
        <w:t>对项目区域声环境质量现状进行监测。</w:t>
      </w:r>
    </w:p>
    <w:p w14:paraId="100DEE0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（1）监测布点</w:t>
      </w:r>
    </w:p>
    <w:p w14:paraId="3D31A879">
      <w:pPr>
        <w:widowControl/>
        <w:ind w:firstLine="48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项目声环境质量现状</w:t>
      </w:r>
      <w:r>
        <w:rPr>
          <w:rFonts w:cs="Times New Roman"/>
          <w:color w:val="0D0D0D" w:themeColor="text1" w:themeTint="F2"/>
          <w14:textFill>
            <w14:solidFill>
              <w14:schemeClr w14:val="tx1">
                <w14:lumMod w14:val="95000"/>
                <w14:lumOff w14:val="5000"/>
              </w14:schemeClr>
            </w14:solidFill>
          </w14:textFill>
        </w:rPr>
        <w:t>监测</w:t>
      </w:r>
      <w:r>
        <w:rPr>
          <w:rFonts w:hint="eastAsia" w:cs="Times New Roman"/>
          <w:color w:val="0D0D0D" w:themeColor="text1" w:themeTint="F2"/>
          <w14:textFill>
            <w14:solidFill>
              <w14:schemeClr w14:val="tx1">
                <w14:lumMod w14:val="95000"/>
                <w14:lumOff w14:val="5000"/>
              </w14:schemeClr>
            </w14:solidFill>
          </w14:textFill>
        </w:rPr>
        <w:t>点位信息详</w:t>
      </w:r>
      <w:r>
        <w:rPr>
          <w:rFonts w:cs="Times New Roman"/>
          <w:color w:val="0D0D0D" w:themeColor="text1" w:themeTint="F2"/>
          <w14:textFill>
            <w14:solidFill>
              <w14:schemeClr w14:val="tx1">
                <w14:lumMod w14:val="95000"/>
                <w14:lumOff w14:val="5000"/>
              </w14:schemeClr>
            </w14:solidFill>
          </w14:textFill>
        </w:rPr>
        <w:t>见表</w:t>
      </w:r>
      <w:r>
        <w:rPr>
          <w:rFonts w:hint="eastAsia" w:cs="Times New Roman"/>
          <w:color w:val="0D0D0D" w:themeColor="text1" w:themeTint="F2"/>
          <w14:textFill>
            <w14:solidFill>
              <w14:schemeClr w14:val="tx1">
                <w14:lumMod w14:val="95000"/>
                <w14:lumOff w14:val="5000"/>
              </w14:schemeClr>
            </w14:solidFill>
          </w14:textFill>
        </w:rPr>
        <w:t>4.2-11</w:t>
      </w:r>
      <w:r>
        <w:rPr>
          <w:rFonts w:cs="Times New Roman"/>
          <w:color w:val="0D0D0D" w:themeColor="text1" w:themeTint="F2"/>
          <w14:textFill>
            <w14:solidFill>
              <w14:schemeClr w14:val="tx1">
                <w14:lumMod w14:val="95000"/>
                <w14:lumOff w14:val="5000"/>
              </w14:schemeClr>
            </w14:solidFill>
          </w14:textFill>
        </w:rPr>
        <w:t>。</w:t>
      </w:r>
    </w:p>
    <w:p w14:paraId="1CFE73DA">
      <w:pPr>
        <w:pStyle w:val="11"/>
      </w:pPr>
      <w:r>
        <w:rPr>
          <w:rFonts w:hint="eastAsia"/>
        </w:rPr>
        <w:t xml:space="preserve"> </w:t>
      </w:r>
      <w:r>
        <w:t>声环境监测</w:t>
      </w:r>
      <w:r>
        <w:rPr>
          <w:rFonts w:hint="eastAsia"/>
        </w:rPr>
        <w:t>点位信息表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3"/>
        <w:gridCol w:w="3761"/>
        <w:gridCol w:w="2908"/>
      </w:tblGrid>
      <w:tr w14:paraId="77BC5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392" w:type="pct"/>
            <w:vAlign w:val="center"/>
          </w:tcPr>
          <w:p w14:paraId="68AF4391">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监测点编号</w:t>
            </w:r>
          </w:p>
        </w:tc>
        <w:tc>
          <w:tcPr>
            <w:tcW w:w="2035" w:type="pct"/>
            <w:vAlign w:val="center"/>
          </w:tcPr>
          <w:p w14:paraId="26BFF58F">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名称</w:t>
            </w:r>
          </w:p>
        </w:tc>
        <w:tc>
          <w:tcPr>
            <w:tcW w:w="1573" w:type="pct"/>
            <w:vAlign w:val="center"/>
          </w:tcPr>
          <w:p w14:paraId="2D3C274C">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距离</w:t>
            </w:r>
          </w:p>
        </w:tc>
      </w:tr>
      <w:tr w14:paraId="38E9B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92" w:type="pct"/>
            <w:vAlign w:val="center"/>
          </w:tcPr>
          <w:p w14:paraId="0FA9F05A">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N1</w:t>
            </w:r>
          </w:p>
        </w:tc>
        <w:tc>
          <w:tcPr>
            <w:tcW w:w="2035" w:type="pct"/>
            <w:vAlign w:val="center"/>
          </w:tcPr>
          <w:p w14:paraId="05766D10">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东面厂界</w:t>
            </w:r>
            <w:r>
              <w:rPr>
                <w:rFonts w:hint="eastAsia"/>
                <w:color w:val="0D0D0D" w:themeColor="text1" w:themeTint="F2"/>
                <w:sz w:val="21"/>
                <w:szCs w:val="21"/>
                <w14:textFill>
                  <w14:solidFill>
                    <w14:schemeClr w14:val="tx1">
                      <w14:lumMod w14:val="95000"/>
                      <w14:lumOff w14:val="5000"/>
                    </w14:schemeClr>
                  </w14:solidFill>
                </w14:textFill>
              </w:rPr>
              <w:t>外1m处</w:t>
            </w:r>
          </w:p>
        </w:tc>
        <w:tc>
          <w:tcPr>
            <w:tcW w:w="1573" w:type="pct"/>
            <w:vAlign w:val="center"/>
          </w:tcPr>
          <w:p w14:paraId="2B42B36A">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厂界外1m处</w:t>
            </w:r>
          </w:p>
        </w:tc>
      </w:tr>
      <w:tr w14:paraId="1B562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92" w:type="pct"/>
            <w:vAlign w:val="center"/>
          </w:tcPr>
          <w:p w14:paraId="78295F55">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N2</w:t>
            </w:r>
          </w:p>
        </w:tc>
        <w:tc>
          <w:tcPr>
            <w:tcW w:w="2035" w:type="pct"/>
            <w:vAlign w:val="center"/>
          </w:tcPr>
          <w:p w14:paraId="663B3A16">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南面厂界</w:t>
            </w:r>
            <w:r>
              <w:rPr>
                <w:rFonts w:hint="eastAsia"/>
                <w:color w:val="0D0D0D" w:themeColor="text1" w:themeTint="F2"/>
                <w:sz w:val="21"/>
                <w:szCs w:val="21"/>
                <w14:textFill>
                  <w14:solidFill>
                    <w14:schemeClr w14:val="tx1">
                      <w14:lumMod w14:val="95000"/>
                      <w14:lumOff w14:val="5000"/>
                    </w14:schemeClr>
                  </w14:solidFill>
                </w14:textFill>
              </w:rPr>
              <w:t>外1m处</w:t>
            </w:r>
          </w:p>
        </w:tc>
        <w:tc>
          <w:tcPr>
            <w:tcW w:w="1573" w:type="pct"/>
            <w:vAlign w:val="center"/>
          </w:tcPr>
          <w:p w14:paraId="093041BA">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厂界外1m处</w:t>
            </w:r>
          </w:p>
        </w:tc>
      </w:tr>
      <w:tr w14:paraId="24809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92" w:type="pct"/>
            <w:vAlign w:val="center"/>
          </w:tcPr>
          <w:p w14:paraId="53223DAE">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N3</w:t>
            </w:r>
          </w:p>
        </w:tc>
        <w:tc>
          <w:tcPr>
            <w:tcW w:w="2035" w:type="pct"/>
            <w:vAlign w:val="center"/>
          </w:tcPr>
          <w:p w14:paraId="63A51586">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西面厂界</w:t>
            </w:r>
            <w:r>
              <w:rPr>
                <w:rFonts w:hint="eastAsia"/>
                <w:color w:val="0D0D0D" w:themeColor="text1" w:themeTint="F2"/>
                <w:sz w:val="21"/>
                <w:szCs w:val="21"/>
                <w14:textFill>
                  <w14:solidFill>
                    <w14:schemeClr w14:val="tx1">
                      <w14:lumMod w14:val="95000"/>
                      <w14:lumOff w14:val="5000"/>
                    </w14:schemeClr>
                  </w14:solidFill>
                </w14:textFill>
              </w:rPr>
              <w:t>外1m处</w:t>
            </w:r>
          </w:p>
        </w:tc>
        <w:tc>
          <w:tcPr>
            <w:tcW w:w="1573" w:type="pct"/>
            <w:vAlign w:val="center"/>
          </w:tcPr>
          <w:p w14:paraId="4F37A34D">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厂界外1m处</w:t>
            </w:r>
          </w:p>
        </w:tc>
      </w:tr>
      <w:tr w14:paraId="7C0C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92" w:type="pct"/>
            <w:vAlign w:val="center"/>
          </w:tcPr>
          <w:p w14:paraId="7341A06F">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N4</w:t>
            </w:r>
          </w:p>
        </w:tc>
        <w:tc>
          <w:tcPr>
            <w:tcW w:w="2035" w:type="pct"/>
            <w:vAlign w:val="center"/>
          </w:tcPr>
          <w:p w14:paraId="37B4A6BB">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北面厂界</w:t>
            </w:r>
            <w:r>
              <w:rPr>
                <w:rFonts w:hint="eastAsia"/>
                <w:color w:val="0D0D0D" w:themeColor="text1" w:themeTint="F2"/>
                <w:sz w:val="21"/>
                <w:szCs w:val="21"/>
                <w14:textFill>
                  <w14:solidFill>
                    <w14:schemeClr w14:val="tx1">
                      <w14:lumMod w14:val="95000"/>
                      <w14:lumOff w14:val="5000"/>
                    </w14:schemeClr>
                  </w14:solidFill>
                </w14:textFill>
              </w:rPr>
              <w:t>外1m处</w:t>
            </w:r>
          </w:p>
        </w:tc>
        <w:tc>
          <w:tcPr>
            <w:tcW w:w="1573" w:type="pct"/>
            <w:vAlign w:val="center"/>
          </w:tcPr>
          <w:p w14:paraId="286D16B2">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厂界外1m处</w:t>
            </w:r>
          </w:p>
        </w:tc>
      </w:tr>
    </w:tbl>
    <w:p w14:paraId="43C0799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（2）监测因子</w:t>
      </w:r>
    </w:p>
    <w:p w14:paraId="43F7DD95">
      <w:pPr>
        <w:ind w:firstLine="480"/>
        <w:rPr>
          <w:rFonts w:cs="Times New Roman"/>
          <w:color w:val="0D0D0D" w:themeColor="text1" w:themeTint="F2"/>
          <w14:textFill>
            <w14:solidFill>
              <w14:schemeClr w14:val="tx1">
                <w14:lumMod w14:val="95000"/>
                <w14:lumOff w14:val="5000"/>
              </w14:schemeClr>
            </w14:solidFill>
          </w14:textFill>
        </w:rPr>
      </w:pPr>
      <w:r>
        <w:rPr>
          <w:rFonts w:cs="Times New Roman"/>
          <w:color w:val="0D0D0D" w:themeColor="text1" w:themeTint="F2"/>
          <w14:textFill>
            <w14:solidFill>
              <w14:schemeClr w14:val="tx1">
                <w14:lumMod w14:val="95000"/>
                <w14:lumOff w14:val="5000"/>
              </w14:schemeClr>
            </w14:solidFill>
          </w14:textFill>
        </w:rPr>
        <w:t>等效连续A声级（LeqA）。</w:t>
      </w:r>
    </w:p>
    <w:p w14:paraId="13C0544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（3）监测时间及频率</w:t>
      </w:r>
    </w:p>
    <w:p w14:paraId="44188C1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监测时间为2024年11月28日和2024年11月29日。</w:t>
      </w:r>
    </w:p>
    <w:p w14:paraId="7FA0A77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监测频次为监测周期为一期，共2天，每一个监测点分昼间和夜间进行监测。测量时段为：昼间6：00～22：00，夜间22：00～次日6：00。</w:t>
      </w:r>
    </w:p>
    <w:p w14:paraId="183D3E7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（4）监测方法</w:t>
      </w:r>
    </w:p>
    <w:p w14:paraId="25F9BC92">
      <w:pPr>
        <w:ind w:firstLine="480"/>
        <w:rPr>
          <w:rFonts w:cs="Times New Roman"/>
          <w:color w:val="0D0D0D" w:themeColor="text1" w:themeTint="F2"/>
          <w14:textFill>
            <w14:solidFill>
              <w14:schemeClr w14:val="tx1">
                <w14:lumMod w14:val="95000"/>
                <w14:lumOff w14:val="5000"/>
              </w14:schemeClr>
            </w14:solidFill>
          </w14:textFill>
        </w:rPr>
      </w:pPr>
      <w:r>
        <w:rPr>
          <w:rFonts w:cs="Times New Roman"/>
          <w:color w:val="0D0D0D" w:themeColor="text1" w:themeTint="F2"/>
          <w14:textFill>
            <w14:solidFill>
              <w14:schemeClr w14:val="tx1">
                <w14:lumMod w14:val="95000"/>
                <w14:lumOff w14:val="5000"/>
              </w14:schemeClr>
            </w14:solidFill>
          </w14:textFill>
        </w:rPr>
        <w:t>按《声环境质量标准》（GB3096-2008）中有关规定进行，选择在无雨、无雷声天气，风速小于5m/s的条件下进行测量，且噪音仪符合监测技术规范要求。</w:t>
      </w:r>
    </w:p>
    <w:p w14:paraId="270DAD8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（5）评价标准</w:t>
      </w:r>
    </w:p>
    <w:p w14:paraId="18FBC72D">
      <w:pPr>
        <w:ind w:firstLine="480" w:firstLineChars="200"/>
        <w:rPr>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《声环境质量标准》（GB3096-2008）3类标准</w:t>
      </w:r>
    </w:p>
    <w:p w14:paraId="5F61E70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（6）监测结果</w:t>
      </w:r>
    </w:p>
    <w:p w14:paraId="0C4FB16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声环境质量现状监测结果详见表4.2-12。</w:t>
      </w:r>
    </w:p>
    <w:p w14:paraId="7B30952D">
      <w:pPr>
        <w:pStyle w:val="11"/>
      </w:pPr>
      <w:r>
        <w:rPr>
          <w:rFonts w:hint="eastAsia"/>
        </w:rPr>
        <w:t xml:space="preserve"> </w:t>
      </w:r>
      <w:r>
        <w:t>噪声环境现状监测结果  单位：dB</w:t>
      </w:r>
      <w:r>
        <w:rPr>
          <w:rFonts w:hint="eastAsia"/>
        </w:rPr>
        <w:t>(</w:t>
      </w:r>
      <w:r>
        <w:t>A</w:t>
      </w:r>
      <w:r>
        <w:rPr>
          <w:rFonts w:hint="eastAsia"/>
        </w:rPr>
        <w:t>)</w:t>
      </w:r>
    </w:p>
    <w:p w14:paraId="7D081A62">
      <w:pPr>
        <w:ind w:firstLine="480" w:firstLineChars="200"/>
        <w:jc w:val="center"/>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（涉密，公示本已删除）</w:t>
      </w:r>
    </w:p>
    <w:p w14:paraId="39509468">
      <w:pPr>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由上表</w:t>
      </w:r>
      <w:r>
        <w:rPr>
          <w:rFonts w:cs="Times New Roman"/>
          <w:color w:val="0D0D0D" w:themeColor="text1" w:themeTint="F2"/>
          <w14:textFill>
            <w14:solidFill>
              <w14:schemeClr w14:val="tx1">
                <w14:lumMod w14:val="95000"/>
                <w14:lumOff w14:val="5000"/>
              </w14:schemeClr>
            </w14:solidFill>
          </w14:textFill>
        </w:rPr>
        <w:t>可知</w:t>
      </w:r>
      <w:r>
        <w:rPr>
          <w:rFonts w:hint="eastAsia" w:cs="Times New Roman"/>
          <w:color w:val="0D0D0D" w:themeColor="text1" w:themeTint="F2"/>
          <w14:textFill>
            <w14:solidFill>
              <w14:schemeClr w14:val="tx1">
                <w14:lumMod w14:val="95000"/>
                <w14:lumOff w14:val="5000"/>
              </w14:schemeClr>
            </w14:solidFill>
          </w14:textFill>
        </w:rPr>
        <w:t>，项目区域声环境可满足《声环境质量标准》（GB3096-2008）3类标准</w:t>
      </w:r>
      <w:r>
        <w:rPr>
          <w:rFonts w:cs="Times New Roman"/>
          <w:color w:val="0D0D0D" w:themeColor="text1" w:themeTint="F2"/>
          <w14:textFill>
            <w14:solidFill>
              <w14:schemeClr w14:val="tx1">
                <w14:lumMod w14:val="95000"/>
                <w14:lumOff w14:val="5000"/>
              </w14:schemeClr>
            </w14:solidFill>
          </w14:textFill>
        </w:rPr>
        <w:t>。</w:t>
      </w:r>
    </w:p>
    <w:p w14:paraId="600FB934">
      <w:pPr>
        <w:pStyle w:val="9"/>
      </w:pPr>
      <w:bookmarkStart w:id="139" w:name="_Toc204062603"/>
      <w:r>
        <w:rPr>
          <w:rFonts w:hint="eastAsia"/>
        </w:rPr>
        <w:t>土壤环境质量现状调查与评价</w:t>
      </w:r>
      <w:bookmarkEnd w:id="139"/>
    </w:p>
    <w:p w14:paraId="6D243AB5">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项目土壤环境评价等级为二级，根据《环境影响评价技术导则  土壤环境（试行）》（HJ964-2018），二级评价项目应在场内设置3个柱状样和1个表层样，在场外设置2个表层样。</w:t>
      </w:r>
    </w:p>
    <w:p w14:paraId="774D921D">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为了解项目区域土壤环境质量状况，本次评价委托广西恒沁检测科技有限公司于2024年11月28日对项目场内3个土壤表层样进行现状监测，于2025年6月5日对项目场内3个土壤柱样进行现状监测，对场外1个土壤表层样进行现状监测，同时引用《台湾见龙钦州高端聚苯乙烯新材料项目检测报告》的</w:t>
      </w:r>
      <w:r>
        <w:rPr>
          <w:color w:val="0D0D0D" w:themeColor="text1" w:themeTint="F2"/>
          <w:u w:val="single"/>
          <w14:textFill>
            <w14:solidFill>
              <w14:schemeClr w14:val="tx1">
                <w14:lumMod w14:val="95000"/>
                <w14:lumOff w14:val="5000"/>
              </w14:schemeClr>
            </w14:solidFill>
          </w14:textFill>
        </w:rPr>
        <w:t>T5</w:t>
      </w:r>
      <w:r>
        <w:rPr>
          <w:rFonts w:hint="eastAsia"/>
          <w:color w:val="0D0D0D" w:themeColor="text1" w:themeTint="F2"/>
          <w:u w:val="single"/>
          <w14:textFill>
            <w14:solidFill>
              <w14:schemeClr w14:val="tx1">
                <w14:lumMod w14:val="95000"/>
                <w14:lumOff w14:val="5000"/>
              </w14:schemeClr>
            </w14:solidFill>
          </w14:textFill>
        </w:rPr>
        <w:t>土壤表层样进行评价。</w:t>
      </w:r>
    </w:p>
    <w:p w14:paraId="6B20D01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（1）监测布点</w:t>
      </w:r>
    </w:p>
    <w:p w14:paraId="7A8D4AF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土壤环境监测布点情况详见表4.2-13。</w:t>
      </w:r>
    </w:p>
    <w:p w14:paraId="6C4C043B">
      <w:pPr>
        <w:pStyle w:val="2"/>
        <w:ind w:firstLine="24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14:paraId="248CEC1D">
      <w:pPr>
        <w:pStyle w:val="11"/>
        <w:sectPr>
          <w:pgSz w:w="11906" w:h="16838"/>
          <w:pgMar w:top="1440" w:right="1440" w:bottom="1440" w:left="1440" w:header="851" w:footer="992" w:gutter="0"/>
          <w:cols w:space="425" w:num="1"/>
          <w:docGrid w:type="lines" w:linePitch="312" w:charSpace="0"/>
        </w:sectPr>
      </w:pPr>
    </w:p>
    <w:p w14:paraId="617BA037">
      <w:pPr>
        <w:pStyle w:val="11"/>
      </w:pPr>
      <w:r>
        <w:rPr>
          <w:rFonts w:hint="eastAsia"/>
        </w:rPr>
        <w:t xml:space="preserve"> 土壤监测点位一览表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338"/>
        <w:gridCol w:w="1296"/>
        <w:gridCol w:w="2591"/>
        <w:gridCol w:w="7096"/>
        <w:gridCol w:w="1179"/>
      </w:tblGrid>
      <w:tr w14:paraId="6B498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 w:type="pct"/>
            <w:vMerge w:val="restart"/>
            <w:vAlign w:val="center"/>
          </w:tcPr>
          <w:p w14:paraId="06656C75">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编号</w:t>
            </w:r>
          </w:p>
        </w:tc>
        <w:tc>
          <w:tcPr>
            <w:tcW w:w="472" w:type="pct"/>
            <w:vMerge w:val="restart"/>
            <w:vAlign w:val="center"/>
          </w:tcPr>
          <w:p w14:paraId="7BFE6FF6">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点位名称</w:t>
            </w:r>
          </w:p>
        </w:tc>
        <w:tc>
          <w:tcPr>
            <w:tcW w:w="457" w:type="pct"/>
            <w:vMerge w:val="restart"/>
            <w:vAlign w:val="center"/>
          </w:tcPr>
          <w:p w14:paraId="6B1A17B1">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位置</w:t>
            </w:r>
          </w:p>
        </w:tc>
        <w:tc>
          <w:tcPr>
            <w:tcW w:w="3417" w:type="pct"/>
            <w:gridSpan w:val="2"/>
            <w:vAlign w:val="center"/>
          </w:tcPr>
          <w:p w14:paraId="630BCDB8">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监测因子</w:t>
            </w:r>
          </w:p>
        </w:tc>
        <w:tc>
          <w:tcPr>
            <w:tcW w:w="416" w:type="pct"/>
            <w:vMerge w:val="restart"/>
            <w:vAlign w:val="center"/>
          </w:tcPr>
          <w:p w14:paraId="56E005C0">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点位性质</w:t>
            </w:r>
          </w:p>
        </w:tc>
      </w:tr>
      <w:tr w14:paraId="13207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 w:type="pct"/>
            <w:vMerge w:val="continue"/>
            <w:vAlign w:val="center"/>
          </w:tcPr>
          <w:p w14:paraId="7E7C1F7A">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472" w:type="pct"/>
            <w:vMerge w:val="continue"/>
            <w:vAlign w:val="center"/>
          </w:tcPr>
          <w:p w14:paraId="7AD086E0">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457" w:type="pct"/>
            <w:vMerge w:val="continue"/>
            <w:vAlign w:val="center"/>
          </w:tcPr>
          <w:p w14:paraId="2CD32D72">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914" w:type="pct"/>
            <w:vAlign w:val="center"/>
          </w:tcPr>
          <w:p w14:paraId="3C8341CF">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土壤理化性质</w:t>
            </w:r>
          </w:p>
        </w:tc>
        <w:tc>
          <w:tcPr>
            <w:tcW w:w="2503" w:type="pct"/>
            <w:vAlign w:val="center"/>
          </w:tcPr>
          <w:p w14:paraId="12808269">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监测因子</w:t>
            </w:r>
          </w:p>
        </w:tc>
        <w:tc>
          <w:tcPr>
            <w:tcW w:w="416" w:type="pct"/>
            <w:vMerge w:val="continue"/>
            <w:vAlign w:val="center"/>
          </w:tcPr>
          <w:p w14:paraId="6717B24F">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r>
      <w:tr w14:paraId="7E69B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 w:type="pct"/>
            <w:vAlign w:val="center"/>
          </w:tcPr>
          <w:p w14:paraId="602C1907">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T1</w:t>
            </w:r>
          </w:p>
        </w:tc>
        <w:tc>
          <w:tcPr>
            <w:tcW w:w="472" w:type="pct"/>
            <w:vAlign w:val="center"/>
          </w:tcPr>
          <w:p w14:paraId="16C91B3B">
            <w:pPr>
              <w:widowControl/>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拟建酯化反应罐区</w:t>
            </w:r>
          </w:p>
        </w:tc>
        <w:tc>
          <w:tcPr>
            <w:tcW w:w="457" w:type="pct"/>
            <w:vMerge w:val="restart"/>
            <w:vAlign w:val="center"/>
          </w:tcPr>
          <w:p w14:paraId="3C26594F">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用地范围内</w:t>
            </w:r>
          </w:p>
        </w:tc>
        <w:tc>
          <w:tcPr>
            <w:tcW w:w="914" w:type="pct"/>
            <w:vAlign w:val="center"/>
          </w:tcPr>
          <w:p w14:paraId="263D125A">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w:t>
            </w:r>
          </w:p>
        </w:tc>
        <w:tc>
          <w:tcPr>
            <w:tcW w:w="2503" w:type="pct"/>
            <w:vAlign w:val="center"/>
          </w:tcPr>
          <w:p w14:paraId="0FF5DAB1">
            <w:pPr>
              <w:widowControl/>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pH值、石油烃、GB36600-2018表1中45项基本监测项目</w:t>
            </w:r>
          </w:p>
        </w:tc>
        <w:tc>
          <w:tcPr>
            <w:tcW w:w="416" w:type="pct"/>
            <w:vAlign w:val="center"/>
          </w:tcPr>
          <w:p w14:paraId="65D38387">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表层样</w:t>
            </w:r>
          </w:p>
        </w:tc>
      </w:tr>
      <w:tr w14:paraId="27F58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 w:type="pct"/>
            <w:vAlign w:val="center"/>
          </w:tcPr>
          <w:p w14:paraId="39103676">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T2</w:t>
            </w:r>
          </w:p>
        </w:tc>
        <w:tc>
          <w:tcPr>
            <w:tcW w:w="472" w:type="pct"/>
            <w:vAlign w:val="center"/>
          </w:tcPr>
          <w:p w14:paraId="3E061EEA">
            <w:pPr>
              <w:widowControl/>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拟建生物柴油罐区</w:t>
            </w:r>
          </w:p>
        </w:tc>
        <w:tc>
          <w:tcPr>
            <w:tcW w:w="457" w:type="pct"/>
            <w:vMerge w:val="continue"/>
            <w:vAlign w:val="center"/>
          </w:tcPr>
          <w:p w14:paraId="0BDCCCE1">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914" w:type="pct"/>
            <w:vAlign w:val="center"/>
          </w:tcPr>
          <w:p w14:paraId="30AC8D5C">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w:t>
            </w:r>
          </w:p>
        </w:tc>
        <w:tc>
          <w:tcPr>
            <w:tcW w:w="2503" w:type="pct"/>
            <w:vAlign w:val="center"/>
          </w:tcPr>
          <w:p w14:paraId="66B7D00C">
            <w:pPr>
              <w:widowControl/>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pH值、砷、镉、六价铬、铜、铅、汞、镍、石油烃类</w:t>
            </w:r>
          </w:p>
        </w:tc>
        <w:tc>
          <w:tcPr>
            <w:tcW w:w="416" w:type="pct"/>
            <w:vAlign w:val="center"/>
          </w:tcPr>
          <w:p w14:paraId="34B53D18">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表层样</w:t>
            </w:r>
          </w:p>
        </w:tc>
      </w:tr>
      <w:tr w14:paraId="3FDA7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 w:type="pct"/>
            <w:vAlign w:val="center"/>
          </w:tcPr>
          <w:p w14:paraId="117ACFDC">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T3</w:t>
            </w:r>
          </w:p>
        </w:tc>
        <w:tc>
          <w:tcPr>
            <w:tcW w:w="472" w:type="pct"/>
            <w:vAlign w:val="center"/>
          </w:tcPr>
          <w:p w14:paraId="2F84F541">
            <w:pPr>
              <w:widowControl/>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拟建污水处理站</w:t>
            </w:r>
          </w:p>
        </w:tc>
        <w:tc>
          <w:tcPr>
            <w:tcW w:w="457" w:type="pct"/>
            <w:vMerge w:val="continue"/>
            <w:vAlign w:val="center"/>
          </w:tcPr>
          <w:p w14:paraId="1AC17949">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914" w:type="pct"/>
            <w:vAlign w:val="center"/>
          </w:tcPr>
          <w:p w14:paraId="0B56A19E">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w:t>
            </w:r>
          </w:p>
        </w:tc>
        <w:tc>
          <w:tcPr>
            <w:tcW w:w="2503" w:type="pct"/>
            <w:vAlign w:val="center"/>
          </w:tcPr>
          <w:p w14:paraId="1582D170">
            <w:pPr>
              <w:widowControl/>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pH值、砷、镉、六价铬、铜、铅、汞、镍、石油烃类</w:t>
            </w:r>
          </w:p>
        </w:tc>
        <w:tc>
          <w:tcPr>
            <w:tcW w:w="416" w:type="pct"/>
            <w:vAlign w:val="center"/>
          </w:tcPr>
          <w:p w14:paraId="56A98184">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表层样</w:t>
            </w:r>
          </w:p>
        </w:tc>
      </w:tr>
      <w:tr w14:paraId="0A4F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 w:type="pct"/>
            <w:vAlign w:val="center"/>
          </w:tcPr>
          <w:p w14:paraId="33643B65">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T4</w:t>
            </w:r>
          </w:p>
        </w:tc>
        <w:tc>
          <w:tcPr>
            <w:tcW w:w="472" w:type="pct"/>
            <w:vAlign w:val="center"/>
          </w:tcPr>
          <w:p w14:paraId="2747568D">
            <w:pPr>
              <w:widowControl/>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生物柴油生产车间</w:t>
            </w:r>
          </w:p>
        </w:tc>
        <w:tc>
          <w:tcPr>
            <w:tcW w:w="457" w:type="pct"/>
            <w:vMerge w:val="continue"/>
            <w:vAlign w:val="center"/>
          </w:tcPr>
          <w:p w14:paraId="76D03649">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914" w:type="pct"/>
            <w:vAlign w:val="center"/>
          </w:tcPr>
          <w:p w14:paraId="2CBF9145">
            <w:pPr>
              <w:widowControl/>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阳离子交换量（cmol/kg）、氧化还原电位（mV）、饱和导水率、土壤容重（g/cm</w:t>
            </w:r>
            <w:r>
              <w:rPr>
                <w:rFonts w:hint="eastAsia" w:cs="Times New Roman"/>
                <w:color w:val="0D0D0D" w:themeColor="text1" w:themeTint="F2"/>
                <w:sz w:val="21"/>
                <w:u w:val="single"/>
                <w:vertAlign w:val="superscript"/>
                <w14:textFill>
                  <w14:solidFill>
                    <w14:schemeClr w14:val="tx1">
                      <w14:lumMod w14:val="95000"/>
                      <w14:lumOff w14:val="5000"/>
                    </w14:schemeClr>
                  </w14:solidFill>
                </w14:textFill>
              </w:rPr>
              <w:t>3</w:t>
            </w:r>
            <w:r>
              <w:rPr>
                <w:rFonts w:hint="eastAsia" w:cs="Times New Roman"/>
                <w:color w:val="0D0D0D" w:themeColor="text1" w:themeTint="F2"/>
                <w:sz w:val="21"/>
                <w:u w:val="single"/>
                <w14:textFill>
                  <w14:solidFill>
                    <w14:schemeClr w14:val="tx1">
                      <w14:lumMod w14:val="95000"/>
                      <w14:lumOff w14:val="5000"/>
                    </w14:schemeClr>
                  </w14:solidFill>
                </w14:textFill>
              </w:rPr>
              <w:t>），孔隙度（%）</w:t>
            </w:r>
          </w:p>
        </w:tc>
        <w:tc>
          <w:tcPr>
            <w:tcW w:w="2503" w:type="pct"/>
            <w:vAlign w:val="center"/>
          </w:tcPr>
          <w:p w14:paraId="4C34DC8E">
            <w:pPr>
              <w:widowControl/>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pH值、砷、镉、六价铬、铜、铅、汞、镍、石油烃类</w:t>
            </w:r>
          </w:p>
        </w:tc>
        <w:tc>
          <w:tcPr>
            <w:tcW w:w="416" w:type="pct"/>
            <w:vAlign w:val="center"/>
          </w:tcPr>
          <w:p w14:paraId="22FE2148">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柱状样</w:t>
            </w:r>
          </w:p>
        </w:tc>
      </w:tr>
      <w:tr w14:paraId="7EB8B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 w:type="pct"/>
            <w:vAlign w:val="center"/>
          </w:tcPr>
          <w:p w14:paraId="01451736">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T5</w:t>
            </w:r>
          </w:p>
        </w:tc>
        <w:tc>
          <w:tcPr>
            <w:tcW w:w="472" w:type="pct"/>
            <w:vAlign w:val="center"/>
          </w:tcPr>
          <w:p w14:paraId="529824E5">
            <w:pPr>
              <w:widowControl/>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废弃油脂和生物柴油储罐区</w:t>
            </w:r>
          </w:p>
        </w:tc>
        <w:tc>
          <w:tcPr>
            <w:tcW w:w="457" w:type="pct"/>
            <w:vMerge w:val="continue"/>
            <w:vAlign w:val="center"/>
          </w:tcPr>
          <w:p w14:paraId="31CC3A76">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914" w:type="pct"/>
            <w:vAlign w:val="center"/>
          </w:tcPr>
          <w:p w14:paraId="02EB9AEF">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w:t>
            </w:r>
          </w:p>
        </w:tc>
        <w:tc>
          <w:tcPr>
            <w:tcW w:w="2503" w:type="pct"/>
            <w:vAlign w:val="center"/>
          </w:tcPr>
          <w:p w14:paraId="23A3830A">
            <w:pPr>
              <w:widowControl/>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pH值、砷、镉、六价铬、铜、铅、汞、镍、石油烃类</w:t>
            </w:r>
          </w:p>
        </w:tc>
        <w:tc>
          <w:tcPr>
            <w:tcW w:w="416" w:type="pct"/>
            <w:vAlign w:val="center"/>
          </w:tcPr>
          <w:p w14:paraId="52E6E3A9">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柱状样</w:t>
            </w:r>
          </w:p>
        </w:tc>
      </w:tr>
      <w:tr w14:paraId="1ECBD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 w:type="pct"/>
            <w:vAlign w:val="center"/>
          </w:tcPr>
          <w:p w14:paraId="7F067ED5">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T6</w:t>
            </w:r>
          </w:p>
        </w:tc>
        <w:tc>
          <w:tcPr>
            <w:tcW w:w="472" w:type="pct"/>
            <w:vAlign w:val="center"/>
          </w:tcPr>
          <w:p w14:paraId="373CB6C1">
            <w:pPr>
              <w:widowControl/>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污水处理站</w:t>
            </w:r>
          </w:p>
        </w:tc>
        <w:tc>
          <w:tcPr>
            <w:tcW w:w="457" w:type="pct"/>
            <w:vMerge w:val="continue"/>
            <w:vAlign w:val="center"/>
          </w:tcPr>
          <w:p w14:paraId="2F3BC9E1">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914" w:type="pct"/>
            <w:vAlign w:val="center"/>
          </w:tcPr>
          <w:p w14:paraId="23BC8652">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w:t>
            </w:r>
          </w:p>
        </w:tc>
        <w:tc>
          <w:tcPr>
            <w:tcW w:w="2503" w:type="pct"/>
            <w:vAlign w:val="center"/>
          </w:tcPr>
          <w:p w14:paraId="1279B981">
            <w:pPr>
              <w:widowControl/>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pH值、砷、镉、六价铬、铜、铅、汞、镍、石油烃类</w:t>
            </w:r>
          </w:p>
        </w:tc>
        <w:tc>
          <w:tcPr>
            <w:tcW w:w="416" w:type="pct"/>
            <w:vAlign w:val="center"/>
          </w:tcPr>
          <w:p w14:paraId="62CE48CD">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柱状样</w:t>
            </w:r>
          </w:p>
        </w:tc>
      </w:tr>
      <w:tr w14:paraId="4F239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 w:type="pct"/>
            <w:vAlign w:val="center"/>
          </w:tcPr>
          <w:p w14:paraId="30EF77E8">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T7</w:t>
            </w:r>
          </w:p>
        </w:tc>
        <w:tc>
          <w:tcPr>
            <w:tcW w:w="472" w:type="pct"/>
            <w:vAlign w:val="center"/>
          </w:tcPr>
          <w:p w14:paraId="6DD7D406">
            <w:pPr>
              <w:widowControl/>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厂区外东侧</w:t>
            </w:r>
          </w:p>
        </w:tc>
        <w:tc>
          <w:tcPr>
            <w:tcW w:w="457" w:type="pct"/>
            <w:vMerge w:val="restart"/>
            <w:vAlign w:val="center"/>
          </w:tcPr>
          <w:p w14:paraId="0BEDD4BB">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用地范围外</w:t>
            </w:r>
          </w:p>
        </w:tc>
        <w:tc>
          <w:tcPr>
            <w:tcW w:w="914" w:type="pct"/>
            <w:vAlign w:val="center"/>
          </w:tcPr>
          <w:p w14:paraId="3E06C8CD">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w:t>
            </w:r>
          </w:p>
        </w:tc>
        <w:tc>
          <w:tcPr>
            <w:tcW w:w="2503" w:type="pct"/>
            <w:vAlign w:val="center"/>
          </w:tcPr>
          <w:p w14:paraId="25522329">
            <w:pPr>
              <w:widowControl/>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pH值、砷、镉、六价铬、铜、铅、汞、镍、石油烃类</w:t>
            </w:r>
          </w:p>
        </w:tc>
        <w:tc>
          <w:tcPr>
            <w:tcW w:w="416" w:type="pct"/>
            <w:vAlign w:val="center"/>
          </w:tcPr>
          <w:p w14:paraId="5B1BA8B2">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表层样</w:t>
            </w:r>
          </w:p>
        </w:tc>
      </w:tr>
      <w:tr w14:paraId="7F61C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 w:type="pct"/>
            <w:vAlign w:val="center"/>
          </w:tcPr>
          <w:p w14:paraId="5BD8CD3A">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T8</w:t>
            </w:r>
          </w:p>
        </w:tc>
        <w:tc>
          <w:tcPr>
            <w:tcW w:w="472" w:type="pct"/>
            <w:vAlign w:val="center"/>
          </w:tcPr>
          <w:p w14:paraId="27460A48">
            <w:pPr>
              <w:widowControl/>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厂区外西侧</w:t>
            </w:r>
          </w:p>
        </w:tc>
        <w:tc>
          <w:tcPr>
            <w:tcW w:w="457" w:type="pct"/>
            <w:vMerge w:val="continue"/>
            <w:vAlign w:val="center"/>
          </w:tcPr>
          <w:p w14:paraId="45052853">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914" w:type="pct"/>
            <w:vAlign w:val="center"/>
          </w:tcPr>
          <w:p w14:paraId="71E8CC85">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w:t>
            </w:r>
          </w:p>
        </w:tc>
        <w:tc>
          <w:tcPr>
            <w:tcW w:w="2503" w:type="pct"/>
            <w:vAlign w:val="center"/>
          </w:tcPr>
          <w:p w14:paraId="0AFAF864">
            <w:pPr>
              <w:widowControl/>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pH值、砷、镉、铜、铅、汞、镍、阳离子交换量、六价铬、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对二甲苯、邻二甲苯、硝基苯、苯胺、2-氯苯酚、苯并[α]蒽、苯并[α]芘、苯并[b]荧蒽、苯并</w:t>
            </w:r>
            <w:r>
              <w:rPr>
                <w:rFonts w:cs="Times New Roman"/>
                <w:color w:val="0D0D0D" w:themeColor="text1" w:themeTint="F2"/>
                <w:sz w:val="21"/>
                <w:u w:val="single"/>
                <w14:textFill>
                  <w14:solidFill>
                    <w14:schemeClr w14:val="tx1">
                      <w14:lumMod w14:val="95000"/>
                      <w14:lumOff w14:val="5000"/>
                    </w14:schemeClr>
                  </w14:solidFill>
                </w14:textFill>
              </w:rPr>
              <w:t>[k]</w:t>
            </w:r>
            <w:r>
              <w:rPr>
                <w:rFonts w:hint="eastAsia" w:cs="Times New Roman"/>
                <w:color w:val="0D0D0D" w:themeColor="text1" w:themeTint="F2"/>
                <w:sz w:val="21"/>
                <w:u w:val="single"/>
                <w14:textFill>
                  <w14:solidFill>
                    <w14:schemeClr w14:val="tx1">
                      <w14:lumMod w14:val="95000"/>
                      <w14:lumOff w14:val="5000"/>
                    </w14:schemeClr>
                  </w14:solidFill>
                </w14:textFill>
              </w:rPr>
              <w:t>荧蒽、䓛、二苯并</w:t>
            </w:r>
            <w:r>
              <w:rPr>
                <w:rFonts w:cs="Times New Roman"/>
                <w:color w:val="0D0D0D" w:themeColor="text1" w:themeTint="F2"/>
                <w:sz w:val="21"/>
                <w:u w:val="single"/>
                <w14:textFill>
                  <w14:solidFill>
                    <w14:schemeClr w14:val="tx1">
                      <w14:lumMod w14:val="95000"/>
                      <w14:lumOff w14:val="5000"/>
                    </w14:schemeClr>
                  </w14:solidFill>
                </w14:textFill>
              </w:rPr>
              <w:t>[a</w:t>
            </w:r>
            <w:r>
              <w:rPr>
                <w:rFonts w:hint="eastAsia" w:cs="Times New Roman"/>
                <w:color w:val="0D0D0D" w:themeColor="text1" w:themeTint="F2"/>
                <w:sz w:val="21"/>
                <w:u w:val="single"/>
                <w14:textFill>
                  <w14:solidFill>
                    <w14:schemeClr w14:val="tx1">
                      <w14:lumMod w14:val="95000"/>
                      <w14:lumOff w14:val="5000"/>
                    </w14:schemeClr>
                  </w14:solidFill>
                </w14:textFill>
              </w:rPr>
              <w:t>、</w:t>
            </w:r>
            <w:r>
              <w:rPr>
                <w:rFonts w:cs="Times New Roman"/>
                <w:color w:val="0D0D0D" w:themeColor="text1" w:themeTint="F2"/>
                <w:sz w:val="21"/>
                <w:u w:val="single"/>
                <w14:textFill>
                  <w14:solidFill>
                    <w14:schemeClr w14:val="tx1">
                      <w14:lumMod w14:val="95000"/>
                      <w14:lumOff w14:val="5000"/>
                    </w14:schemeClr>
                  </w14:solidFill>
                </w14:textFill>
              </w:rPr>
              <w:t>h]</w:t>
            </w:r>
            <w:r>
              <w:rPr>
                <w:rFonts w:hint="eastAsia" w:cs="Times New Roman"/>
                <w:color w:val="0D0D0D" w:themeColor="text1" w:themeTint="F2"/>
                <w:sz w:val="21"/>
                <w:u w:val="single"/>
                <w14:textFill>
                  <w14:solidFill>
                    <w14:schemeClr w14:val="tx1">
                      <w14:lumMod w14:val="95000"/>
                      <w14:lumOff w14:val="5000"/>
                    </w14:schemeClr>
                  </w14:solidFill>
                </w14:textFill>
              </w:rPr>
              <w:t>蒽、苯并[1,2,3-cd]芘、萘、石油烃（C</w:t>
            </w:r>
            <w:r>
              <w:rPr>
                <w:rFonts w:hint="eastAsia" w:cs="Times New Roman"/>
                <w:color w:val="0D0D0D" w:themeColor="text1" w:themeTint="F2"/>
                <w:sz w:val="21"/>
                <w:u w:val="single"/>
                <w:vertAlign w:val="subscript"/>
                <w14:textFill>
                  <w14:solidFill>
                    <w14:schemeClr w14:val="tx1">
                      <w14:lumMod w14:val="95000"/>
                      <w14:lumOff w14:val="5000"/>
                    </w14:schemeClr>
                  </w14:solidFill>
                </w14:textFill>
              </w:rPr>
              <w:t>10</w:t>
            </w:r>
            <w:r>
              <w:rPr>
                <w:rFonts w:hint="eastAsia" w:cs="Times New Roman"/>
                <w:color w:val="0D0D0D" w:themeColor="text1" w:themeTint="F2"/>
                <w:sz w:val="21"/>
                <w:u w:val="single"/>
                <w14:textFill>
                  <w14:solidFill>
                    <w14:schemeClr w14:val="tx1">
                      <w14:lumMod w14:val="95000"/>
                      <w14:lumOff w14:val="5000"/>
                    </w14:schemeClr>
                  </w14:solidFill>
                </w14:textFill>
              </w:rPr>
              <w:t>-C</w:t>
            </w:r>
            <w:r>
              <w:rPr>
                <w:rFonts w:hint="eastAsia" w:cs="Times New Roman"/>
                <w:color w:val="0D0D0D" w:themeColor="text1" w:themeTint="F2"/>
                <w:sz w:val="21"/>
                <w:u w:val="single"/>
                <w:vertAlign w:val="subscript"/>
                <w14:textFill>
                  <w14:solidFill>
                    <w14:schemeClr w14:val="tx1">
                      <w14:lumMod w14:val="95000"/>
                      <w14:lumOff w14:val="5000"/>
                    </w14:schemeClr>
                  </w14:solidFill>
                </w14:textFill>
              </w:rPr>
              <w:t>40</w:t>
            </w:r>
            <w:r>
              <w:rPr>
                <w:rFonts w:hint="eastAsia" w:cs="Times New Roman"/>
                <w:color w:val="0D0D0D" w:themeColor="text1" w:themeTint="F2"/>
                <w:sz w:val="21"/>
                <w:u w:val="single"/>
                <w14:textFill>
                  <w14:solidFill>
                    <w14:schemeClr w14:val="tx1">
                      <w14:lumMod w14:val="95000"/>
                      <w14:lumOff w14:val="5000"/>
                    </w14:schemeClr>
                  </w14:solidFill>
                </w14:textFill>
              </w:rPr>
              <w:t>）</w:t>
            </w:r>
          </w:p>
        </w:tc>
        <w:tc>
          <w:tcPr>
            <w:tcW w:w="416" w:type="pct"/>
            <w:vAlign w:val="center"/>
          </w:tcPr>
          <w:p w14:paraId="5917C15C">
            <w:pPr>
              <w:widowControl/>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表层样</w:t>
            </w:r>
          </w:p>
        </w:tc>
      </w:tr>
      <w:tr w14:paraId="5F57C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6"/>
            <w:vAlign w:val="center"/>
          </w:tcPr>
          <w:p w14:paraId="268F37AE">
            <w:pPr>
              <w:widowControl/>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注：T8厂区外西侧监测点对应《台湾见龙钦州高端聚苯乙烯新材料项目检测报告》的T5场地外北面</w:t>
            </w:r>
            <w:r>
              <w:rPr>
                <w:rFonts w:cs="Times New Roman"/>
                <w:color w:val="0D0D0D" w:themeColor="text1" w:themeTint="F2"/>
                <w:sz w:val="21"/>
                <w:u w:val="single"/>
                <w14:textFill>
                  <w14:solidFill>
                    <w14:schemeClr w14:val="tx1">
                      <w14:lumMod w14:val="95000"/>
                      <w14:lumOff w14:val="5000"/>
                    </w14:schemeClr>
                  </w14:solidFill>
                </w14:textFill>
              </w:rPr>
              <w:t>100m</w:t>
            </w:r>
            <w:r>
              <w:rPr>
                <w:rFonts w:hint="eastAsia" w:cs="Times New Roman"/>
                <w:color w:val="0D0D0D" w:themeColor="text1" w:themeTint="F2"/>
                <w:sz w:val="21"/>
                <w:u w:val="single"/>
                <w14:textFill>
                  <w14:solidFill>
                    <w14:schemeClr w14:val="tx1">
                      <w14:lumMod w14:val="95000"/>
                      <w14:lumOff w14:val="5000"/>
                    </w14:schemeClr>
                  </w14:solidFill>
                </w14:textFill>
              </w:rPr>
              <w:t>。</w:t>
            </w:r>
          </w:p>
        </w:tc>
      </w:tr>
    </w:tbl>
    <w:p w14:paraId="0BA82C00">
      <w:pPr>
        <w:ind w:firstLine="480" w:firstLineChars="200"/>
        <w:rPr>
          <w:color w:val="0D0D0D" w:themeColor="text1" w:themeTint="F2"/>
          <w14:textFill>
            <w14:solidFill>
              <w14:schemeClr w14:val="tx1">
                <w14:lumMod w14:val="95000"/>
                <w14:lumOff w14:val="5000"/>
              </w14:schemeClr>
            </w14:solidFill>
          </w14:textFill>
        </w:rPr>
        <w:sectPr>
          <w:pgSz w:w="16838" w:h="11906" w:orient="landscape"/>
          <w:pgMar w:top="1440" w:right="1440" w:bottom="1440" w:left="1440" w:header="851" w:footer="992" w:gutter="0"/>
          <w:cols w:space="425" w:num="1"/>
          <w:docGrid w:type="linesAndChars" w:linePitch="312" w:charSpace="0"/>
        </w:sectPr>
      </w:pPr>
    </w:p>
    <w:p w14:paraId="4702305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（2）监测时间及监测频率</w:t>
      </w:r>
    </w:p>
    <w:p w14:paraId="2CFF86E0">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T1~T3监测时间为2024年11月28日，监测1天，监测1次；</w:t>
      </w:r>
    </w:p>
    <w:p w14:paraId="4EC4B9CE">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T4~T7监测时间为2025年6月5日，监测1天，监测1次</w:t>
      </w:r>
    </w:p>
    <w:p w14:paraId="2D01009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T8监测时间为2025年2月17日，监测1天，监测1次。</w:t>
      </w:r>
    </w:p>
    <w:p w14:paraId="0418AF4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（3）监测因子</w:t>
      </w:r>
    </w:p>
    <w:p w14:paraId="48E0AF8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详见表4.2-13。</w:t>
      </w:r>
    </w:p>
    <w:p w14:paraId="651E210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（4）监测分析方法及检出限</w:t>
      </w:r>
    </w:p>
    <w:p w14:paraId="37D92C6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监测分析方法及检出限详见表4.2-14。</w:t>
      </w:r>
    </w:p>
    <w:p w14:paraId="592A0E55">
      <w:pPr>
        <w:pStyle w:val="11"/>
      </w:pPr>
      <w:r>
        <w:rPr>
          <w:rFonts w:hint="eastAsia"/>
        </w:rPr>
        <w:t xml:space="preserve"> 监测和分析方法一览表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3"/>
        <w:gridCol w:w="1963"/>
        <w:gridCol w:w="5440"/>
        <w:gridCol w:w="1296"/>
      </w:tblGrid>
      <w:tr w14:paraId="51959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94" w:type="pct"/>
            <w:vAlign w:val="center"/>
          </w:tcPr>
          <w:p w14:paraId="2FD71F36">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序号</w:t>
            </w:r>
          </w:p>
        </w:tc>
        <w:tc>
          <w:tcPr>
            <w:tcW w:w="1062" w:type="pct"/>
            <w:vAlign w:val="center"/>
          </w:tcPr>
          <w:p w14:paraId="6AD52C5D">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监测项目</w:t>
            </w:r>
          </w:p>
        </w:tc>
        <w:tc>
          <w:tcPr>
            <w:tcW w:w="2943" w:type="pct"/>
            <w:vAlign w:val="center"/>
          </w:tcPr>
          <w:p w14:paraId="0F13CC25">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方法来源</w:t>
            </w:r>
          </w:p>
        </w:tc>
        <w:tc>
          <w:tcPr>
            <w:tcW w:w="701" w:type="pct"/>
            <w:vAlign w:val="center"/>
          </w:tcPr>
          <w:p w14:paraId="058B71B3">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检出限</w:t>
            </w:r>
          </w:p>
        </w:tc>
      </w:tr>
      <w:tr w14:paraId="19090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72512D25">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2F3DD7D5">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pH值</w:t>
            </w:r>
          </w:p>
        </w:tc>
        <w:tc>
          <w:tcPr>
            <w:tcW w:w="2943" w:type="pct"/>
            <w:vAlign w:val="center"/>
          </w:tcPr>
          <w:p w14:paraId="728DD5BA">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《土壤 pH 值的测定 电位法》（HJ 962-2018）</w:t>
            </w:r>
          </w:p>
        </w:tc>
        <w:tc>
          <w:tcPr>
            <w:tcW w:w="701" w:type="pct"/>
            <w:vAlign w:val="center"/>
          </w:tcPr>
          <w:p w14:paraId="464D281F">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w:t>
            </w:r>
          </w:p>
        </w:tc>
      </w:tr>
      <w:tr w14:paraId="1FFE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0A90400D">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5AF5F08A">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汞</w:t>
            </w:r>
          </w:p>
        </w:tc>
        <w:tc>
          <w:tcPr>
            <w:tcW w:w="2943" w:type="pct"/>
            <w:vAlign w:val="center"/>
          </w:tcPr>
          <w:p w14:paraId="2819B25B">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《土壤质量 总汞、总砷、总铅的测定 原子荧光法 第一部分 土壤中总汞的测定》（GB/T22105.1-2008）</w:t>
            </w:r>
          </w:p>
        </w:tc>
        <w:tc>
          <w:tcPr>
            <w:tcW w:w="701" w:type="pct"/>
            <w:vAlign w:val="center"/>
          </w:tcPr>
          <w:p w14:paraId="7CDC06D3">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0.002mg/kg</w:t>
            </w:r>
          </w:p>
        </w:tc>
      </w:tr>
      <w:tr w14:paraId="00FC2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0D47DC69">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18DF570D">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砷</w:t>
            </w:r>
          </w:p>
        </w:tc>
        <w:tc>
          <w:tcPr>
            <w:tcW w:w="2943" w:type="pct"/>
            <w:vAlign w:val="center"/>
          </w:tcPr>
          <w:p w14:paraId="4B1B5C52">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《土壤质量 总砷的测定 二乙基二硫代氨基甲酸银分光光度法》（GB/17134-1997）</w:t>
            </w:r>
          </w:p>
        </w:tc>
        <w:tc>
          <w:tcPr>
            <w:tcW w:w="701" w:type="pct"/>
            <w:vAlign w:val="center"/>
          </w:tcPr>
          <w:p w14:paraId="73B1A461">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0.5mg/kg</w:t>
            </w:r>
          </w:p>
        </w:tc>
      </w:tr>
      <w:tr w14:paraId="43ABE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6397C312">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502379C8">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镉</w:t>
            </w:r>
          </w:p>
        </w:tc>
        <w:tc>
          <w:tcPr>
            <w:tcW w:w="2943" w:type="pct"/>
            <w:vAlign w:val="center"/>
          </w:tcPr>
          <w:p w14:paraId="7C03D6B4">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《土壤质量 铅、镉的测定石墨炉原子吸收分光光度法》（GB/T17141-1997）</w:t>
            </w:r>
          </w:p>
        </w:tc>
        <w:tc>
          <w:tcPr>
            <w:tcW w:w="701" w:type="pct"/>
            <w:vAlign w:val="center"/>
          </w:tcPr>
          <w:p w14:paraId="3A50AA8E">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0.01mg/kg</w:t>
            </w:r>
          </w:p>
        </w:tc>
      </w:tr>
      <w:tr w14:paraId="15241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354ED21D">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2BDF782E">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铬</w:t>
            </w:r>
          </w:p>
        </w:tc>
        <w:tc>
          <w:tcPr>
            <w:tcW w:w="2943" w:type="pct"/>
            <w:vAlign w:val="center"/>
          </w:tcPr>
          <w:p w14:paraId="371247CA">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《土壤和沉积物 铜、锌、铅、镍、铬的测定 火焰原子吸收分光光度法》（HJ491-2019）</w:t>
            </w:r>
          </w:p>
        </w:tc>
        <w:tc>
          <w:tcPr>
            <w:tcW w:w="701" w:type="pct"/>
            <w:vAlign w:val="center"/>
          </w:tcPr>
          <w:p w14:paraId="5358EA5F">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4mg/kg</w:t>
            </w:r>
          </w:p>
        </w:tc>
      </w:tr>
      <w:tr w14:paraId="1F96B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25A45C69">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2D79F71F">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铜</w:t>
            </w:r>
          </w:p>
        </w:tc>
        <w:tc>
          <w:tcPr>
            <w:tcW w:w="2943" w:type="pct"/>
            <w:vMerge w:val="restart"/>
            <w:vAlign w:val="center"/>
          </w:tcPr>
          <w:p w14:paraId="3B0A24F9">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《土壤和沉积物 铜、锌、铅、镍、铬的测定 火焰原子吸收分光光度法》（HJ491-2019）</w:t>
            </w:r>
          </w:p>
        </w:tc>
        <w:tc>
          <w:tcPr>
            <w:tcW w:w="701" w:type="pct"/>
            <w:vAlign w:val="center"/>
          </w:tcPr>
          <w:p w14:paraId="0F392D97">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1mg/kg</w:t>
            </w:r>
          </w:p>
        </w:tc>
      </w:tr>
      <w:tr w14:paraId="5D61C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36806BFE">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77BBBCAC">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铅</w:t>
            </w:r>
          </w:p>
        </w:tc>
        <w:tc>
          <w:tcPr>
            <w:tcW w:w="2943" w:type="pct"/>
            <w:vMerge w:val="continue"/>
            <w:vAlign w:val="center"/>
          </w:tcPr>
          <w:p w14:paraId="784204AC">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17BA33CC">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10mg/kg</w:t>
            </w:r>
          </w:p>
        </w:tc>
      </w:tr>
      <w:tr w14:paraId="1712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0C6562FF">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28937847">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镍</w:t>
            </w:r>
          </w:p>
        </w:tc>
        <w:tc>
          <w:tcPr>
            <w:tcW w:w="2943" w:type="pct"/>
            <w:vMerge w:val="continue"/>
            <w:vAlign w:val="center"/>
          </w:tcPr>
          <w:p w14:paraId="3C79F2A4">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2D5E55EC">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3mg/kg</w:t>
            </w:r>
          </w:p>
        </w:tc>
      </w:tr>
      <w:tr w14:paraId="52087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4DC5E912">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3C8B44A3">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六价铬</w:t>
            </w:r>
          </w:p>
        </w:tc>
        <w:tc>
          <w:tcPr>
            <w:tcW w:w="2943" w:type="pct"/>
            <w:vAlign w:val="center"/>
          </w:tcPr>
          <w:p w14:paraId="45D4E6AC">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《土壤和沉积物 六价铬的测定 碱溶液提取-火焰原子吸收分光光度法》（HJ1082-2019）</w:t>
            </w:r>
          </w:p>
        </w:tc>
        <w:tc>
          <w:tcPr>
            <w:tcW w:w="701" w:type="pct"/>
            <w:vAlign w:val="center"/>
          </w:tcPr>
          <w:p w14:paraId="13A23CF0">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0.5mg/kg</w:t>
            </w:r>
          </w:p>
        </w:tc>
      </w:tr>
      <w:tr w14:paraId="523A7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2AEDDBB9">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021312C4">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四氯化碳</w:t>
            </w:r>
          </w:p>
        </w:tc>
        <w:tc>
          <w:tcPr>
            <w:tcW w:w="2943" w:type="pct"/>
            <w:vMerge w:val="restart"/>
            <w:vAlign w:val="center"/>
          </w:tcPr>
          <w:p w14:paraId="30C3926A">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《土壤和沉积物 挥发性有机物的测定 吹扫捕集/气相色谱-质谱法》（HJ605-2011）</w:t>
            </w:r>
          </w:p>
        </w:tc>
        <w:tc>
          <w:tcPr>
            <w:tcW w:w="701" w:type="pct"/>
            <w:vAlign w:val="center"/>
          </w:tcPr>
          <w:p w14:paraId="59D4C29A">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1.3μg/kg</w:t>
            </w:r>
          </w:p>
        </w:tc>
      </w:tr>
      <w:tr w14:paraId="13946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276CC785">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132EF5A3">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氯仿</w:t>
            </w:r>
          </w:p>
        </w:tc>
        <w:tc>
          <w:tcPr>
            <w:tcW w:w="2943" w:type="pct"/>
            <w:vMerge w:val="continue"/>
            <w:vAlign w:val="center"/>
          </w:tcPr>
          <w:p w14:paraId="0B922A29">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0168265D">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1.1μg/kg</w:t>
            </w:r>
          </w:p>
        </w:tc>
      </w:tr>
      <w:tr w14:paraId="3BE2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3FEC92F9">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71CF2366">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氯甲烷</w:t>
            </w:r>
          </w:p>
        </w:tc>
        <w:tc>
          <w:tcPr>
            <w:tcW w:w="2943" w:type="pct"/>
            <w:vMerge w:val="continue"/>
            <w:vAlign w:val="center"/>
          </w:tcPr>
          <w:p w14:paraId="328DE668">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08CD026B">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1.0μg/kg</w:t>
            </w:r>
          </w:p>
        </w:tc>
      </w:tr>
      <w:tr w14:paraId="52B6E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7C418AB6">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797374AE">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1,1-二氯乙烷</w:t>
            </w:r>
          </w:p>
        </w:tc>
        <w:tc>
          <w:tcPr>
            <w:tcW w:w="2943" w:type="pct"/>
            <w:vMerge w:val="continue"/>
            <w:vAlign w:val="center"/>
          </w:tcPr>
          <w:p w14:paraId="5D502E1F">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68063F4A">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1.2μg/kg</w:t>
            </w:r>
          </w:p>
        </w:tc>
      </w:tr>
      <w:tr w14:paraId="111E4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4DB6B16B">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74C130AE">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1,2-二氯乙烷</w:t>
            </w:r>
          </w:p>
        </w:tc>
        <w:tc>
          <w:tcPr>
            <w:tcW w:w="2943" w:type="pct"/>
            <w:vMerge w:val="continue"/>
            <w:vAlign w:val="center"/>
          </w:tcPr>
          <w:p w14:paraId="3275891C">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6219C16D">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1.3μg/kg</w:t>
            </w:r>
          </w:p>
        </w:tc>
      </w:tr>
      <w:tr w14:paraId="33DDC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526FD5F8">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27707E7C">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1,1-二氯乙烯</w:t>
            </w:r>
          </w:p>
        </w:tc>
        <w:tc>
          <w:tcPr>
            <w:tcW w:w="2943" w:type="pct"/>
            <w:vMerge w:val="continue"/>
            <w:vAlign w:val="center"/>
          </w:tcPr>
          <w:p w14:paraId="21B12A66">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24B44C3F">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1.0μg/kg</w:t>
            </w:r>
          </w:p>
        </w:tc>
      </w:tr>
      <w:tr w14:paraId="0CB8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5D51BFA5">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2432095D">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顺-1,2-二氯乙烯</w:t>
            </w:r>
          </w:p>
        </w:tc>
        <w:tc>
          <w:tcPr>
            <w:tcW w:w="2943" w:type="pct"/>
            <w:vMerge w:val="continue"/>
            <w:vAlign w:val="center"/>
          </w:tcPr>
          <w:p w14:paraId="2E9E0842">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7FAF8CC9">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1.3μg/kg</w:t>
            </w:r>
          </w:p>
        </w:tc>
      </w:tr>
      <w:tr w14:paraId="77365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3039E37E">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37D91CF6">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反-1,2-二氯乙烯</w:t>
            </w:r>
          </w:p>
        </w:tc>
        <w:tc>
          <w:tcPr>
            <w:tcW w:w="2943" w:type="pct"/>
            <w:vMerge w:val="continue"/>
            <w:vAlign w:val="center"/>
          </w:tcPr>
          <w:p w14:paraId="1F38C816">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6060A8BD">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1.4μg/kg</w:t>
            </w:r>
          </w:p>
        </w:tc>
      </w:tr>
      <w:tr w14:paraId="5FECA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7A90AA3B">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1ADF948B">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二氯甲烷</w:t>
            </w:r>
          </w:p>
        </w:tc>
        <w:tc>
          <w:tcPr>
            <w:tcW w:w="2943" w:type="pct"/>
            <w:vMerge w:val="continue"/>
            <w:vAlign w:val="center"/>
          </w:tcPr>
          <w:p w14:paraId="0E525CC2">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08BD442A">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1.5μg/kg</w:t>
            </w:r>
          </w:p>
        </w:tc>
      </w:tr>
      <w:tr w14:paraId="77598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16246CE3">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0E71F6A4">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1,2-二氯丙烷</w:t>
            </w:r>
          </w:p>
        </w:tc>
        <w:tc>
          <w:tcPr>
            <w:tcW w:w="2943" w:type="pct"/>
            <w:vMerge w:val="continue"/>
            <w:vAlign w:val="center"/>
          </w:tcPr>
          <w:p w14:paraId="450FB191">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061BE62A">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1.1μg/kg</w:t>
            </w:r>
          </w:p>
        </w:tc>
      </w:tr>
      <w:tr w14:paraId="17AE2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41C0B6BC">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192F2FD4">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1,1,1,2-四氯乙烷</w:t>
            </w:r>
          </w:p>
        </w:tc>
        <w:tc>
          <w:tcPr>
            <w:tcW w:w="2943" w:type="pct"/>
            <w:vMerge w:val="continue"/>
            <w:vAlign w:val="center"/>
          </w:tcPr>
          <w:p w14:paraId="424A9036">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418B4A4C">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1.2μg/kg</w:t>
            </w:r>
          </w:p>
        </w:tc>
      </w:tr>
      <w:tr w14:paraId="30F5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0F3E21D7">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5DA4E2CF">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1,1,2,2-四氯乙烷</w:t>
            </w:r>
          </w:p>
        </w:tc>
        <w:tc>
          <w:tcPr>
            <w:tcW w:w="2943" w:type="pct"/>
            <w:vMerge w:val="continue"/>
            <w:vAlign w:val="center"/>
          </w:tcPr>
          <w:p w14:paraId="199E17C3">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61025148">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1.2μg/kg</w:t>
            </w:r>
          </w:p>
        </w:tc>
      </w:tr>
      <w:tr w14:paraId="09DA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44495BEE">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4D589326">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四氯乙烯</w:t>
            </w:r>
          </w:p>
        </w:tc>
        <w:tc>
          <w:tcPr>
            <w:tcW w:w="2943" w:type="pct"/>
            <w:vMerge w:val="continue"/>
            <w:vAlign w:val="center"/>
          </w:tcPr>
          <w:p w14:paraId="5A1202E7">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0006398E">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1.4μg/kg</w:t>
            </w:r>
          </w:p>
        </w:tc>
      </w:tr>
      <w:tr w14:paraId="04961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23C6DCD4">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1F126723">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1,1,1-三氯乙烷</w:t>
            </w:r>
          </w:p>
        </w:tc>
        <w:tc>
          <w:tcPr>
            <w:tcW w:w="2943" w:type="pct"/>
            <w:vMerge w:val="continue"/>
            <w:vAlign w:val="center"/>
          </w:tcPr>
          <w:p w14:paraId="200B5ADF">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6EA9D67B">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1.3μg/kg</w:t>
            </w:r>
          </w:p>
        </w:tc>
      </w:tr>
      <w:tr w14:paraId="647CA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0C599F6D">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6545C601">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1,1,2-三氯乙烷</w:t>
            </w:r>
          </w:p>
        </w:tc>
        <w:tc>
          <w:tcPr>
            <w:tcW w:w="2943" w:type="pct"/>
            <w:vMerge w:val="continue"/>
            <w:vAlign w:val="center"/>
          </w:tcPr>
          <w:p w14:paraId="40C9F10D">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1E314DA7">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1.2μg/kg</w:t>
            </w:r>
          </w:p>
        </w:tc>
      </w:tr>
      <w:tr w14:paraId="0D567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1E676A53">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0066AB2D">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三氯乙烯</w:t>
            </w:r>
          </w:p>
        </w:tc>
        <w:tc>
          <w:tcPr>
            <w:tcW w:w="2943" w:type="pct"/>
            <w:vMerge w:val="continue"/>
            <w:vAlign w:val="center"/>
          </w:tcPr>
          <w:p w14:paraId="7DC19996">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072E1133">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1.2μg/kg</w:t>
            </w:r>
          </w:p>
        </w:tc>
      </w:tr>
      <w:tr w14:paraId="7E44A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4A0E567C">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2318B308">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1,2,3-三氯丙烷</w:t>
            </w:r>
          </w:p>
        </w:tc>
        <w:tc>
          <w:tcPr>
            <w:tcW w:w="2943" w:type="pct"/>
            <w:vMerge w:val="continue"/>
            <w:vAlign w:val="center"/>
          </w:tcPr>
          <w:p w14:paraId="05990789">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5AC2CD23">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1.2μg/kg</w:t>
            </w:r>
          </w:p>
        </w:tc>
      </w:tr>
      <w:tr w14:paraId="3B67F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2A6DC548">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5036258F">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氯乙烯</w:t>
            </w:r>
          </w:p>
        </w:tc>
        <w:tc>
          <w:tcPr>
            <w:tcW w:w="2943" w:type="pct"/>
            <w:vMerge w:val="continue"/>
            <w:vAlign w:val="center"/>
          </w:tcPr>
          <w:p w14:paraId="484BC6F3">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1E1C369D">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1.0μg/kg</w:t>
            </w:r>
          </w:p>
        </w:tc>
      </w:tr>
      <w:tr w14:paraId="4FC2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1DDADDDF">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707E7259">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苯</w:t>
            </w:r>
          </w:p>
        </w:tc>
        <w:tc>
          <w:tcPr>
            <w:tcW w:w="2943" w:type="pct"/>
            <w:vMerge w:val="continue"/>
            <w:vAlign w:val="center"/>
          </w:tcPr>
          <w:p w14:paraId="3DF5C555">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18A0113E">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1.9μg/kg</w:t>
            </w:r>
          </w:p>
        </w:tc>
      </w:tr>
      <w:tr w14:paraId="3A061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68AA7D24">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6F8FC55D">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氯苯</w:t>
            </w:r>
          </w:p>
        </w:tc>
        <w:tc>
          <w:tcPr>
            <w:tcW w:w="2943" w:type="pct"/>
            <w:vMerge w:val="continue"/>
            <w:vAlign w:val="center"/>
          </w:tcPr>
          <w:p w14:paraId="79936137">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2605727E">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1.2μg/kg</w:t>
            </w:r>
          </w:p>
        </w:tc>
      </w:tr>
      <w:tr w14:paraId="4CDC7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173FDC55">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07F46DE4">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1,2-二氯苯</w:t>
            </w:r>
          </w:p>
        </w:tc>
        <w:tc>
          <w:tcPr>
            <w:tcW w:w="2943" w:type="pct"/>
            <w:vMerge w:val="continue"/>
            <w:vAlign w:val="center"/>
          </w:tcPr>
          <w:p w14:paraId="47288278">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782209BC">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1.5μg/kg</w:t>
            </w:r>
          </w:p>
        </w:tc>
      </w:tr>
      <w:tr w14:paraId="0F745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3FE12E7C">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3CC1311A">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1,4-二氯苯</w:t>
            </w:r>
          </w:p>
        </w:tc>
        <w:tc>
          <w:tcPr>
            <w:tcW w:w="2943" w:type="pct"/>
            <w:vMerge w:val="continue"/>
            <w:vAlign w:val="center"/>
          </w:tcPr>
          <w:p w14:paraId="5A85750E">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4CE88648">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1.5μg/kg</w:t>
            </w:r>
          </w:p>
        </w:tc>
      </w:tr>
      <w:tr w14:paraId="5BFA3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7E23E22A">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41A868E8">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乙苯</w:t>
            </w:r>
          </w:p>
        </w:tc>
        <w:tc>
          <w:tcPr>
            <w:tcW w:w="2943" w:type="pct"/>
            <w:vMerge w:val="continue"/>
            <w:vAlign w:val="center"/>
          </w:tcPr>
          <w:p w14:paraId="74CD6BA9">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07A83B5E">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1.2μg/kg</w:t>
            </w:r>
          </w:p>
        </w:tc>
      </w:tr>
      <w:tr w14:paraId="0A551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2994A136">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45F96850">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苯乙烯</w:t>
            </w:r>
          </w:p>
        </w:tc>
        <w:tc>
          <w:tcPr>
            <w:tcW w:w="2943" w:type="pct"/>
            <w:vMerge w:val="continue"/>
            <w:vAlign w:val="center"/>
          </w:tcPr>
          <w:p w14:paraId="0C239AC9">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4CF5BCB4">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1.1μg/kg</w:t>
            </w:r>
          </w:p>
        </w:tc>
      </w:tr>
      <w:tr w14:paraId="2907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7E0392F5">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6A29B4FE">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甲苯</w:t>
            </w:r>
          </w:p>
        </w:tc>
        <w:tc>
          <w:tcPr>
            <w:tcW w:w="2943" w:type="pct"/>
            <w:vMerge w:val="continue"/>
            <w:vAlign w:val="center"/>
          </w:tcPr>
          <w:p w14:paraId="5D115501">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7CF6F44E">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1.3μg/kg</w:t>
            </w:r>
          </w:p>
        </w:tc>
      </w:tr>
      <w:tr w14:paraId="073C6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19DE3CE6">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7DD30530">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间,对二甲苯</w:t>
            </w:r>
          </w:p>
        </w:tc>
        <w:tc>
          <w:tcPr>
            <w:tcW w:w="2943" w:type="pct"/>
            <w:vMerge w:val="continue"/>
            <w:vAlign w:val="center"/>
          </w:tcPr>
          <w:p w14:paraId="237B0723">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41CD9791">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1.2μg/kg</w:t>
            </w:r>
          </w:p>
        </w:tc>
      </w:tr>
      <w:tr w14:paraId="61994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32F99EDC">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2D503CEF">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邻二甲苯</w:t>
            </w:r>
          </w:p>
        </w:tc>
        <w:tc>
          <w:tcPr>
            <w:tcW w:w="2943" w:type="pct"/>
            <w:vMerge w:val="continue"/>
            <w:vAlign w:val="center"/>
          </w:tcPr>
          <w:p w14:paraId="7A3E5C96">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4572D66F">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1.2μg/kg</w:t>
            </w:r>
          </w:p>
        </w:tc>
      </w:tr>
      <w:tr w14:paraId="3E2BE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50811619">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0339A4DD">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硝基苯</w:t>
            </w:r>
          </w:p>
        </w:tc>
        <w:tc>
          <w:tcPr>
            <w:tcW w:w="2943" w:type="pct"/>
            <w:vMerge w:val="restart"/>
            <w:vAlign w:val="center"/>
          </w:tcPr>
          <w:p w14:paraId="5576555A">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《土壤和沉积物 半挥发性有机物的测定 气相色谱-质谱法》（HJ834-2017）</w:t>
            </w:r>
          </w:p>
        </w:tc>
        <w:tc>
          <w:tcPr>
            <w:tcW w:w="701" w:type="pct"/>
            <w:vAlign w:val="center"/>
          </w:tcPr>
          <w:p w14:paraId="37B537D6">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0.09mg/kg</w:t>
            </w:r>
          </w:p>
        </w:tc>
      </w:tr>
      <w:tr w14:paraId="1ECCC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35E06C4D">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7DA79684">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2-氯酚</w:t>
            </w:r>
          </w:p>
        </w:tc>
        <w:tc>
          <w:tcPr>
            <w:tcW w:w="2943" w:type="pct"/>
            <w:vMerge w:val="continue"/>
            <w:vAlign w:val="center"/>
          </w:tcPr>
          <w:p w14:paraId="21465046">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21824CE5">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0.06mg/kg</w:t>
            </w:r>
          </w:p>
        </w:tc>
      </w:tr>
      <w:tr w14:paraId="4BC7F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301EF98A">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2F57E093">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苯并[α]蒽</w:t>
            </w:r>
          </w:p>
        </w:tc>
        <w:tc>
          <w:tcPr>
            <w:tcW w:w="2943" w:type="pct"/>
            <w:vMerge w:val="continue"/>
            <w:vAlign w:val="center"/>
          </w:tcPr>
          <w:p w14:paraId="594F3F24">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50363CD1">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0.1mg/kg</w:t>
            </w:r>
          </w:p>
        </w:tc>
      </w:tr>
      <w:tr w14:paraId="79DBB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51732C22">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4A70F5FC">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苯并[α]芘</w:t>
            </w:r>
          </w:p>
        </w:tc>
        <w:tc>
          <w:tcPr>
            <w:tcW w:w="2943" w:type="pct"/>
            <w:vMerge w:val="continue"/>
            <w:vAlign w:val="center"/>
          </w:tcPr>
          <w:p w14:paraId="6A999205">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2083C2FA">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0.1mg/kg</w:t>
            </w:r>
          </w:p>
        </w:tc>
      </w:tr>
      <w:tr w14:paraId="1D65D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7E53FA13">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76ADA2B6">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苯并[b]荧蒽</w:t>
            </w:r>
          </w:p>
        </w:tc>
        <w:tc>
          <w:tcPr>
            <w:tcW w:w="2943" w:type="pct"/>
            <w:vMerge w:val="continue"/>
            <w:vAlign w:val="center"/>
          </w:tcPr>
          <w:p w14:paraId="7E480B09">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2CDC6044">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0.2mg/kg</w:t>
            </w:r>
          </w:p>
        </w:tc>
      </w:tr>
      <w:tr w14:paraId="40EB4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680C3D60">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389B7CF1">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苯并[k]荧蒽</w:t>
            </w:r>
          </w:p>
        </w:tc>
        <w:tc>
          <w:tcPr>
            <w:tcW w:w="2943" w:type="pct"/>
            <w:vMerge w:val="continue"/>
            <w:vAlign w:val="center"/>
          </w:tcPr>
          <w:p w14:paraId="40150710">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01BCBEAB">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0.1mg/kg</w:t>
            </w:r>
          </w:p>
        </w:tc>
      </w:tr>
      <w:tr w14:paraId="20399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1E43C67E">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29229F6D">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䓛</w:t>
            </w:r>
          </w:p>
        </w:tc>
        <w:tc>
          <w:tcPr>
            <w:tcW w:w="2943" w:type="pct"/>
            <w:vMerge w:val="continue"/>
            <w:vAlign w:val="center"/>
          </w:tcPr>
          <w:p w14:paraId="304ACF4C">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40FF6103">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0.1mg/kg</w:t>
            </w:r>
          </w:p>
        </w:tc>
      </w:tr>
      <w:tr w14:paraId="152ED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5C8C88B0">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1664BC14">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二苯并[a、h]蒽</w:t>
            </w:r>
          </w:p>
        </w:tc>
        <w:tc>
          <w:tcPr>
            <w:tcW w:w="2943" w:type="pct"/>
            <w:vMerge w:val="continue"/>
            <w:vAlign w:val="center"/>
          </w:tcPr>
          <w:p w14:paraId="31901393">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7F4BACBD">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0.1mg/kg</w:t>
            </w:r>
          </w:p>
        </w:tc>
      </w:tr>
      <w:tr w14:paraId="31035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407ABDC1">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3FCE7A44">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茚并[1,2,3-cd]芘</w:t>
            </w:r>
          </w:p>
        </w:tc>
        <w:tc>
          <w:tcPr>
            <w:tcW w:w="2943" w:type="pct"/>
            <w:vMerge w:val="continue"/>
            <w:vAlign w:val="center"/>
          </w:tcPr>
          <w:p w14:paraId="6F3564C8">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6E6843F1">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0.1mg/kg</w:t>
            </w:r>
          </w:p>
        </w:tc>
      </w:tr>
      <w:tr w14:paraId="40BC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67E018B1">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1B2033A4">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萘</w:t>
            </w:r>
          </w:p>
        </w:tc>
        <w:tc>
          <w:tcPr>
            <w:tcW w:w="2943" w:type="pct"/>
            <w:vMerge w:val="continue"/>
            <w:vAlign w:val="center"/>
          </w:tcPr>
          <w:p w14:paraId="3D69DF4A">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01" w:type="pct"/>
            <w:vAlign w:val="center"/>
          </w:tcPr>
          <w:p w14:paraId="21A7E304">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0.09mg/kg</w:t>
            </w:r>
          </w:p>
        </w:tc>
      </w:tr>
      <w:tr w14:paraId="3F49C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26534083">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62DEA8FF">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苯胺</w:t>
            </w:r>
          </w:p>
        </w:tc>
        <w:tc>
          <w:tcPr>
            <w:tcW w:w="2943" w:type="pct"/>
            <w:vAlign w:val="center"/>
          </w:tcPr>
          <w:p w14:paraId="13061C73">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《半挥发性有机物的测定 气相色谱/质谱法》（GLLS-3-H009-2018）</w:t>
            </w:r>
          </w:p>
        </w:tc>
        <w:tc>
          <w:tcPr>
            <w:tcW w:w="701" w:type="pct"/>
            <w:vAlign w:val="center"/>
          </w:tcPr>
          <w:p w14:paraId="6C7E2B23">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0.1mg/kg</w:t>
            </w:r>
          </w:p>
        </w:tc>
      </w:tr>
      <w:tr w14:paraId="297E5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 w:type="pct"/>
            <w:vAlign w:val="center"/>
          </w:tcPr>
          <w:p w14:paraId="0BC5A0E2">
            <w:pPr>
              <w:pStyle w:val="46"/>
              <w:numPr>
                <w:ilvl w:val="0"/>
                <w:numId w:val="40"/>
              </w:numPr>
              <w:spacing w:line="240" w:lineRule="auto"/>
              <w:contextualSpacing w:val="0"/>
              <w:jc w:val="center"/>
              <w:rPr>
                <w:color w:val="0D0D0D" w:themeColor="text1" w:themeTint="F2"/>
                <w:sz w:val="21"/>
                <w14:textFill>
                  <w14:solidFill>
                    <w14:schemeClr w14:val="tx1">
                      <w14:lumMod w14:val="95000"/>
                      <w14:lumOff w14:val="5000"/>
                    </w14:schemeClr>
                  </w14:solidFill>
                </w14:textFill>
              </w:rPr>
            </w:pPr>
          </w:p>
        </w:tc>
        <w:tc>
          <w:tcPr>
            <w:tcW w:w="1062" w:type="pct"/>
            <w:vAlign w:val="center"/>
          </w:tcPr>
          <w:p w14:paraId="37B9B699">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石油烃（C</w:t>
            </w:r>
            <w:r>
              <w:rPr>
                <w:rFonts w:hint="eastAsia"/>
                <w:color w:val="0D0D0D" w:themeColor="text1" w:themeTint="F2"/>
                <w:sz w:val="21"/>
                <w:vertAlign w:val="subscript"/>
                <w14:textFill>
                  <w14:solidFill>
                    <w14:schemeClr w14:val="tx1">
                      <w14:lumMod w14:val="95000"/>
                      <w14:lumOff w14:val="5000"/>
                    </w14:schemeClr>
                  </w14:solidFill>
                </w14:textFill>
              </w:rPr>
              <w:t>10</w:t>
            </w:r>
            <w:r>
              <w:rPr>
                <w:rFonts w:hint="eastAsia"/>
                <w:color w:val="0D0D0D" w:themeColor="text1" w:themeTint="F2"/>
                <w:sz w:val="21"/>
                <w14:textFill>
                  <w14:solidFill>
                    <w14:schemeClr w14:val="tx1">
                      <w14:lumMod w14:val="95000"/>
                      <w14:lumOff w14:val="5000"/>
                    </w14:schemeClr>
                  </w14:solidFill>
                </w14:textFill>
              </w:rPr>
              <w:t>~C</w:t>
            </w:r>
            <w:r>
              <w:rPr>
                <w:rFonts w:hint="eastAsia"/>
                <w:color w:val="0D0D0D" w:themeColor="text1" w:themeTint="F2"/>
                <w:sz w:val="21"/>
                <w:vertAlign w:val="subscript"/>
                <w14:textFill>
                  <w14:solidFill>
                    <w14:schemeClr w14:val="tx1">
                      <w14:lumMod w14:val="95000"/>
                      <w14:lumOff w14:val="5000"/>
                    </w14:schemeClr>
                  </w14:solidFill>
                </w14:textFill>
              </w:rPr>
              <w:t>40</w:t>
            </w:r>
            <w:r>
              <w:rPr>
                <w:rFonts w:hint="eastAsia"/>
                <w:color w:val="0D0D0D" w:themeColor="text1" w:themeTint="F2"/>
                <w:sz w:val="21"/>
                <w14:textFill>
                  <w14:solidFill>
                    <w14:schemeClr w14:val="tx1">
                      <w14:lumMod w14:val="95000"/>
                      <w14:lumOff w14:val="5000"/>
                    </w14:schemeClr>
                  </w14:solidFill>
                </w14:textFill>
              </w:rPr>
              <w:t>）</w:t>
            </w:r>
          </w:p>
        </w:tc>
        <w:tc>
          <w:tcPr>
            <w:tcW w:w="2943" w:type="pct"/>
            <w:vAlign w:val="center"/>
          </w:tcPr>
          <w:p w14:paraId="6A9EE3C5">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《土壤和沉积物 石油烃（C</w:t>
            </w:r>
            <w:r>
              <w:rPr>
                <w:rFonts w:hint="eastAsia"/>
                <w:color w:val="0D0D0D" w:themeColor="text1" w:themeTint="F2"/>
                <w:sz w:val="21"/>
                <w:vertAlign w:val="subscript"/>
                <w14:textFill>
                  <w14:solidFill>
                    <w14:schemeClr w14:val="tx1">
                      <w14:lumMod w14:val="95000"/>
                      <w14:lumOff w14:val="5000"/>
                    </w14:schemeClr>
                  </w14:solidFill>
                </w14:textFill>
              </w:rPr>
              <w:t>10</w:t>
            </w:r>
            <w:r>
              <w:rPr>
                <w:rFonts w:hint="eastAsia"/>
                <w:color w:val="0D0D0D" w:themeColor="text1" w:themeTint="F2"/>
                <w:sz w:val="21"/>
                <w14:textFill>
                  <w14:solidFill>
                    <w14:schemeClr w14:val="tx1">
                      <w14:lumMod w14:val="95000"/>
                      <w14:lumOff w14:val="5000"/>
                    </w14:schemeClr>
                  </w14:solidFill>
                </w14:textFill>
              </w:rPr>
              <w:t>-C</w:t>
            </w:r>
            <w:r>
              <w:rPr>
                <w:rFonts w:hint="eastAsia"/>
                <w:color w:val="0D0D0D" w:themeColor="text1" w:themeTint="F2"/>
                <w:sz w:val="21"/>
                <w:vertAlign w:val="subscript"/>
                <w14:textFill>
                  <w14:solidFill>
                    <w14:schemeClr w14:val="tx1">
                      <w14:lumMod w14:val="95000"/>
                      <w14:lumOff w14:val="5000"/>
                    </w14:schemeClr>
                  </w14:solidFill>
                </w14:textFill>
              </w:rPr>
              <w:t>40</w:t>
            </w:r>
            <w:r>
              <w:rPr>
                <w:rFonts w:hint="eastAsia"/>
                <w:color w:val="0D0D0D" w:themeColor="text1" w:themeTint="F2"/>
                <w:sz w:val="21"/>
                <w14:textFill>
                  <w14:solidFill>
                    <w14:schemeClr w14:val="tx1">
                      <w14:lumMod w14:val="95000"/>
                      <w14:lumOff w14:val="5000"/>
                    </w14:schemeClr>
                  </w14:solidFill>
                </w14:textFill>
              </w:rPr>
              <w:t>）的测定 气相色谱法》（HJ1021-2019）</w:t>
            </w:r>
          </w:p>
        </w:tc>
        <w:tc>
          <w:tcPr>
            <w:tcW w:w="701" w:type="pct"/>
            <w:vAlign w:val="center"/>
          </w:tcPr>
          <w:p w14:paraId="6C94F4C0">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6mg/kg</w:t>
            </w:r>
          </w:p>
        </w:tc>
      </w:tr>
    </w:tbl>
    <w:p w14:paraId="4274451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（5）评价标准</w:t>
      </w:r>
    </w:p>
    <w:p w14:paraId="3B3BD47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《土壤环境质量  建设用地土壤污染风险管控标准（试行）》（GB36600-2018）表1第二类用地的筛选值标准。</w:t>
      </w:r>
    </w:p>
    <w:p w14:paraId="56BECF7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（6）评价方法</w:t>
      </w:r>
    </w:p>
    <w:p w14:paraId="33C48872">
      <w:pPr>
        <w:widowControl/>
        <w:snapToGrid w:val="0"/>
        <w:ind w:firstLine="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采用单因子指数法进行评价，评价公式：</w:t>
      </w:r>
    </w:p>
    <w:p w14:paraId="15B35156">
      <w:pPr>
        <w:widowControl/>
        <w:snapToGrid w:val="0"/>
        <w:ind w:firstLine="480"/>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P</w:t>
      </w:r>
      <w:r>
        <w:rPr>
          <w:color w:val="0D0D0D" w:themeColor="text1" w:themeTint="F2"/>
          <w:vertAlign w:val="subscript"/>
          <w14:textFill>
            <w14:solidFill>
              <w14:schemeClr w14:val="tx1">
                <w14:lumMod w14:val="95000"/>
                <w14:lumOff w14:val="5000"/>
              </w14:schemeClr>
            </w14:solidFill>
          </w14:textFill>
        </w:rPr>
        <w:t>i</w:t>
      </w:r>
      <w:r>
        <w:rPr>
          <w:color w:val="0D0D0D" w:themeColor="text1" w:themeTint="F2"/>
          <w14:textFill>
            <w14:solidFill>
              <w14:schemeClr w14:val="tx1">
                <w14:lumMod w14:val="95000"/>
                <w14:lumOff w14:val="5000"/>
              </w14:schemeClr>
            </w14:solidFill>
          </w14:textFill>
        </w:rPr>
        <w:t>＝C</w:t>
      </w:r>
      <w:r>
        <w:rPr>
          <w:color w:val="0D0D0D" w:themeColor="text1" w:themeTint="F2"/>
          <w:vertAlign w:val="subscript"/>
          <w14:textFill>
            <w14:solidFill>
              <w14:schemeClr w14:val="tx1">
                <w14:lumMod w14:val="95000"/>
                <w14:lumOff w14:val="5000"/>
              </w14:schemeClr>
            </w14:solidFill>
          </w14:textFill>
        </w:rPr>
        <w:t>i</w:t>
      </w:r>
      <w:r>
        <w:rPr>
          <w:color w:val="0D0D0D" w:themeColor="text1" w:themeTint="F2"/>
          <w14:textFill>
            <w14:solidFill>
              <w14:schemeClr w14:val="tx1">
                <w14:lumMod w14:val="95000"/>
                <w14:lumOff w14:val="5000"/>
              </w14:schemeClr>
            </w14:solidFill>
          </w14:textFill>
        </w:rPr>
        <w:t>/C</w:t>
      </w:r>
      <w:r>
        <w:rPr>
          <w:color w:val="0D0D0D" w:themeColor="text1" w:themeTint="F2"/>
          <w:vertAlign w:val="subscript"/>
          <w14:textFill>
            <w14:solidFill>
              <w14:schemeClr w14:val="tx1">
                <w14:lumMod w14:val="95000"/>
                <w14:lumOff w14:val="5000"/>
              </w14:schemeClr>
            </w14:solidFill>
          </w14:textFill>
        </w:rPr>
        <w:t>Oi</w:t>
      </w:r>
    </w:p>
    <w:p w14:paraId="1B441481">
      <w:pPr>
        <w:widowControl/>
        <w:snapToGrid w:val="0"/>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式中</w:t>
      </w:r>
      <w:r>
        <w:rPr>
          <w:rFonts w:hint="eastAsia"/>
          <w:color w:val="0D0D0D" w:themeColor="text1" w:themeTint="F2"/>
          <w14:textFill>
            <w14:solidFill>
              <w14:schemeClr w14:val="tx1">
                <w14:lumMod w14:val="95000"/>
                <w14:lumOff w14:val="5000"/>
              </w14:schemeClr>
            </w14:solidFill>
          </w14:textFill>
        </w:rPr>
        <w:t>：</w:t>
      </w:r>
    </w:p>
    <w:p w14:paraId="1DD35E8D">
      <w:pPr>
        <w:widowControl/>
        <w:snapToGrid w:val="0"/>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P</w:t>
      </w:r>
      <w:r>
        <w:rPr>
          <w:color w:val="0D0D0D" w:themeColor="text1" w:themeTint="F2"/>
          <w:vertAlign w:val="subscript"/>
          <w14:textFill>
            <w14:solidFill>
              <w14:schemeClr w14:val="tx1">
                <w14:lumMod w14:val="95000"/>
                <w14:lumOff w14:val="5000"/>
              </w14:schemeClr>
            </w14:solidFill>
          </w14:textFill>
        </w:rPr>
        <w:t>i</w:t>
      </w:r>
      <w:r>
        <w:rPr>
          <w:color w:val="0D0D0D" w:themeColor="text1" w:themeTint="F2"/>
          <w14:textFill>
            <w14:solidFill>
              <w14:schemeClr w14:val="tx1">
                <w14:lumMod w14:val="95000"/>
                <w14:lumOff w14:val="5000"/>
              </w14:schemeClr>
            </w14:solidFill>
          </w14:textFill>
        </w:rPr>
        <w:t>——土壤中i污染物的污染指数；</w:t>
      </w:r>
    </w:p>
    <w:p w14:paraId="50DEF7DA">
      <w:pPr>
        <w:widowControl/>
        <w:snapToGrid w:val="0"/>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C</w:t>
      </w:r>
      <w:r>
        <w:rPr>
          <w:color w:val="0D0D0D" w:themeColor="text1" w:themeTint="F2"/>
          <w:vertAlign w:val="subscript"/>
          <w14:textFill>
            <w14:solidFill>
              <w14:schemeClr w14:val="tx1">
                <w14:lumMod w14:val="95000"/>
                <w14:lumOff w14:val="5000"/>
              </w14:schemeClr>
            </w14:solidFill>
          </w14:textFill>
        </w:rPr>
        <w:t>i</w:t>
      </w:r>
      <w:r>
        <w:rPr>
          <w:color w:val="0D0D0D" w:themeColor="text1" w:themeTint="F2"/>
          <w14:textFill>
            <w14:solidFill>
              <w14:schemeClr w14:val="tx1">
                <w14:lumMod w14:val="95000"/>
                <w14:lumOff w14:val="5000"/>
              </w14:schemeClr>
            </w14:solidFill>
          </w14:textFill>
        </w:rPr>
        <w:t>——土壤中i污染物的实测含量；</w:t>
      </w:r>
    </w:p>
    <w:p w14:paraId="14D73B9E">
      <w:pPr>
        <w:widowControl/>
        <w:snapToGrid w:val="0"/>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C</w:t>
      </w:r>
      <w:r>
        <w:rPr>
          <w:color w:val="0D0D0D" w:themeColor="text1" w:themeTint="F2"/>
          <w:vertAlign w:val="subscript"/>
          <w14:textFill>
            <w14:solidFill>
              <w14:schemeClr w14:val="tx1">
                <w14:lumMod w14:val="95000"/>
                <w14:lumOff w14:val="5000"/>
              </w14:schemeClr>
            </w14:solidFill>
          </w14:textFill>
        </w:rPr>
        <w:t>Oi</w:t>
      </w:r>
      <w:r>
        <w:rPr>
          <w:color w:val="0D0D0D" w:themeColor="text1" w:themeTint="F2"/>
          <w14:textFill>
            <w14:solidFill>
              <w14:schemeClr w14:val="tx1">
                <w14:lumMod w14:val="95000"/>
                <w14:lumOff w14:val="5000"/>
              </w14:schemeClr>
            </w14:solidFill>
          </w14:textFill>
        </w:rPr>
        <w:t>——i污染物的评价标准</w:t>
      </w:r>
    </w:p>
    <w:p w14:paraId="2016D293">
      <w:pPr>
        <w:widowControl/>
        <w:snapToGrid w:val="0"/>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土壤污染因子的标准指数&gt;1，表明该污染物超过了规定的标准限值，标准指数越大，说明超标越严重。</w:t>
      </w:r>
    </w:p>
    <w:p w14:paraId="30B73E5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（7）监测结果</w:t>
      </w:r>
    </w:p>
    <w:p w14:paraId="31693991">
      <w:pPr>
        <w:ind w:firstLine="480" w:firstLineChars="200"/>
        <w:rPr>
          <w:rFonts w:cs="Times New Roman"/>
          <w:color w:val="0D0D0D" w:themeColor="text1" w:themeTint="F2"/>
          <w14:textFill>
            <w14:solidFill>
              <w14:schemeClr w14:val="tx1">
                <w14:lumMod w14:val="95000"/>
                <w14:lumOff w14:val="5000"/>
              </w14:schemeClr>
            </w14:solidFill>
          </w14:textFill>
        </w:rPr>
      </w:pPr>
      <w:r>
        <w:rPr>
          <w:rFonts w:cs="Times New Roman"/>
          <w:color w:val="0D0D0D" w:themeColor="text1" w:themeTint="F2"/>
          <w14:textFill>
            <w14:solidFill>
              <w14:schemeClr w14:val="tx1">
                <w14:lumMod w14:val="95000"/>
                <w14:lumOff w14:val="5000"/>
              </w14:schemeClr>
            </w14:solidFill>
          </w14:textFill>
        </w:rPr>
        <w:t>项目土壤理化特性调查结果</w:t>
      </w:r>
      <w:r>
        <w:rPr>
          <w:rFonts w:hint="eastAsia" w:cs="Times New Roman"/>
          <w:color w:val="0D0D0D" w:themeColor="text1" w:themeTint="F2"/>
          <w14:textFill>
            <w14:solidFill>
              <w14:schemeClr w14:val="tx1">
                <w14:lumMod w14:val="95000"/>
                <w14:lumOff w14:val="5000"/>
              </w14:schemeClr>
            </w14:solidFill>
          </w14:textFill>
        </w:rPr>
        <w:t>详</w:t>
      </w:r>
      <w:r>
        <w:rPr>
          <w:rFonts w:cs="Times New Roman"/>
          <w:color w:val="0D0D0D" w:themeColor="text1" w:themeTint="F2"/>
          <w14:textFill>
            <w14:solidFill>
              <w14:schemeClr w14:val="tx1">
                <w14:lumMod w14:val="95000"/>
                <w14:lumOff w14:val="5000"/>
              </w14:schemeClr>
            </w14:solidFill>
          </w14:textFill>
        </w:rPr>
        <w:t>见表</w:t>
      </w:r>
      <w:r>
        <w:rPr>
          <w:rFonts w:hint="eastAsia" w:cs="Times New Roman"/>
          <w:color w:val="0D0D0D" w:themeColor="text1" w:themeTint="F2"/>
          <w14:textFill>
            <w14:solidFill>
              <w14:schemeClr w14:val="tx1">
                <w14:lumMod w14:val="95000"/>
                <w14:lumOff w14:val="5000"/>
              </w14:schemeClr>
            </w14:solidFill>
          </w14:textFill>
        </w:rPr>
        <w:t>4.2-15</w:t>
      </w:r>
      <w:r>
        <w:rPr>
          <w:rFonts w:cs="Times New Roman"/>
          <w:color w:val="0D0D0D" w:themeColor="text1" w:themeTint="F2"/>
          <w14:textFill>
            <w14:solidFill>
              <w14:schemeClr w14:val="tx1">
                <w14:lumMod w14:val="95000"/>
                <w14:lumOff w14:val="5000"/>
              </w14:schemeClr>
            </w14:solidFill>
          </w14:textFill>
        </w:rPr>
        <w:t>，土壤现状监测统计结果见表</w:t>
      </w:r>
      <w:r>
        <w:rPr>
          <w:rFonts w:hint="eastAsia" w:cs="Times New Roman"/>
          <w:color w:val="0D0D0D" w:themeColor="text1" w:themeTint="F2"/>
          <w14:textFill>
            <w14:solidFill>
              <w14:schemeClr w14:val="tx1">
                <w14:lumMod w14:val="95000"/>
                <w14:lumOff w14:val="5000"/>
              </w14:schemeClr>
            </w14:solidFill>
          </w14:textFill>
        </w:rPr>
        <w:t>4.2-16</w:t>
      </w:r>
      <w:r>
        <w:rPr>
          <w:rFonts w:cs="Times New Roman"/>
          <w:color w:val="0D0D0D" w:themeColor="text1" w:themeTint="F2"/>
          <w14:textFill>
            <w14:solidFill>
              <w14:schemeClr w14:val="tx1">
                <w14:lumMod w14:val="95000"/>
                <w14:lumOff w14:val="5000"/>
              </w14:schemeClr>
            </w14:solidFill>
          </w14:textFill>
        </w:rPr>
        <w:t>。</w:t>
      </w:r>
    </w:p>
    <w:p w14:paraId="68EC3393">
      <w:pPr>
        <w:pStyle w:val="11"/>
      </w:pPr>
      <w:r>
        <w:rPr>
          <w:rFonts w:hint="eastAsia"/>
        </w:rPr>
        <w:t xml:space="preserve"> </w:t>
      </w:r>
      <w:r>
        <w:t>土壤理化特性调查结果</w:t>
      </w:r>
      <w:r>
        <w:rPr>
          <w:rFonts w:hint="eastAsia"/>
        </w:rPr>
        <w:t>表</w:t>
      </w:r>
    </w:p>
    <w:p w14:paraId="4EA60564">
      <w:pPr>
        <w:jc w:val="center"/>
        <w:rPr>
          <w:rFonts w:hint="eastAsia"/>
        </w:rPr>
      </w:pPr>
      <w:r>
        <w:rPr>
          <w:rFonts w:hint="eastAsia"/>
        </w:rPr>
        <w:t>（涉密，公示本已删除）</w:t>
      </w:r>
    </w:p>
    <w:p w14:paraId="361FE79F">
      <w:pPr>
        <w:pStyle w:val="11"/>
      </w:pPr>
      <w:r>
        <w:rPr>
          <w:rFonts w:hint="eastAsia"/>
        </w:rPr>
        <w:t xml:space="preserve"> </w:t>
      </w:r>
      <w:r>
        <w:t>土壤监测结果统计与评价表</w:t>
      </w:r>
    </w:p>
    <w:p w14:paraId="6F816DAE">
      <w:pPr>
        <w:jc w:val="center"/>
        <w:rPr>
          <w:rFonts w:hint="eastAsia"/>
        </w:rPr>
      </w:pPr>
      <w:r>
        <w:rPr>
          <w:rFonts w:hint="eastAsia"/>
        </w:rPr>
        <w:t>（涉密，公示本已删除）</w:t>
      </w:r>
    </w:p>
    <w:p w14:paraId="49C69DA5">
      <w:pPr>
        <w:pStyle w:val="9"/>
      </w:pPr>
      <w:bookmarkStart w:id="140" w:name="_Toc204062604"/>
      <w:r>
        <w:rPr>
          <w:rFonts w:hint="eastAsia"/>
        </w:rPr>
        <w:t>生态环境现状调查与评价</w:t>
      </w:r>
      <w:bookmarkEnd w:id="140"/>
    </w:p>
    <w:p w14:paraId="1F4CF63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目前钦州港工业区已形成一定的开发规模，已开发的区域原生植物已被破坏，未开发的区域为丘陵区，其植被主要以人工植被为主，主要的植被群落有马尾松-桃金娘-牛毡草群落，刺竹-牛毡草群落，桃金娘-芒箕群落，速生桉群落，木麻黄群落等。</w:t>
      </w:r>
    </w:p>
    <w:p w14:paraId="6920FF5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评价范围内陆地野生动物资源目前数量及种类都不多，评价区域内未发现有受国家重点保护的各级陆生野生动植物，现存的野生动物多为常见的广布种。</w:t>
      </w:r>
    </w:p>
    <w:p w14:paraId="5EF06FB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综上，评价区位于工业园区内，为人类活动干扰频繁区，陆生植被以人工植被为主，植被类型单一，结构简单，生态系统的生态功能不强。评价区域无国家重点保护的珍稀濒危动、植物种类。评价区域生态环境质量一般。</w:t>
      </w:r>
    </w:p>
    <w:p w14:paraId="0BC4F508">
      <w:pPr>
        <w:pStyle w:val="8"/>
      </w:pPr>
      <w:bookmarkStart w:id="141" w:name="_Toc204062605"/>
      <w:r>
        <w:rPr>
          <w:rFonts w:hint="eastAsia"/>
        </w:rPr>
        <w:t>园区概况</w:t>
      </w:r>
      <w:bookmarkEnd w:id="141"/>
    </w:p>
    <w:p w14:paraId="72D3F51F">
      <w:pPr>
        <w:pStyle w:val="9"/>
        <w:numPr>
          <w:ilvl w:val="2"/>
          <w:numId w:val="41"/>
        </w:numPr>
      </w:pPr>
      <w:bookmarkStart w:id="142" w:name="_Toc204062606"/>
      <w:r>
        <w:rPr>
          <w:rFonts w:hint="eastAsia"/>
        </w:rPr>
        <w:t>园区简介</w:t>
      </w:r>
      <w:bookmarkEnd w:id="142"/>
    </w:p>
    <w:p w14:paraId="4301D89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港经济技术开发区（以下简称“开发区”）位于广西钦州市南部沿海，钦州石化产业园是港区的核心组成部分，原规划面积约36平方公里，2007年7月钦州市政府委托专业机构编制了《广西钦州石化产业园总体发展规划》，2012年国家发展改革委、财政部联合下文将钦州石化产业园列为国家循环化改造示范试点园区。为进一步增强钦州石化产业园产业发展的科学性，建设成高水平大型石化产业基地，根据国家优化石化产业布局的需要，2014年10月钦州市石化产业办公室委托石油和化学工业规划院对《广西钦州石化产业园总体发展规划》进行修编。广西钦州石化产业园修编后规划面积调整26.5km</w:t>
      </w:r>
      <w:r>
        <w:rPr>
          <w:rFonts w:hint="eastAsia"/>
          <w:color w:val="0D0D0D" w:themeColor="text1" w:themeTint="F2"/>
          <w:vertAlign w:val="superscript"/>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。2016年1月委托广东华南环境科技有限公司编制了《广西钦州石化产业园总体规划环境影响报告书》，并取得了钦州市</w:t>
      </w:r>
      <w:r>
        <w:rPr>
          <w:rFonts w:hint="eastAsia"/>
          <w:color w:val="0D0D0D" w:themeColor="text1" w:themeTint="F2"/>
          <w:lang w:eastAsia="zh-CN"/>
          <w14:textFill>
            <w14:solidFill>
              <w14:schemeClr w14:val="tx1">
                <w14:lumMod w14:val="95000"/>
                <w14:lumOff w14:val="5000"/>
              </w14:schemeClr>
            </w14:solidFill>
          </w14:textFill>
        </w:rPr>
        <w:t>生态环境局</w:t>
      </w:r>
      <w:r>
        <w:rPr>
          <w:rFonts w:hint="eastAsia"/>
          <w:color w:val="0D0D0D" w:themeColor="text1" w:themeTint="F2"/>
          <w14:textFill>
            <w14:solidFill>
              <w14:schemeClr w14:val="tx1">
                <w14:lumMod w14:val="95000"/>
                <w14:lumOff w14:val="5000"/>
              </w14:schemeClr>
            </w14:solidFill>
          </w14:textFill>
        </w:rPr>
        <w:t>的审查意见《关于对广西钦州石化产业园总体规划环境影响报告书审查意见的函》（钦环函〔2016〕91号）。</w:t>
      </w:r>
    </w:p>
    <w:p w14:paraId="6C3268B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2017年10月钦州市石化产业办公室委托石油和化学工业规划院对《广西钦州石化产业园总体发展规划》进行修编，新增三墩片区，现有的金鼓片区继续按原规划实施；2017年12月委托广西博环环境咨询服务有限公司编制了《广西钦州石化产业园总体规划（修编）环境影响报告书》，并取得了钦州市</w:t>
      </w:r>
      <w:r>
        <w:rPr>
          <w:rFonts w:hint="eastAsia"/>
          <w:color w:val="0D0D0D" w:themeColor="text1" w:themeTint="F2"/>
          <w:lang w:eastAsia="zh-CN"/>
          <w14:textFill>
            <w14:solidFill>
              <w14:schemeClr w14:val="tx1">
                <w14:lumMod w14:val="95000"/>
                <w14:lumOff w14:val="5000"/>
              </w14:schemeClr>
            </w14:solidFill>
          </w14:textFill>
        </w:rPr>
        <w:t>生态环境局</w:t>
      </w:r>
      <w:r>
        <w:rPr>
          <w:rFonts w:hint="eastAsia"/>
          <w:color w:val="0D0D0D" w:themeColor="text1" w:themeTint="F2"/>
          <w14:textFill>
            <w14:solidFill>
              <w14:schemeClr w14:val="tx1">
                <w14:lumMod w14:val="95000"/>
                <w14:lumOff w14:val="5000"/>
              </w14:schemeClr>
            </w14:solidFill>
          </w14:textFill>
        </w:rPr>
        <w:t>的审查意见《关于印发广西钦州石化产业园总体规划（修编）环境影响报告书审查意见的函》（钦环函〔2018〕109号）。</w:t>
      </w:r>
    </w:p>
    <w:p w14:paraId="660F8BA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为进一步增强钦州石化产业园产业发展的科学性，建设成高水平大型石化产业基地，根据国家优化石化产业布局的需要，2019年6月钦州市石化产业发展局委托石油和化学工业规划院编制《广西钦州石化产业园总体发展规划（2020-2035）》，此次修编后钦州石化产业园规划面积为76.27km</w:t>
      </w:r>
      <w:r>
        <w:rPr>
          <w:rFonts w:hint="eastAsia"/>
          <w:color w:val="0D0D0D" w:themeColor="text1" w:themeTint="F2"/>
          <w:vertAlign w:val="superscript"/>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，金鼓片区40.02km</w:t>
      </w:r>
      <w:r>
        <w:rPr>
          <w:rFonts w:hint="eastAsia"/>
          <w:color w:val="0D0D0D" w:themeColor="text1" w:themeTint="F2"/>
          <w:vertAlign w:val="superscript"/>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、三墩片区24.93km</w:t>
      </w:r>
      <w:r>
        <w:rPr>
          <w:rFonts w:hint="eastAsia"/>
          <w:color w:val="0D0D0D" w:themeColor="text1" w:themeTint="F2"/>
          <w:vertAlign w:val="superscript"/>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、鹿耳片区11.32km</w:t>
      </w:r>
      <w:r>
        <w:rPr>
          <w:rFonts w:hint="eastAsia"/>
          <w:color w:val="0D0D0D" w:themeColor="text1" w:themeTint="F2"/>
          <w:vertAlign w:val="superscript"/>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。2021年3月13日《钦州石化产业园总体发展规划环境影响报告书》取得广西壮族自治区生态环境厅审查意见（桂环函〔2021〕388号）。</w:t>
      </w:r>
    </w:p>
    <w:p w14:paraId="1A783A1D">
      <w:pPr>
        <w:pStyle w:val="9"/>
      </w:pPr>
      <w:bookmarkStart w:id="143" w:name="_Toc204062607"/>
      <w:r>
        <w:rPr>
          <w:rFonts w:hint="eastAsia"/>
        </w:rPr>
        <w:t>规划目标</w:t>
      </w:r>
      <w:bookmarkEnd w:id="143"/>
    </w:p>
    <w:p w14:paraId="676E48F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（1）近期工程（战略定位目标：泛北部湾工业经济的核心驱动）</w:t>
      </w:r>
    </w:p>
    <w:p w14:paraId="186D4A8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2020-2025年，全面推进上海华谊、浙江恒逸、浙江桐昆三大主导项目的落地布局与建成投产，协同好不同主导项目之间的产业承接发展，谋划好钦州市高端石化产业中程崛起的开篇布局。重点建设发展中石油广西石化150万吨/年乙烯及下游项目、上海华谊化工新材料一体化项目、恒逸石化120万吨/年己内酰胺一体化项目、浙江桐昆280万吨/年芳烃一体化项目。积极开展中海油2000万吨/年大型炼化一体化项目前期工作。稳步推进专用码头与仓储罐区的工程建设，实现原料与产品的有序统筹、高效运营。到2025年，钦州石化产业园将成为泛北部湾工业经济的核心驱动，乙烯规模达到150万吨/年，芳烃规模280万吨/年，实现总投资1300亿元，销售收入2070亿元，利润110亿元。</w:t>
      </w:r>
    </w:p>
    <w:p w14:paraId="5681487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（2）中期工程（战略定位目标：全国高端石化的重要集群）</w:t>
      </w:r>
    </w:p>
    <w:p w14:paraId="42D5A5C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2026-2030年，围绕石脑油裂解制乙烯、乙烷裂解制乙烯、丙烷脱氢制丙烯、石脑油催化重整制芳烃四条产业驱动主线，全面布局石化原料深加工产业，重点发展乙烯、丙烯、芳烃、碳四下游醋酸乙烯、环氧丙烷、苯酚丙酮、丙烯腈、对苯二甲酸等一批具备向下游承接延伸的中层级石化产品项目。借助中海油炼化产业格局的战略转移，重点布局建设2000万吨/年炼化一体化产业项目。择机启动中石油广西石化千万吨级炼化一体化项目扩能改造工程。到2030年，钦州石化产业园将成为比肩七大石化基地的全国高端石化产业的重要集群，炼化一体化产能达到3000万吨/年，乙烯规模达到390万吨/年，芳烃规模达到480万吨/年，实现总投资893亿元，销售收入1370亿元，利润76亿元。</w:t>
      </w:r>
    </w:p>
    <w:p w14:paraId="1946B54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（3）远期工程（战略定位目标：全球价值链条的关键枢纽）</w:t>
      </w:r>
    </w:p>
    <w:p w14:paraId="522FB2C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2031-2035年，借助核心炼化龙头项目以及石脑油裂解制乙烯、乙烷裂解制乙烯、丙烷脱氢制丙烯、石脑油催化重整制芳烃四条产业驱动主线形成的产业基础，全面推进石化产业价值引领工程建设。着力布局高端特种功能材料、特种功能化学品、精细化专用化学品产业的发展建设，以参股合作的方式积极引入高端产业领军团队，重点发展高端涂料、锂电池特种添加剂、特种聚氨酯弹性体、聚碳酸酯混炼材料、聚苯醚等一批产品附加值高，契合高端消费领域需求的特种功能产品。到2035年，钦州石化产业园将成为能够对标国际先进石化产业集群的全球价值链枢纽，炼化一体化产能达到4000万吨/年，乙烯规模达到500万吨/年，芳烃规模达到500万吨/年，实现总投资2100亿元，销售收入3230亿元，利润250亿元。</w:t>
      </w:r>
    </w:p>
    <w:p w14:paraId="11D8655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通过三期工程的布局建设以及现有产业的优化布局，钦州市石化产业园最终将实现总投资4620亿元，总产值7130亿元，净利润520亿元。通过“一核、两辅、四驱、五链、三基”为主导的1-2-4-5-3整体产业发展构架的融合发展、综合物流保税贸易的配套服务以及一带一路、西部陆海新通道对东盟国家的深度需求对接，钦州市的高端石化产业的产业集聚效应将进一步提升，最终将形成产值规模超万亿的世界级高端石化产业航母，主导影响全球产业价值链的资源优化配置与产业格局重构。</w:t>
      </w:r>
    </w:p>
    <w:p w14:paraId="25E0C159">
      <w:pPr>
        <w:pStyle w:val="9"/>
      </w:pPr>
      <w:bookmarkStart w:id="144" w:name="_Toc204062608"/>
      <w:r>
        <w:rPr>
          <w:rFonts w:hint="eastAsia"/>
        </w:rPr>
        <w:t>规划范围</w:t>
      </w:r>
      <w:bookmarkEnd w:id="144"/>
    </w:p>
    <w:p w14:paraId="55F8A2E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（1）金鼓片区</w:t>
      </w:r>
    </w:p>
    <w:p w14:paraId="6924986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金鼓片区位于钦州港经济技术开发区西北部，包括原有片区和新增高端产业承接区，规划面积40.02km</w:t>
      </w:r>
      <w:r>
        <w:rPr>
          <w:rFonts w:hint="eastAsia"/>
          <w:color w:val="0D0D0D" w:themeColor="text1" w:themeTint="F2"/>
          <w:vertAlign w:val="superscript"/>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w:t>
      </w:r>
    </w:p>
    <w:p w14:paraId="3BF84E9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（2）三墩片区</w:t>
      </w:r>
    </w:p>
    <w:p w14:paraId="4D2EBD7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三墩片区位于广西壮族自治区钦州港经济技术开发区南部，园区东部、西部、南部三面临海，北部与大榄坪工业区的大环作业区相邻，规划面积约24.93km</w:t>
      </w:r>
      <w:r>
        <w:rPr>
          <w:rFonts w:hint="eastAsia"/>
          <w:color w:val="0D0D0D" w:themeColor="text1" w:themeTint="F2"/>
          <w:vertAlign w:val="superscript"/>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w:t>
      </w:r>
    </w:p>
    <w:p w14:paraId="152782A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（3）鹿耳片区</w:t>
      </w:r>
    </w:p>
    <w:p w14:paraId="0AD03E7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鹿耳片区位于广西壮族自治区钦州港经济技术开发区东北部，规划范围北起规划的大榄坪一路、南至大榄坪第七大街、西邻四号路、东至三墩公路，面积约11.32km</w:t>
      </w:r>
      <w:r>
        <w:rPr>
          <w:rFonts w:hint="eastAsia"/>
          <w:color w:val="0D0D0D" w:themeColor="text1" w:themeTint="F2"/>
          <w:vertAlign w:val="superscript"/>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w:t>
      </w:r>
    </w:p>
    <w:p w14:paraId="075F6109">
      <w:pPr>
        <w:pStyle w:val="9"/>
      </w:pPr>
      <w:bookmarkStart w:id="145" w:name="_Toc204062609"/>
      <w:r>
        <w:rPr>
          <w:rFonts w:hint="eastAsia"/>
        </w:rPr>
        <w:t>总体布局规划</w:t>
      </w:r>
      <w:bookmarkEnd w:id="145"/>
    </w:p>
    <w:p w14:paraId="0D84282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钦州石化产业园总体上规划为“一园、两轴、三片、十区、多点”的空间结构。</w:t>
      </w:r>
    </w:p>
    <w:p w14:paraId="2204963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（1）“一园”即钦州石化产业园整体。</w:t>
      </w:r>
    </w:p>
    <w:p w14:paraId="13FC5D7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（2）“两轴”即依托环北大道和三墩公路打造两条产业空间轴，将三个片区串联发展。</w:t>
      </w:r>
    </w:p>
    <w:p w14:paraId="539A126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（3）“三片”即金鼓片区、鹿耳片区和三墩片区。</w:t>
      </w:r>
    </w:p>
    <w:p w14:paraId="1BB5ADC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十区”即广西石化炼化一体化项目区、华谊化工新材料一体化项目区、芳烃及下游深加工产业区、特种聚氨酯与高端材料产业区、金鼓现有项目区、金鼓预留发展区、鹿耳特种功能材料及专用化学品项目区、三墩炼化一体化项目区、三墩芳烃、烯烃及下游深加工区、三墩化工新材料及精细化工项目区，各片区内部以用地有效集聚为原则，保持内部小组团的完整，利于开发的弹性和可持续性。</w:t>
      </w:r>
    </w:p>
    <w:p w14:paraId="0965DE4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（5）“多点”即“一体化”配套服务的公用工程及辅助设施。包括石化码头及物流仓储区、供水厂、污水处理、热电中心、变电站、消防站、危废处理等。</w:t>
      </w:r>
    </w:p>
    <w:p w14:paraId="38A47BD5">
      <w:pPr>
        <w:pStyle w:val="9"/>
      </w:pPr>
      <w:bookmarkStart w:id="146" w:name="_Toc204062610"/>
      <w:r>
        <w:rPr>
          <w:rFonts w:hint="eastAsia"/>
        </w:rPr>
        <w:t>产业发展结构</w:t>
      </w:r>
      <w:bookmarkEnd w:id="146"/>
    </w:p>
    <w:p w14:paraId="2816C2F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全面推进以“一核、两辅、四驱、五链、三基”为主导的12453整体产业发展构架的建设，具体如下：</w:t>
      </w:r>
    </w:p>
    <w:p w14:paraId="0C41D05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（1）一核：大型炼化一体化龙头产业核心。</w:t>
      </w:r>
    </w:p>
    <w:p w14:paraId="53E1D72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（2）两辅：基础工业气体、基础化工原料为辅助。</w:t>
      </w:r>
    </w:p>
    <w:p w14:paraId="2C27837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（3）四驱：石脑油裂解制乙烯、乙烷裂解制乙烯、丙烷脱氢制丙烷以及石脑油催化重整制芳烃四条中层级产业脉络的驱动主线。</w:t>
      </w:r>
    </w:p>
    <w:p w14:paraId="02EB05D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（4）五链：以乙烯、丙烯、苯、PX、碳四为主导的五大延伸发展链条。</w:t>
      </w:r>
    </w:p>
    <w:p w14:paraId="18A6761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5）三基：产业链终端专用化学品、化工新材料以及功能化学三大尾链增值产业。统筹规划建设大型炼化一体化龙头核心、通过原料来源多元化增强烯烃、芳烃产品保障，重点延伸发展C2-C8原料深加工产业群以及终端高附加值特色化产业集群。其中C2~C8原料深加工产业群涵盖了石脑油裂解制乙烯、乙烷裂解制乙烯、丙烷脱氢制丙烯以及石脑油催化重整制芳烃四条中层级产业脉络及其向下游延伸发展的乙烯、丙烯、苯、PX、碳四产业链规划方案，终端高附加值特色化产业集群涵盖了终端专用化学品、化工新材料以及功能化学三大尾链增值产业的规划发展方案。</w:t>
      </w:r>
    </w:p>
    <w:p w14:paraId="55F18269">
      <w:pPr>
        <w:pStyle w:val="9"/>
      </w:pPr>
      <w:bookmarkStart w:id="147" w:name="_Toc204062611"/>
      <w:r>
        <w:rPr>
          <w:rFonts w:hint="eastAsia"/>
        </w:rPr>
        <w:t>空间分布布局规划</w:t>
      </w:r>
      <w:bookmarkEnd w:id="147"/>
    </w:p>
    <w:p w14:paraId="2CD7F89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园区产业发展规划，结合园区现状，综合规划区地理位置、自然条件、环境保护、安全卫生及生产运营对周边生态环境的影响程度，将园区规划为广西石化炼化一体化项目区、华谊化工新材料一体化项目区、芳烃及下游深加工产业区、特种聚氨酯与高端材料产业区、金鼓现有项目区、金鼓预留发展区、大榄坪特种功能材料及专用化学品项目区、三墩炼化一体化项目区、三墩芳烃及下游深加工区以及三墩化工新材料及精细化工项目区、石化码头及物流仓储区以及多点辐射的公用工程设施。</w:t>
      </w:r>
    </w:p>
    <w:p w14:paraId="38E6992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（1）金鼓片区产业区</w:t>
      </w:r>
    </w:p>
    <w:p w14:paraId="756E36C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根据园区产业现状，金鼓片区产业区自北向南依次规划为广西石化炼化一体化项目区、预留发展区、芳烃及下游深加工产业区、现有项目区、华谊化工新材料一体化项目区、特种聚氨酯与高端材料产业区。</w:t>
      </w:r>
    </w:p>
    <w:p w14:paraId="5C1C50B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广西石化炼化一体化项目区：主要为中国石油广西石化现有千万吨炼油工程及规划建设的中国石油钦州炼化一体化转型升级（150万吨乙烯）项目。</w:t>
      </w:r>
    </w:p>
    <w:p w14:paraId="45522C6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预留发展区：位于广西石化炼化一体化项目区以东、目前为未利用地。</w:t>
      </w:r>
    </w:p>
    <w:p w14:paraId="006D9EE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芳烃及下游深加工产业区：主要为浙江恒逸集团有限公司恒逸钦州年产120万吨己内酰胺一聚酰胺产业一体化及配套工程项目。</w:t>
      </w:r>
    </w:p>
    <w:p w14:paraId="0DC0129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现有项目区：主要包括现有炼油副产品加工增值产业链、生物化工和磷化工等产业项目，以及现状的几家金属企业。</w:t>
      </w:r>
    </w:p>
    <w:p w14:paraId="4CAA966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华谊化工新材料一体化项目区：主要包括上海华谊集团钦州化工新材料产业基地，主要项目有上海华谊集团工业气体岛项目、75万吨年丙烷脱氢制丙烯及下游深加工一体化项目以及氯碱及下游异氰酸酯、25万吨年聚碳酸酯及深加工项目。</w:t>
      </w:r>
    </w:p>
    <w:p w14:paraId="113F87F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特种聚氨酯与高端材料产业区：主要为聚氨酯及下游深加工项目、烯烃下游新材料项目。</w:t>
      </w:r>
    </w:p>
    <w:p w14:paraId="4D4F320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（2）三墩片区产业区</w:t>
      </w:r>
    </w:p>
    <w:p w14:paraId="51DB764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三墩片区产业区自北向南依次规划为芳烃、烯烃及下游深加工区、化工新材料及精细化工项目区、炼化一体化项目区。</w:t>
      </w:r>
    </w:p>
    <w:p w14:paraId="5DE56CE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芳烃、烯烃及下游深加工区：主要为广西桐昆石化有限公司年产280万吨芳烃、500万吨PTA、60万吨苯乙烯及配套工程项目。</w:t>
      </w:r>
    </w:p>
    <w:p w14:paraId="458F3DF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炼化一体化项目区：规划布局2000万吨年的炼化一体化项目。</w:t>
      </w:r>
    </w:p>
    <w:p w14:paraId="4ABAAE1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化工新材料及精细化工项目区：主要布局炼化一体化下游的化工新材料及精细化工项目。</w:t>
      </w:r>
    </w:p>
    <w:p w14:paraId="76B4CFA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 xml:space="preserve">（3）鹿耳片区产业区 </w:t>
      </w:r>
    </w:p>
    <w:p w14:paraId="2F91C89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根据产业规划和周边空间布局关系，鹿耳片区主要规划特种功能材料及专用化学品项目区，原料主要来源于金鼓片区和三墩片区，作为其下游延伸产业链发展。</w:t>
      </w:r>
    </w:p>
    <w:p w14:paraId="512C7955">
      <w:pPr>
        <w:pStyle w:val="9"/>
      </w:pPr>
      <w:bookmarkStart w:id="148" w:name="_Toc204062612"/>
      <w:r>
        <w:rPr>
          <w:rFonts w:hint="eastAsia"/>
        </w:rPr>
        <w:t>供水工程</w:t>
      </w:r>
      <w:bookmarkEnd w:id="148"/>
    </w:p>
    <w:p w14:paraId="0C937A0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（1）供水水源规划</w:t>
      </w:r>
    </w:p>
    <w:p w14:paraId="10BDB35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港区域工业生产及生活用水水源主要来源于金窝水库，库容约6000万方，原水水质符合《地表水环境质量标准》（GB3838-2002）三类以上水质标准要求，由广西丰源水利有限公司负责原水输送，水源地已建取水泵站，主要供水干管已经铺设完成。目前供水能力为55万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/d，供水量为16万m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/d。</w:t>
      </w:r>
    </w:p>
    <w:p w14:paraId="5895E50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（2）供水水厂</w:t>
      </w:r>
    </w:p>
    <w:p w14:paraId="0980F26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规划所在区域内现有广西北投水务有限公司的两大水厂，分别为钦州港水厂和大榄坪水厂，水源主要来源于金窝水库。</w:t>
      </w:r>
    </w:p>
    <w:p w14:paraId="32E0024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①钦州港水厂：位于钦州港西港区中部，金谷大街北侧，南港大道西侧，原规划总规模30万m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/d，当前供水能力已经达到10万m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/d，今后逐步扩大其供水规模至30万m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/d。为确保安全供水，规划大榄坪水厂管网与钦州港西港区供水管网通过金鼓江过江管道连通，确保钦州港西港区和钦州保税港区的供水。</w:t>
      </w:r>
    </w:p>
    <w:p w14:paraId="56C3513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目前，钦州港水厂实际日供水量约为5万吨，约为产能的50%，负责整个钦州港区域的自来水供应。</w:t>
      </w:r>
    </w:p>
    <w:p w14:paraId="4BCFF73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②大榄坪水厂：选址于北部湾大道南面、兴港大道东面，是配套服务钦州大榄坪工业区及钦州保税港区的重要基础设施，总服务面积71km</w:t>
      </w:r>
      <w:r>
        <w:rPr>
          <w:rFonts w:hint="eastAsia"/>
          <w:color w:val="0D0D0D" w:themeColor="text1" w:themeTint="F2"/>
          <w:vertAlign w:val="superscript"/>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，总占地18.1公顷，规划总供水能力40万m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/d，分期建设。一期建设1座规模为5万m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/d的自来水厂和按10万m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/d建设大配套管网。目前大榄坪水厂项目正在施工建设中。</w:t>
      </w:r>
    </w:p>
    <w:p w14:paraId="6A2E69DB">
      <w:pPr>
        <w:pStyle w:val="9"/>
      </w:pPr>
      <w:bookmarkStart w:id="149" w:name="_Toc204062613"/>
      <w:r>
        <w:rPr>
          <w:rFonts w:hint="eastAsia"/>
        </w:rPr>
        <w:t>排水工程</w:t>
      </w:r>
      <w:bookmarkEnd w:id="149"/>
    </w:p>
    <w:p w14:paraId="0C961C7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石化产业园设金鼓片区、鹿耳片区和三墩片区，各片区内均规划或建设集中污水处理厂，区内集中污水处理厂均需设定接纳污水水质标准，各企业污水达到污水处理厂接纳污水水质要求后，才可排入规划区的污水管道送入污水处理厂进一步处理，尾水经过污水泵站提升后深海排放。本项目位于金鼓片区，服务于园区内企业，服务对象主要为广西恒逸新材料有限公司年产120万吨己内酰胺-聚酰胺产业一体化及配套工程项目。本评价仅介绍该片区排水工程情况，除本项目外，金鼓片区目前有胜科污水处理厂、广西天宜环境科技有限公司污水处理厂，各污水处理厂达标尾水最终经A1深海排放区。</w:t>
      </w:r>
    </w:p>
    <w:p w14:paraId="75CE5C3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（1）胜科污水处理厂</w:t>
      </w:r>
    </w:p>
    <w:p w14:paraId="08B4A52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园区内已建污水处理厂钦州港工业污水集中处理厂由钦州胜科水务有限公司建设，将为钦州港经济技术开发区西港区66.67平方公里内的企业和居民提供污水处理服务。该项目一期设计为3万吨/天，占地约40亩，分两步建设。已建成一期A部分规模为1.5万吨/天，采用“缺氧+好氧+生物流化床”的处理工艺，达到《城镇污水处理厂污染物排放标准》（GB18918-2002）一级标准A标准后排海，一期A部分于2010年7月开工建设，于2013年1月1日投入试运行。目前污水处理厂自正式投入运行以来，污水处理设备运转良好，目前处理规模在1.2万吨/天左右。</w:t>
      </w:r>
    </w:p>
    <w:p w14:paraId="1530AB8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（2）广西天宜环境科技有限公司污水处理厂</w:t>
      </w:r>
    </w:p>
    <w:p w14:paraId="073206A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该污水处理厂项目分三期进行建设，一期工程规模为4.5万m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d，占地面积约39.5亩，属广西华谊能源化工有限公司工业气体岛项目配套的环保设施项目，服务范围及对象为广西华谊能源化工工业气体岛项目的生产废水、生活污水、循环水排水、除盐水排水和初期雨水等废水，同时接收苏伊士环保科技（钦州）有限公司钦州港经济技术开发区危险废物综合处置中心项目预处理后的废水。废水经处理达到执行《城镇污水处理厂污染物排放标准》（GB18918-2002）一级B标准及《石油化学工业污染物排放标准》（GB31571-2015）中表2的直接排放限值及表3有机特征污染物排放限值中较严值，经园区排海泵站提升后金鼓江污水深海排放区。</w:t>
      </w:r>
    </w:p>
    <w:p w14:paraId="25362AF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天宜二期处理规模2.5万m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/d，占地面积约80亩，属钦州港经济技术开发区石化产业园区环保基础设施，服务范围及对象依然为园区内企业生产废水及生活污水。</w:t>
      </w:r>
    </w:p>
    <w:p w14:paraId="2A1BB1C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拟建三期处理规模为位于园区天宜二期污水处理厂东面相邻位置，设计污水处理规模为3.5万m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d，处理工艺采用污水分质、分类接收和处理方式，工艺处理系统主要包括：低浓度含油废水预处理系统、高含盐废水预处理系统、高浓度难生化废水预处理系统、高浓度废水预处理系统、综合废水处理系统、清净废水处理系统和卤水收集排放系统。进水水质要求为各服务对象的废水可不在其厂区内进行预处理，满足纳管要求即可。出水水质要求为废水排放标准按《污水综合排放标准》（GB8978-1996）一级标准、《石油化学工业污染物排放标准》（GB31571-2015）“表1水污染物限值”《合成树脂工业污染物排放标准》（GB31572-2015），三个标准从严执行。主要服务对象包括：广西华谊能化“100万吨/年MTO项目”、上海华谊“32万吨/年环氧树脂及有机硅特种新材料项目”、广西华谊氯碱“双氧水法环氧丙烷（HPPO）及聚醚多元醇一体化项目”、广西华谊新材料“2万吨/年阻聚剂项目”、广西华谊“30万吨/年可降解塑料PBAT项目”、广西华谊“PBAT配套1，4-丁二醇项目（32万吨/年顺酐、20万吨/年1，4-丁二醇）”、钦州基地三期脱盐水站项目。尾水通过A1排污口进行深海排放。</w:t>
      </w:r>
    </w:p>
    <w:p w14:paraId="037F196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（3）深海管网及A1排污口建设情况</w:t>
      </w:r>
    </w:p>
    <w:p w14:paraId="3BFC1FD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据调查，石化园区深海管网的建设、运营已交由广西钦州临海工业投资有限责任公司负责，钦州石化园区配套深海排放管工程项目已于2019年7月17日获得环评批复（钦港环管字〔2019〕10号），排污区A1已于2019年12月开工建设，现已建设完成，目前正常运行，A1排放口位置经纬度为108.63°E，21.688°N。</w:t>
      </w:r>
    </w:p>
    <w:p w14:paraId="660120CD">
      <w:pPr>
        <w:pStyle w:val="9"/>
      </w:pPr>
      <w:bookmarkStart w:id="150" w:name="_Toc204062614"/>
      <w:r>
        <w:rPr>
          <w:rFonts w:hint="eastAsia"/>
        </w:rPr>
        <w:t>供热工程</w:t>
      </w:r>
      <w:bookmarkEnd w:id="150"/>
    </w:p>
    <w:p w14:paraId="613575B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（1）供热现状</w:t>
      </w:r>
    </w:p>
    <w:p w14:paraId="5AF1818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目前产业园金鼓片区集中供热热源为国投钦州发电有限公司。国投钦州发电有限公司分三期建设有6台发电机组（其中一期为1#、2#机组，二期为3#、4#机组，三期为1号、2号机组）。</w:t>
      </w:r>
    </w:p>
    <w:p w14:paraId="7E043ED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国投钦州发电有限公司一、二期机组通流部分及热力系统供热节能改造项目于2021年12月投产，一期1#、2#机组达到单台机组最大抽汽量约500t/h，减温后可供4.25MPa，475℃的工业蒸汽603.03t/h；二期3#、4#机组达到单台机组最大抽汽量300t/h，减温减压后可供4.25MPa，475℃的工业蒸汽333.46t/h。</w:t>
      </w:r>
    </w:p>
    <w:p w14:paraId="03EC7E0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三期1号机组于2023年12月投产，供热能力约800t/h；2#机组于2024年4月投产，供热能力约800t/h。</w:t>
      </w:r>
    </w:p>
    <w:p w14:paraId="22AC839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（2）规划新建发电设备及供汽能力</w:t>
      </w:r>
    </w:p>
    <w:p w14:paraId="4F4089D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金鼓片区规划升级改造国投钦州发电有限公司现有4台机组供热能力由现有580t/h增加到2606t/h，最低不低于1906t/h；新增4台660MW超超临界燃烧发电机组，新增供汽2400t/h。</w:t>
      </w:r>
    </w:p>
    <w:p w14:paraId="79F535C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国投钦州发电有限公司计划2019年—2020年进行机组供热改造（已完成招标），改造后1#、2#机组最大供热量均为603t/h；计划2020年—2022年对3#、4#机组进行大改造，改造后3#、4#机组最大供热量均不低于700t/h。四台机组可以提供2606t/h，按照3台运行1台备用测算最低供热能力为1906t/h，且四台机组通过蒸汽联箱互为备用、互相保障，保证蒸汽不断供应。</w:t>
      </w:r>
    </w:p>
    <w:p w14:paraId="4F1DEFD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国投钦州发电有限公司三期4台660MW超超临界燃烧发电机组建设，设计供汽能力可达2400t/h，2024年建成投运。届时一期、二期和三期共8台机组通过供汽管网联络起来，8台机组互为备用，供汽可靠性强。</w:t>
      </w:r>
    </w:p>
    <w:p w14:paraId="4A87A47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（3）供热管网规划</w:t>
      </w:r>
    </w:p>
    <w:p w14:paraId="3E7C88D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石化产业园蒸汽管网主要有高压、中压、低压三个等级：高压9.8MPa、中压4.0MPa、低压1.2MPa。各生产装置所需高、中、低压蒸汽由工业区公用热力管网统一供应。各压力等级蒸汽管网建设成供热环网，将各热源点纳入供热环网，互为保障、互为备用，提高供热安全性、可靠性、经济性。蒸汽管线采用沿地上工业管廊架设，各热用户回收的蒸汽冷凝液由管网统一收集并送回热电站进行处理后再使用。</w:t>
      </w:r>
    </w:p>
    <w:p w14:paraId="3D5F06F8">
      <w:pPr>
        <w:pStyle w:val="9"/>
      </w:pPr>
      <w:bookmarkStart w:id="151" w:name="_Toc204062615"/>
      <w:r>
        <w:rPr>
          <w:rFonts w:hint="eastAsia"/>
        </w:rPr>
        <w:t>供电工程</w:t>
      </w:r>
      <w:bookmarkEnd w:id="151"/>
    </w:p>
    <w:p w14:paraId="16A7135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（1）供电现状</w:t>
      </w:r>
    </w:p>
    <w:p w14:paraId="229DE0E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港目前已有320万kW机组投产运营，正在建设装机容量为720万kW发电厂一座。该电厂分别升压通过220kV与500kV两个电压等级的线路与广西大电网并联。钦州电网现有1个500kV久隆变电站（位于钦州市北郊）。园区附近目前有4座220kV公用变电站，分别是港口变电站、亚江变电站、榄坪变电站、220kV排岭变电站，已建成110千伏变电站三座。此外国投钦州三期项目位于中国（广西）自由贸易试验区钦州港片区，规划建设4×660MW超超临界燃煤发电机组，纯凝工况下4台机组设计发电煤耗264.1g/kW·h，机组供热最大出力工况下，1、2号机组发电煤耗可达到230.25g/kW·h，3、4号机组发电煤耗可达到218.58g/kW·h，处于行业领先水平。国投钦州电厂三期2号机组（66万千瓦）于2024年4月29日通过168小时试运行，正式投产发电。该机组配备高效除尘、脱硫、脱硝等配套设施，年设计发电量约33亿千瓦时，供热能力约800 t/h，投产即可实现超低排放。国投钦州电厂三期首台机组于2023年12月31日投产，截至目前已投产132万千瓦，2024年6月17日3、4号机组工程相继开工建设。</w:t>
      </w:r>
    </w:p>
    <w:p w14:paraId="1DCAA24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（2）供电设施规划</w:t>
      </w:r>
    </w:p>
    <w:p w14:paraId="01C0C19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金鼓片区的中石油乙烯项目自建220千伏用户变电站及配套供配电设施。</w:t>
      </w:r>
    </w:p>
    <w:p w14:paraId="5ACF3CA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金鼓片区近期规划建设500千伏钦南变电站和220kV港区变电站。规划500千伏钦南变电站终期3×1000MVA，500千伏出线4回，220千伏出线12回；规划220千伏港区变电站终期3×150MVA，220千伏出线12回。500千伏钦南变电站和220千伏港区变电站的建设时机应依据本规划项目的发展进度、电力电量平衡情况进行。</w:t>
      </w:r>
    </w:p>
    <w:p w14:paraId="10BB401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金鼓片区远期拟在园区金鼓片区再规划建设4座220kV变电站，分别命名为石化一、石化二、石化三、石化四站，每个变电站电压等级为220/110kV，规划主变总容量为2台150MVA变压器。</w:t>
      </w:r>
    </w:p>
    <w:p w14:paraId="2839C33F">
      <w:pPr>
        <w:pStyle w:val="9"/>
      </w:pPr>
      <w:bookmarkStart w:id="152" w:name="_Toc204062616"/>
      <w:r>
        <w:rPr>
          <w:rFonts w:hint="eastAsia"/>
        </w:rPr>
        <w:t>公共管廊建设概况</w:t>
      </w:r>
      <w:bookmarkEnd w:id="152"/>
    </w:p>
    <w:p w14:paraId="752CF15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钦州石化产业园工业管廊（一期）工程项目于2010年11月14日获得了《钦州市</w:t>
      </w:r>
      <w:r>
        <w:rPr>
          <w:rFonts w:hint="eastAsia"/>
          <w:color w:val="0D0D0D" w:themeColor="text1" w:themeTint="F2"/>
          <w:lang w:eastAsia="zh-CN"/>
          <w14:textFill>
            <w14:solidFill>
              <w14:schemeClr w14:val="tx1">
                <w14:lumMod w14:val="95000"/>
                <w14:lumOff w14:val="5000"/>
              </w14:schemeClr>
            </w14:solidFill>
          </w14:textFill>
        </w:rPr>
        <w:t>生态环境局</w:t>
      </w:r>
      <w:r>
        <w:rPr>
          <w:rFonts w:hint="eastAsia"/>
          <w:color w:val="0D0D0D" w:themeColor="text1" w:themeTint="F2"/>
          <w14:textFill>
            <w14:solidFill>
              <w14:schemeClr w14:val="tx1">
                <w14:lumMod w14:val="95000"/>
                <w14:lumOff w14:val="5000"/>
              </w14:schemeClr>
            </w14:solidFill>
          </w14:textFill>
        </w:rPr>
        <w:t>关于钦州石化产业园工业管廊（一期）工程环境影响报告表的批复》（钦市环审字〔2010〕238号），现已完成建设。主要建设内容为中油至金鼓大街段、南港大道（金鼓大街以南路段）、勒沟东大道、临海大道（勒沟东大道以南路段）、海豚路（勒沟东大道以南路段）、中亚科技配套路工业管廊。</w:t>
      </w:r>
    </w:p>
    <w:p w14:paraId="5834438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钦州石化产业园公共管廊（二期）工程于2018年11月由青岛洁瑞环保技术服务有限公司编制完成了《钦州石化产业园公共管廊（二期）工程环境影响报告表》，2019年1月31日获得了钦州市</w:t>
      </w:r>
      <w:r>
        <w:rPr>
          <w:rFonts w:hint="eastAsia"/>
          <w:color w:val="0D0D0D" w:themeColor="text1" w:themeTint="F2"/>
          <w:lang w:eastAsia="zh-CN"/>
          <w14:textFill>
            <w14:solidFill>
              <w14:schemeClr w14:val="tx1">
                <w14:lumMod w14:val="95000"/>
                <w14:lumOff w14:val="5000"/>
              </w14:schemeClr>
            </w14:solidFill>
          </w14:textFill>
        </w:rPr>
        <w:t>生态环境局</w:t>
      </w:r>
      <w:r>
        <w:rPr>
          <w:rFonts w:hint="eastAsia"/>
          <w:color w:val="0D0D0D" w:themeColor="text1" w:themeTint="F2"/>
          <w14:textFill>
            <w14:solidFill>
              <w14:schemeClr w14:val="tx1">
                <w14:lumMod w14:val="95000"/>
                <w14:lumOff w14:val="5000"/>
              </w14:schemeClr>
            </w14:solidFill>
          </w14:textFill>
        </w:rPr>
        <w:t>《关于钦州石化产业园公共管廊（二期）工程环境影响报告表的批复 》（钦港环管字〔2019〕2号）。目前已建设完成管廊，建设内容包括：中亚科技配套路公共管廊、海豚路（勒沟东大道以南段）公共管廊、海豚路（金鼓大街至勒沟东大道段）公共管廊、金鼓大街公共管廊（E1.N1段）、南港大道（金鼓大街至勒沟东大道段）公共管廊、勒沟东大道（南港大道至临海大道段）公共管廊、石化园区至勒沟作业区公共管廊、临海大道公共管廊等。</w:t>
      </w:r>
    </w:p>
    <w:p w14:paraId="680F0AC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石化产业园公共管廊（三期）工程已由中国（广西）自贸区钦州港片区行政审批局以自贸钦港审批立﹝2020﹞27号文、自贸钦港审批投﹝2021﹞3号文、自贸钦港审批投﹝2021﹞23号文批准建设。建设总长度为6348m，包括以下七段：海豚路（营盘街至华谊支管廊段）、海豚路（华谊支管廊至果鹰大道）、果鹰大道（一期管廊至临海大道段）、临海大道东侧（营盘街至18#码头段）、临海大道公共管廊加层设计、勒沟东大道（南港大道至临海大道段）公共管廊加层设计、华谊氯碱支管廊。</w:t>
      </w:r>
    </w:p>
    <w:p w14:paraId="7675266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钦州石化产业园公共管廊四期主要服务于国投电厂三期企业以及周边拟建企业。公共管廊四期全长5160m，分两段建设，分别为南港大道东侧（滨海公路至环珠东大街段）长度3820m及广西石化至南港大道长度1340m。</w:t>
      </w:r>
    </w:p>
    <w:p w14:paraId="3317D8BB">
      <w:pPr>
        <w:pStyle w:val="8"/>
      </w:pPr>
      <w:bookmarkStart w:id="153" w:name="_Toc204062617"/>
      <w:r>
        <w:rPr>
          <w:rFonts w:hint="eastAsia"/>
        </w:rPr>
        <w:t>区域污染源调查</w:t>
      </w:r>
      <w:bookmarkEnd w:id="153"/>
    </w:p>
    <w:p w14:paraId="0109BEA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根据《广西钦州石化产业园总体发展规划（2020-2035）环境影响报告书》、全国排污许可证管理信息平台以及各项目环境影响报告书，区域污染源统计情况详见表4.4-1。</w:t>
      </w:r>
    </w:p>
    <w:p w14:paraId="356AF370">
      <w:pPr>
        <w:ind w:firstLine="480" w:firstLineChars="200"/>
        <w:rPr>
          <w:color w:val="0D0D0D" w:themeColor="text1" w:themeTint="F2"/>
          <w14:textFill>
            <w14:solidFill>
              <w14:schemeClr w14:val="tx1">
                <w14:lumMod w14:val="95000"/>
                <w14:lumOff w14:val="5000"/>
              </w14:schemeClr>
            </w14:solidFill>
          </w14:textFill>
        </w:rPr>
        <w:sectPr>
          <w:pgSz w:w="11906" w:h="16838"/>
          <w:pgMar w:top="1440" w:right="1440" w:bottom="1440" w:left="1440" w:header="851" w:footer="992" w:gutter="0"/>
          <w:cols w:space="425" w:num="1"/>
          <w:docGrid w:type="lines" w:linePitch="312" w:charSpace="0"/>
        </w:sectPr>
      </w:pPr>
    </w:p>
    <w:p w14:paraId="6B17A238">
      <w:pPr>
        <w:pStyle w:val="11"/>
      </w:pPr>
      <w:r>
        <w:rPr>
          <w:rFonts w:hint="eastAsia"/>
        </w:rPr>
        <w:t xml:space="preserve"> 区域污染源统计情况表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3602"/>
        <w:gridCol w:w="859"/>
        <w:gridCol w:w="859"/>
        <w:gridCol w:w="859"/>
        <w:gridCol w:w="859"/>
        <w:gridCol w:w="1041"/>
        <w:gridCol w:w="1021"/>
        <w:gridCol w:w="859"/>
        <w:gridCol w:w="1106"/>
        <w:gridCol w:w="1106"/>
        <w:gridCol w:w="998"/>
        <w:gridCol w:w="503"/>
      </w:tblGrid>
      <w:tr w14:paraId="5CC76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77" w:type="pct"/>
            <w:vAlign w:val="center"/>
          </w:tcPr>
          <w:p w14:paraId="667BADE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序号</w:t>
            </w:r>
          </w:p>
        </w:tc>
        <w:tc>
          <w:tcPr>
            <w:tcW w:w="1270" w:type="pct"/>
            <w:vAlign w:val="center"/>
          </w:tcPr>
          <w:p w14:paraId="31CA53C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企业名称</w:t>
            </w:r>
          </w:p>
        </w:tc>
        <w:tc>
          <w:tcPr>
            <w:tcW w:w="303" w:type="pct"/>
            <w:vAlign w:val="center"/>
          </w:tcPr>
          <w:p w14:paraId="339AD9A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SO</w:t>
            </w:r>
            <w:r>
              <w:rPr>
                <w:rFonts w:hint="eastAsia"/>
                <w:color w:val="0D0D0D" w:themeColor="text1" w:themeTint="F2"/>
                <w:sz w:val="21"/>
                <w:szCs w:val="21"/>
                <w:vertAlign w:val="subscript"/>
                <w14:textFill>
                  <w14:solidFill>
                    <w14:schemeClr w14:val="tx1">
                      <w14:lumMod w14:val="95000"/>
                      <w14:lumOff w14:val="5000"/>
                    </w14:schemeClr>
                  </w14:solidFill>
                </w14:textFill>
              </w:rPr>
              <w:t>2</w:t>
            </w:r>
          </w:p>
          <w:p w14:paraId="39FDA8C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（t/a）</w:t>
            </w:r>
          </w:p>
        </w:tc>
        <w:tc>
          <w:tcPr>
            <w:tcW w:w="303" w:type="pct"/>
            <w:vAlign w:val="center"/>
          </w:tcPr>
          <w:p w14:paraId="68C8019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NOx</w:t>
            </w:r>
          </w:p>
          <w:p w14:paraId="533FC05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（t/a）</w:t>
            </w:r>
          </w:p>
        </w:tc>
        <w:tc>
          <w:tcPr>
            <w:tcW w:w="303" w:type="pct"/>
            <w:vAlign w:val="center"/>
          </w:tcPr>
          <w:p w14:paraId="6DCED59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颗粒物</w:t>
            </w:r>
          </w:p>
          <w:p w14:paraId="4FC1B2D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（t/a）</w:t>
            </w:r>
          </w:p>
        </w:tc>
        <w:tc>
          <w:tcPr>
            <w:tcW w:w="303" w:type="pct"/>
            <w:vAlign w:val="center"/>
          </w:tcPr>
          <w:p w14:paraId="7253AC6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VOCs</w:t>
            </w:r>
          </w:p>
          <w:p w14:paraId="54F71D5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（t/a）</w:t>
            </w:r>
          </w:p>
        </w:tc>
        <w:tc>
          <w:tcPr>
            <w:tcW w:w="367" w:type="pct"/>
            <w:vAlign w:val="center"/>
          </w:tcPr>
          <w:p w14:paraId="0423EBC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工业</w:t>
            </w:r>
          </w:p>
          <w:p w14:paraId="033AB9A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废水</w:t>
            </w:r>
          </w:p>
          <w:p w14:paraId="272DDC7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（万m</w:t>
            </w:r>
            <w:r>
              <w:rPr>
                <w:rFonts w:hint="eastAsia"/>
                <w:color w:val="0D0D0D" w:themeColor="text1" w:themeTint="F2"/>
                <w:sz w:val="21"/>
                <w:szCs w:val="21"/>
                <w:vertAlign w:val="superscript"/>
                <w14:textFill>
                  <w14:solidFill>
                    <w14:schemeClr w14:val="tx1">
                      <w14:lumMod w14:val="95000"/>
                      <w14:lumOff w14:val="5000"/>
                    </w14:schemeClr>
                  </w14:solidFill>
                </w14:textFill>
              </w:rPr>
              <w:t>3</w:t>
            </w:r>
            <w:r>
              <w:rPr>
                <w:rFonts w:hint="eastAsia"/>
                <w:color w:val="0D0D0D" w:themeColor="text1" w:themeTint="F2"/>
                <w:sz w:val="21"/>
                <w:szCs w:val="21"/>
                <w14:textFill>
                  <w14:solidFill>
                    <w14:schemeClr w14:val="tx1">
                      <w14:lumMod w14:val="95000"/>
                      <w14:lumOff w14:val="5000"/>
                    </w14:schemeClr>
                  </w14:solidFill>
                </w14:textFill>
              </w:rPr>
              <w:t>/a）</w:t>
            </w:r>
          </w:p>
        </w:tc>
        <w:tc>
          <w:tcPr>
            <w:tcW w:w="360" w:type="pct"/>
            <w:vAlign w:val="center"/>
          </w:tcPr>
          <w:p w14:paraId="13D9F19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COD</w:t>
            </w:r>
          </w:p>
          <w:p w14:paraId="256F81B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（t/a）</w:t>
            </w:r>
          </w:p>
        </w:tc>
        <w:tc>
          <w:tcPr>
            <w:tcW w:w="303" w:type="pct"/>
            <w:vAlign w:val="center"/>
          </w:tcPr>
          <w:p w14:paraId="7FA0AC8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NH</w:t>
            </w:r>
            <w:r>
              <w:rPr>
                <w:rFonts w:hint="eastAsia"/>
                <w:color w:val="0D0D0D" w:themeColor="text1" w:themeTint="F2"/>
                <w:sz w:val="21"/>
                <w:szCs w:val="21"/>
                <w:vertAlign w:val="subscript"/>
                <w14:textFill>
                  <w14:solidFill>
                    <w14:schemeClr w14:val="tx1">
                      <w14:lumMod w14:val="95000"/>
                      <w14:lumOff w14:val="5000"/>
                    </w14:schemeClr>
                  </w14:solidFill>
                </w14:textFill>
              </w:rPr>
              <w:t>3</w:t>
            </w:r>
            <w:r>
              <w:rPr>
                <w:rFonts w:hint="eastAsia"/>
                <w:color w:val="0D0D0D" w:themeColor="text1" w:themeTint="F2"/>
                <w:sz w:val="21"/>
                <w:szCs w:val="21"/>
                <w14:textFill>
                  <w14:solidFill>
                    <w14:schemeClr w14:val="tx1">
                      <w14:lumMod w14:val="95000"/>
                      <w14:lumOff w14:val="5000"/>
                    </w14:schemeClr>
                  </w14:solidFill>
                </w14:textFill>
              </w:rPr>
              <w:t>-N</w:t>
            </w:r>
          </w:p>
          <w:p w14:paraId="41D13EE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（t/a）</w:t>
            </w:r>
          </w:p>
        </w:tc>
        <w:tc>
          <w:tcPr>
            <w:tcW w:w="390" w:type="pct"/>
            <w:vAlign w:val="center"/>
          </w:tcPr>
          <w:p w14:paraId="24244B0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一般</w:t>
            </w:r>
          </w:p>
          <w:p w14:paraId="1367C8F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固废（t/a）</w:t>
            </w:r>
          </w:p>
        </w:tc>
        <w:tc>
          <w:tcPr>
            <w:tcW w:w="390" w:type="pct"/>
            <w:vAlign w:val="center"/>
          </w:tcPr>
          <w:p w14:paraId="7C2D30C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危险</w:t>
            </w:r>
          </w:p>
          <w:p w14:paraId="0F956E6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废物（t/a）</w:t>
            </w:r>
          </w:p>
        </w:tc>
        <w:tc>
          <w:tcPr>
            <w:tcW w:w="352" w:type="pct"/>
            <w:vAlign w:val="center"/>
          </w:tcPr>
          <w:p w14:paraId="659B6CA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生活</w:t>
            </w:r>
          </w:p>
          <w:p w14:paraId="72B9CBA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垃圾（t/a）</w:t>
            </w:r>
          </w:p>
        </w:tc>
        <w:tc>
          <w:tcPr>
            <w:tcW w:w="177" w:type="pct"/>
            <w:vAlign w:val="center"/>
          </w:tcPr>
          <w:p w14:paraId="55BE5AA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备注</w:t>
            </w:r>
          </w:p>
        </w:tc>
      </w:tr>
      <w:tr w14:paraId="1AD12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Align w:val="center"/>
          </w:tcPr>
          <w:p w14:paraId="68AC18C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w:t>
            </w:r>
          </w:p>
        </w:tc>
        <w:tc>
          <w:tcPr>
            <w:tcW w:w="1270" w:type="pct"/>
            <w:vAlign w:val="center"/>
          </w:tcPr>
          <w:p w14:paraId="2D4023E0">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广西雅保锂业有限公司年产2.5万吨电池级氢氧化锂技改项目</w:t>
            </w:r>
          </w:p>
        </w:tc>
        <w:tc>
          <w:tcPr>
            <w:tcW w:w="303" w:type="pct"/>
            <w:vAlign w:val="center"/>
          </w:tcPr>
          <w:p w14:paraId="10AD131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22.43</w:t>
            </w:r>
          </w:p>
        </w:tc>
        <w:tc>
          <w:tcPr>
            <w:tcW w:w="303" w:type="pct"/>
            <w:vAlign w:val="center"/>
          </w:tcPr>
          <w:p w14:paraId="5AC1C3C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-2.19</w:t>
            </w:r>
          </w:p>
        </w:tc>
        <w:tc>
          <w:tcPr>
            <w:tcW w:w="303" w:type="pct"/>
            <w:vAlign w:val="center"/>
          </w:tcPr>
          <w:p w14:paraId="5680772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4.00</w:t>
            </w:r>
          </w:p>
        </w:tc>
        <w:tc>
          <w:tcPr>
            <w:tcW w:w="303" w:type="pct"/>
            <w:vAlign w:val="center"/>
          </w:tcPr>
          <w:p w14:paraId="196795B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67" w:type="pct"/>
            <w:vAlign w:val="center"/>
          </w:tcPr>
          <w:p w14:paraId="35E76E1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0.50</w:t>
            </w:r>
          </w:p>
        </w:tc>
        <w:tc>
          <w:tcPr>
            <w:tcW w:w="360" w:type="pct"/>
            <w:vAlign w:val="center"/>
          </w:tcPr>
          <w:p w14:paraId="0A763AD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74BB706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90" w:type="pct"/>
            <w:vAlign w:val="center"/>
          </w:tcPr>
          <w:p w14:paraId="55D4827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377680.2</w:t>
            </w:r>
          </w:p>
        </w:tc>
        <w:tc>
          <w:tcPr>
            <w:tcW w:w="390" w:type="pct"/>
            <w:vAlign w:val="center"/>
          </w:tcPr>
          <w:p w14:paraId="549D5E0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14.2</w:t>
            </w:r>
          </w:p>
        </w:tc>
        <w:tc>
          <w:tcPr>
            <w:tcW w:w="352" w:type="pct"/>
            <w:vAlign w:val="center"/>
          </w:tcPr>
          <w:p w14:paraId="342C193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177" w:type="pct"/>
            <w:vAlign w:val="center"/>
          </w:tcPr>
          <w:p w14:paraId="7027224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拟建</w:t>
            </w:r>
          </w:p>
        </w:tc>
      </w:tr>
      <w:tr w14:paraId="6D723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Align w:val="center"/>
          </w:tcPr>
          <w:p w14:paraId="63E9609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w:t>
            </w:r>
          </w:p>
        </w:tc>
        <w:tc>
          <w:tcPr>
            <w:tcW w:w="1270" w:type="pct"/>
            <w:vAlign w:val="center"/>
          </w:tcPr>
          <w:p w14:paraId="0B2C678A">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广西钦州澄星化工科技有限公司</w:t>
            </w:r>
          </w:p>
        </w:tc>
        <w:tc>
          <w:tcPr>
            <w:tcW w:w="303" w:type="pct"/>
            <w:vAlign w:val="center"/>
          </w:tcPr>
          <w:p w14:paraId="418CE05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54864C5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3F2B289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75C17FF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67" w:type="pct"/>
            <w:vAlign w:val="center"/>
          </w:tcPr>
          <w:p w14:paraId="1B57601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60" w:type="pct"/>
            <w:vAlign w:val="center"/>
          </w:tcPr>
          <w:p w14:paraId="020EADF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0834EBD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90" w:type="pct"/>
            <w:vAlign w:val="center"/>
          </w:tcPr>
          <w:p w14:paraId="714894C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90" w:type="pct"/>
            <w:vAlign w:val="center"/>
          </w:tcPr>
          <w:p w14:paraId="087FDEC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30</w:t>
            </w:r>
          </w:p>
        </w:tc>
        <w:tc>
          <w:tcPr>
            <w:tcW w:w="352" w:type="pct"/>
            <w:vAlign w:val="center"/>
          </w:tcPr>
          <w:p w14:paraId="2C91B8F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177" w:type="pct"/>
            <w:vAlign w:val="center"/>
          </w:tcPr>
          <w:p w14:paraId="2C3AEEE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已建</w:t>
            </w:r>
          </w:p>
        </w:tc>
      </w:tr>
      <w:tr w14:paraId="30B68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Align w:val="center"/>
          </w:tcPr>
          <w:p w14:paraId="5282AB0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w:t>
            </w:r>
          </w:p>
        </w:tc>
        <w:tc>
          <w:tcPr>
            <w:tcW w:w="1270" w:type="pct"/>
            <w:vAlign w:val="center"/>
          </w:tcPr>
          <w:p w14:paraId="79E907E2">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中电投北部湾（广西）热电有限公司</w:t>
            </w:r>
          </w:p>
        </w:tc>
        <w:tc>
          <w:tcPr>
            <w:tcW w:w="303" w:type="pct"/>
            <w:vAlign w:val="center"/>
          </w:tcPr>
          <w:p w14:paraId="7BE0541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1331.6</w:t>
            </w:r>
          </w:p>
        </w:tc>
        <w:tc>
          <w:tcPr>
            <w:tcW w:w="303" w:type="pct"/>
            <w:vAlign w:val="center"/>
          </w:tcPr>
          <w:p w14:paraId="68072B9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343.2</w:t>
            </w:r>
          </w:p>
        </w:tc>
        <w:tc>
          <w:tcPr>
            <w:tcW w:w="303" w:type="pct"/>
            <w:vAlign w:val="center"/>
          </w:tcPr>
          <w:p w14:paraId="7620C22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61C4709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67" w:type="pct"/>
            <w:vAlign w:val="center"/>
          </w:tcPr>
          <w:p w14:paraId="4820FDF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60" w:type="pct"/>
            <w:vAlign w:val="center"/>
          </w:tcPr>
          <w:p w14:paraId="34BCD3A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4B0FF04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90" w:type="pct"/>
            <w:vAlign w:val="center"/>
          </w:tcPr>
          <w:p w14:paraId="3D829CE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90" w:type="pct"/>
            <w:vAlign w:val="center"/>
          </w:tcPr>
          <w:p w14:paraId="56C9349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52" w:type="pct"/>
            <w:vAlign w:val="center"/>
          </w:tcPr>
          <w:p w14:paraId="7FF337F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177" w:type="pct"/>
            <w:vAlign w:val="center"/>
          </w:tcPr>
          <w:p w14:paraId="68EFB81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已建</w:t>
            </w:r>
          </w:p>
        </w:tc>
      </w:tr>
      <w:tr w14:paraId="4EF31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Align w:val="center"/>
          </w:tcPr>
          <w:p w14:paraId="656D773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4</w:t>
            </w:r>
          </w:p>
        </w:tc>
        <w:tc>
          <w:tcPr>
            <w:tcW w:w="1270" w:type="pct"/>
            <w:vAlign w:val="center"/>
          </w:tcPr>
          <w:p w14:paraId="33840C1E">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华谊公司甲醇制烯烃及下游深加工一体化项目</w:t>
            </w:r>
          </w:p>
        </w:tc>
        <w:tc>
          <w:tcPr>
            <w:tcW w:w="303" w:type="pct"/>
            <w:vAlign w:val="center"/>
          </w:tcPr>
          <w:p w14:paraId="6BD1B42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66F8895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67BAAF4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7FE3A96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67" w:type="pct"/>
            <w:vAlign w:val="center"/>
          </w:tcPr>
          <w:p w14:paraId="5BE700D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60" w:type="pct"/>
            <w:vAlign w:val="center"/>
          </w:tcPr>
          <w:p w14:paraId="48179D3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4CF6CC1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90" w:type="pct"/>
            <w:vAlign w:val="center"/>
          </w:tcPr>
          <w:p w14:paraId="32FFDC3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90" w:type="pct"/>
            <w:vAlign w:val="center"/>
          </w:tcPr>
          <w:p w14:paraId="1CB0896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52" w:type="pct"/>
            <w:vAlign w:val="center"/>
          </w:tcPr>
          <w:p w14:paraId="3B949A6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177" w:type="pct"/>
            <w:vAlign w:val="center"/>
          </w:tcPr>
          <w:p w14:paraId="2360275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已建</w:t>
            </w:r>
          </w:p>
        </w:tc>
      </w:tr>
      <w:tr w14:paraId="4AB7B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Align w:val="center"/>
          </w:tcPr>
          <w:p w14:paraId="5F31F83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w:t>
            </w:r>
          </w:p>
        </w:tc>
        <w:tc>
          <w:tcPr>
            <w:tcW w:w="1270" w:type="pct"/>
            <w:vAlign w:val="center"/>
          </w:tcPr>
          <w:p w14:paraId="1B0CEE11">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孚宝（钦州）码头有限公司甲醇制烯烃及下游深加工一体化项目配套储罐工程</w:t>
            </w:r>
          </w:p>
        </w:tc>
        <w:tc>
          <w:tcPr>
            <w:tcW w:w="303" w:type="pct"/>
            <w:vAlign w:val="center"/>
          </w:tcPr>
          <w:p w14:paraId="5A15B49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0DBE5B2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5ABBAD8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6CFCDD0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67" w:type="pct"/>
            <w:vAlign w:val="center"/>
          </w:tcPr>
          <w:p w14:paraId="3BB805D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60" w:type="pct"/>
            <w:vAlign w:val="center"/>
          </w:tcPr>
          <w:p w14:paraId="1DC61BF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542CD34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90" w:type="pct"/>
            <w:vAlign w:val="center"/>
          </w:tcPr>
          <w:p w14:paraId="56B1921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90" w:type="pct"/>
            <w:vAlign w:val="center"/>
          </w:tcPr>
          <w:p w14:paraId="753DA97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52" w:type="pct"/>
            <w:vAlign w:val="center"/>
          </w:tcPr>
          <w:p w14:paraId="599BD7E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177" w:type="pct"/>
            <w:vAlign w:val="center"/>
          </w:tcPr>
          <w:p w14:paraId="43FAB51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已建</w:t>
            </w:r>
          </w:p>
        </w:tc>
      </w:tr>
      <w:tr w14:paraId="6D541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Align w:val="center"/>
          </w:tcPr>
          <w:p w14:paraId="04D6B71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6</w:t>
            </w:r>
          </w:p>
        </w:tc>
        <w:tc>
          <w:tcPr>
            <w:tcW w:w="1270" w:type="pct"/>
            <w:vAlign w:val="center"/>
          </w:tcPr>
          <w:p w14:paraId="3C3A0BE0">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广西天宜环境科技有限公司污水处理厂项目（一期工程）</w:t>
            </w:r>
          </w:p>
        </w:tc>
        <w:tc>
          <w:tcPr>
            <w:tcW w:w="303" w:type="pct"/>
            <w:vAlign w:val="center"/>
          </w:tcPr>
          <w:p w14:paraId="19E65E2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35B6C67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3FE8F4A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66FED60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67" w:type="pct"/>
            <w:vAlign w:val="center"/>
          </w:tcPr>
          <w:p w14:paraId="5965B43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1575</w:t>
            </w:r>
          </w:p>
        </w:tc>
        <w:tc>
          <w:tcPr>
            <w:tcW w:w="360" w:type="pct"/>
            <w:vAlign w:val="center"/>
          </w:tcPr>
          <w:p w14:paraId="2DBE99F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882</w:t>
            </w:r>
          </w:p>
        </w:tc>
        <w:tc>
          <w:tcPr>
            <w:tcW w:w="303" w:type="pct"/>
            <w:vAlign w:val="center"/>
          </w:tcPr>
          <w:p w14:paraId="04263EC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96</w:t>
            </w:r>
          </w:p>
        </w:tc>
        <w:tc>
          <w:tcPr>
            <w:tcW w:w="390" w:type="pct"/>
            <w:vAlign w:val="center"/>
          </w:tcPr>
          <w:p w14:paraId="4A421C4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90" w:type="pct"/>
            <w:vAlign w:val="center"/>
          </w:tcPr>
          <w:p w14:paraId="6544739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2086.5</w:t>
            </w:r>
          </w:p>
        </w:tc>
        <w:tc>
          <w:tcPr>
            <w:tcW w:w="352" w:type="pct"/>
            <w:vAlign w:val="center"/>
          </w:tcPr>
          <w:p w14:paraId="0E1240F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9.8</w:t>
            </w:r>
          </w:p>
        </w:tc>
        <w:tc>
          <w:tcPr>
            <w:tcW w:w="177" w:type="pct"/>
            <w:vAlign w:val="center"/>
          </w:tcPr>
          <w:p w14:paraId="0381160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已建</w:t>
            </w:r>
          </w:p>
        </w:tc>
      </w:tr>
      <w:tr w14:paraId="444A1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Align w:val="center"/>
          </w:tcPr>
          <w:p w14:paraId="4DEC6E3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7</w:t>
            </w:r>
          </w:p>
        </w:tc>
        <w:tc>
          <w:tcPr>
            <w:tcW w:w="1270" w:type="pct"/>
            <w:vAlign w:val="center"/>
          </w:tcPr>
          <w:p w14:paraId="024D3D7A">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广西天宜环境科技有限公司污水处理厂项目（二期工程）</w:t>
            </w:r>
          </w:p>
        </w:tc>
        <w:tc>
          <w:tcPr>
            <w:tcW w:w="303" w:type="pct"/>
            <w:vAlign w:val="center"/>
          </w:tcPr>
          <w:p w14:paraId="683C30B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6825833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0227E8A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50159C1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1.78</w:t>
            </w:r>
          </w:p>
        </w:tc>
        <w:tc>
          <w:tcPr>
            <w:tcW w:w="367" w:type="pct"/>
            <w:vAlign w:val="center"/>
          </w:tcPr>
          <w:p w14:paraId="68132D5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7875</w:t>
            </w:r>
          </w:p>
        </w:tc>
        <w:tc>
          <w:tcPr>
            <w:tcW w:w="360" w:type="pct"/>
            <w:vAlign w:val="center"/>
          </w:tcPr>
          <w:p w14:paraId="42BFA93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457.8</w:t>
            </w:r>
          </w:p>
        </w:tc>
        <w:tc>
          <w:tcPr>
            <w:tcW w:w="303" w:type="pct"/>
            <w:vAlign w:val="center"/>
          </w:tcPr>
          <w:p w14:paraId="4DCC774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56.5</w:t>
            </w:r>
          </w:p>
        </w:tc>
        <w:tc>
          <w:tcPr>
            <w:tcW w:w="390" w:type="pct"/>
            <w:vAlign w:val="center"/>
          </w:tcPr>
          <w:p w14:paraId="3809C5A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90" w:type="pct"/>
            <w:vAlign w:val="center"/>
          </w:tcPr>
          <w:p w14:paraId="69EF603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2024</w:t>
            </w:r>
          </w:p>
        </w:tc>
        <w:tc>
          <w:tcPr>
            <w:tcW w:w="352" w:type="pct"/>
            <w:vAlign w:val="center"/>
          </w:tcPr>
          <w:p w14:paraId="1F4C118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9.8</w:t>
            </w:r>
          </w:p>
        </w:tc>
        <w:tc>
          <w:tcPr>
            <w:tcW w:w="177" w:type="pct"/>
            <w:vAlign w:val="center"/>
          </w:tcPr>
          <w:p w14:paraId="0CF1D74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已建</w:t>
            </w:r>
          </w:p>
        </w:tc>
      </w:tr>
      <w:tr w14:paraId="67A81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Align w:val="center"/>
          </w:tcPr>
          <w:p w14:paraId="6A886FA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8</w:t>
            </w:r>
          </w:p>
        </w:tc>
        <w:tc>
          <w:tcPr>
            <w:tcW w:w="1270" w:type="pct"/>
            <w:vAlign w:val="center"/>
          </w:tcPr>
          <w:p w14:paraId="0F301D1B">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广西天宜环境科技有限公司污水处理厂项目（三期工程）</w:t>
            </w:r>
          </w:p>
        </w:tc>
        <w:tc>
          <w:tcPr>
            <w:tcW w:w="303" w:type="pct"/>
            <w:vAlign w:val="center"/>
          </w:tcPr>
          <w:p w14:paraId="43D95A9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04744AA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7C60208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0ECC1E8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17.54</w:t>
            </w:r>
          </w:p>
        </w:tc>
        <w:tc>
          <w:tcPr>
            <w:tcW w:w="367" w:type="pct"/>
            <w:vAlign w:val="center"/>
          </w:tcPr>
          <w:p w14:paraId="47BAF75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1225.00</w:t>
            </w:r>
          </w:p>
        </w:tc>
        <w:tc>
          <w:tcPr>
            <w:tcW w:w="360" w:type="pct"/>
            <w:vAlign w:val="center"/>
          </w:tcPr>
          <w:p w14:paraId="6AAF41C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563.5</w:t>
            </w:r>
          </w:p>
        </w:tc>
        <w:tc>
          <w:tcPr>
            <w:tcW w:w="303" w:type="pct"/>
            <w:vAlign w:val="center"/>
          </w:tcPr>
          <w:p w14:paraId="607A8D0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49</w:t>
            </w:r>
          </w:p>
        </w:tc>
        <w:tc>
          <w:tcPr>
            <w:tcW w:w="390" w:type="pct"/>
            <w:vAlign w:val="center"/>
          </w:tcPr>
          <w:p w14:paraId="588273A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639.3</w:t>
            </w:r>
          </w:p>
        </w:tc>
        <w:tc>
          <w:tcPr>
            <w:tcW w:w="390" w:type="pct"/>
            <w:vAlign w:val="center"/>
          </w:tcPr>
          <w:p w14:paraId="1F9AD90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14112.35</w:t>
            </w:r>
          </w:p>
        </w:tc>
        <w:tc>
          <w:tcPr>
            <w:tcW w:w="352" w:type="pct"/>
            <w:vAlign w:val="center"/>
          </w:tcPr>
          <w:p w14:paraId="1283DC5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3.58</w:t>
            </w:r>
          </w:p>
        </w:tc>
        <w:tc>
          <w:tcPr>
            <w:tcW w:w="177" w:type="pct"/>
            <w:vAlign w:val="center"/>
          </w:tcPr>
          <w:p w14:paraId="0DE98FC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拟建</w:t>
            </w:r>
          </w:p>
        </w:tc>
      </w:tr>
      <w:tr w14:paraId="2B7F7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Align w:val="center"/>
          </w:tcPr>
          <w:p w14:paraId="2B70AA1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9</w:t>
            </w:r>
          </w:p>
        </w:tc>
        <w:tc>
          <w:tcPr>
            <w:tcW w:w="1270" w:type="pct"/>
            <w:vAlign w:val="center"/>
          </w:tcPr>
          <w:p w14:paraId="1C3A21D4">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威立雅环保科技有限公司</w:t>
            </w:r>
          </w:p>
        </w:tc>
        <w:tc>
          <w:tcPr>
            <w:tcW w:w="303" w:type="pct"/>
            <w:vAlign w:val="center"/>
          </w:tcPr>
          <w:p w14:paraId="7D3083F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4942FB7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29B6A7C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5F4F4E1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67" w:type="pct"/>
            <w:vAlign w:val="center"/>
          </w:tcPr>
          <w:p w14:paraId="0072B4A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60" w:type="pct"/>
            <w:vAlign w:val="center"/>
          </w:tcPr>
          <w:p w14:paraId="4B8A03C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08C096B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90" w:type="pct"/>
            <w:vAlign w:val="center"/>
          </w:tcPr>
          <w:p w14:paraId="5F635F4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90" w:type="pct"/>
            <w:vAlign w:val="center"/>
          </w:tcPr>
          <w:p w14:paraId="024AC40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52" w:type="pct"/>
            <w:vAlign w:val="center"/>
          </w:tcPr>
          <w:p w14:paraId="094EA12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177" w:type="pct"/>
            <w:vAlign w:val="center"/>
          </w:tcPr>
          <w:p w14:paraId="2889048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已建</w:t>
            </w:r>
          </w:p>
        </w:tc>
      </w:tr>
      <w:tr w14:paraId="04F04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Align w:val="center"/>
          </w:tcPr>
          <w:p w14:paraId="1352DA9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10</w:t>
            </w:r>
          </w:p>
        </w:tc>
        <w:tc>
          <w:tcPr>
            <w:tcW w:w="1270" w:type="pct"/>
            <w:vAlign w:val="center"/>
          </w:tcPr>
          <w:p w14:paraId="6C99562E">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钦州胜科水务有限公司污水处理厂</w:t>
            </w:r>
          </w:p>
        </w:tc>
        <w:tc>
          <w:tcPr>
            <w:tcW w:w="303" w:type="pct"/>
            <w:vAlign w:val="center"/>
          </w:tcPr>
          <w:p w14:paraId="518C15C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062D335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0F1655B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66E3E6A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67" w:type="pct"/>
            <w:vAlign w:val="center"/>
          </w:tcPr>
          <w:p w14:paraId="5015BC2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1.5</w:t>
            </w:r>
          </w:p>
        </w:tc>
        <w:tc>
          <w:tcPr>
            <w:tcW w:w="360" w:type="pct"/>
            <w:vAlign w:val="center"/>
          </w:tcPr>
          <w:p w14:paraId="6CE0630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547.5</w:t>
            </w:r>
          </w:p>
        </w:tc>
        <w:tc>
          <w:tcPr>
            <w:tcW w:w="303" w:type="pct"/>
            <w:vAlign w:val="center"/>
          </w:tcPr>
          <w:p w14:paraId="7743361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82.15</w:t>
            </w:r>
          </w:p>
        </w:tc>
        <w:tc>
          <w:tcPr>
            <w:tcW w:w="390" w:type="pct"/>
            <w:vAlign w:val="center"/>
          </w:tcPr>
          <w:p w14:paraId="687E0B3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90" w:type="pct"/>
            <w:vAlign w:val="center"/>
          </w:tcPr>
          <w:p w14:paraId="4680D2C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52" w:type="pct"/>
            <w:vAlign w:val="center"/>
          </w:tcPr>
          <w:p w14:paraId="57233D6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177" w:type="pct"/>
            <w:vAlign w:val="center"/>
          </w:tcPr>
          <w:p w14:paraId="7DF6ED0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已建</w:t>
            </w:r>
          </w:p>
        </w:tc>
      </w:tr>
      <w:tr w14:paraId="0FD1C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Align w:val="center"/>
          </w:tcPr>
          <w:p w14:paraId="35ABA25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11</w:t>
            </w:r>
          </w:p>
        </w:tc>
        <w:tc>
          <w:tcPr>
            <w:tcW w:w="1270" w:type="pct"/>
            <w:vAlign w:val="center"/>
          </w:tcPr>
          <w:p w14:paraId="147EC8E2">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广西鸿谊新材料有限公司30万吨/年聚丙烯项目（华谊配套项目）</w:t>
            </w:r>
          </w:p>
        </w:tc>
        <w:tc>
          <w:tcPr>
            <w:tcW w:w="303" w:type="pct"/>
            <w:vAlign w:val="center"/>
          </w:tcPr>
          <w:p w14:paraId="5EED363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4D455A4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78A468F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5.31</w:t>
            </w:r>
          </w:p>
        </w:tc>
        <w:tc>
          <w:tcPr>
            <w:tcW w:w="303" w:type="pct"/>
            <w:vAlign w:val="center"/>
          </w:tcPr>
          <w:p w14:paraId="565CE25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109.46</w:t>
            </w:r>
          </w:p>
        </w:tc>
        <w:tc>
          <w:tcPr>
            <w:tcW w:w="367" w:type="pct"/>
            <w:vAlign w:val="center"/>
          </w:tcPr>
          <w:p w14:paraId="446500F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5.2</w:t>
            </w:r>
          </w:p>
        </w:tc>
        <w:tc>
          <w:tcPr>
            <w:tcW w:w="360" w:type="pct"/>
            <w:vAlign w:val="center"/>
          </w:tcPr>
          <w:p w14:paraId="71E4101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19.6</w:t>
            </w:r>
          </w:p>
        </w:tc>
        <w:tc>
          <w:tcPr>
            <w:tcW w:w="303" w:type="pct"/>
            <w:vAlign w:val="center"/>
          </w:tcPr>
          <w:p w14:paraId="554A8AA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90" w:type="pct"/>
            <w:vAlign w:val="center"/>
          </w:tcPr>
          <w:p w14:paraId="27B57D4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w:t>
            </w:r>
          </w:p>
        </w:tc>
        <w:tc>
          <w:tcPr>
            <w:tcW w:w="390" w:type="pct"/>
            <w:vAlign w:val="center"/>
          </w:tcPr>
          <w:p w14:paraId="78942CD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580</w:t>
            </w:r>
          </w:p>
        </w:tc>
        <w:tc>
          <w:tcPr>
            <w:tcW w:w="352" w:type="pct"/>
            <w:vAlign w:val="center"/>
          </w:tcPr>
          <w:p w14:paraId="67890D5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17</w:t>
            </w:r>
          </w:p>
        </w:tc>
        <w:tc>
          <w:tcPr>
            <w:tcW w:w="177" w:type="pct"/>
            <w:vAlign w:val="center"/>
          </w:tcPr>
          <w:p w14:paraId="2F0AA7F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已建</w:t>
            </w:r>
          </w:p>
        </w:tc>
      </w:tr>
      <w:tr w14:paraId="333AE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Align w:val="center"/>
          </w:tcPr>
          <w:p w14:paraId="7F19BAA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12</w:t>
            </w:r>
          </w:p>
        </w:tc>
        <w:tc>
          <w:tcPr>
            <w:tcW w:w="1270" w:type="pct"/>
            <w:vAlign w:val="center"/>
          </w:tcPr>
          <w:p w14:paraId="19197999">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广西华盛热能有限公司</w:t>
            </w:r>
          </w:p>
        </w:tc>
        <w:tc>
          <w:tcPr>
            <w:tcW w:w="303" w:type="pct"/>
            <w:vAlign w:val="center"/>
          </w:tcPr>
          <w:p w14:paraId="015AA49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36.69</w:t>
            </w:r>
          </w:p>
        </w:tc>
        <w:tc>
          <w:tcPr>
            <w:tcW w:w="303" w:type="pct"/>
            <w:vAlign w:val="center"/>
          </w:tcPr>
          <w:p w14:paraId="0D69360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141.61</w:t>
            </w:r>
          </w:p>
        </w:tc>
        <w:tc>
          <w:tcPr>
            <w:tcW w:w="303" w:type="pct"/>
            <w:vAlign w:val="center"/>
          </w:tcPr>
          <w:p w14:paraId="184AB07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8.8</w:t>
            </w:r>
          </w:p>
        </w:tc>
        <w:tc>
          <w:tcPr>
            <w:tcW w:w="303" w:type="pct"/>
            <w:vAlign w:val="center"/>
          </w:tcPr>
          <w:p w14:paraId="045FB4B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67" w:type="pct"/>
            <w:vAlign w:val="center"/>
          </w:tcPr>
          <w:p w14:paraId="66A54BA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60" w:type="pct"/>
            <w:vAlign w:val="center"/>
          </w:tcPr>
          <w:p w14:paraId="6E5516F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515E94C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90" w:type="pct"/>
            <w:vAlign w:val="center"/>
          </w:tcPr>
          <w:p w14:paraId="347DDC1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90" w:type="pct"/>
            <w:vAlign w:val="center"/>
          </w:tcPr>
          <w:p w14:paraId="5B70999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52" w:type="pct"/>
            <w:vAlign w:val="center"/>
          </w:tcPr>
          <w:p w14:paraId="09C0599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177" w:type="pct"/>
            <w:vAlign w:val="center"/>
          </w:tcPr>
          <w:p w14:paraId="602DCC6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已建</w:t>
            </w:r>
          </w:p>
        </w:tc>
      </w:tr>
      <w:tr w14:paraId="4C061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Align w:val="center"/>
          </w:tcPr>
          <w:p w14:paraId="766D275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13</w:t>
            </w:r>
          </w:p>
        </w:tc>
        <w:tc>
          <w:tcPr>
            <w:tcW w:w="1270" w:type="pct"/>
            <w:vAlign w:val="center"/>
          </w:tcPr>
          <w:p w14:paraId="548A4D5A">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广西钦州恒星锰业有限责任公司</w:t>
            </w:r>
          </w:p>
        </w:tc>
        <w:tc>
          <w:tcPr>
            <w:tcW w:w="303" w:type="pct"/>
            <w:vAlign w:val="center"/>
          </w:tcPr>
          <w:p w14:paraId="58C66A8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124.35</w:t>
            </w:r>
          </w:p>
        </w:tc>
        <w:tc>
          <w:tcPr>
            <w:tcW w:w="303" w:type="pct"/>
            <w:vAlign w:val="center"/>
          </w:tcPr>
          <w:p w14:paraId="4EF0DDE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12.06</w:t>
            </w:r>
          </w:p>
        </w:tc>
        <w:tc>
          <w:tcPr>
            <w:tcW w:w="303" w:type="pct"/>
            <w:vAlign w:val="center"/>
          </w:tcPr>
          <w:p w14:paraId="097D0D1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874.28</w:t>
            </w:r>
          </w:p>
        </w:tc>
        <w:tc>
          <w:tcPr>
            <w:tcW w:w="303" w:type="pct"/>
            <w:vAlign w:val="center"/>
          </w:tcPr>
          <w:p w14:paraId="1D6B9A4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67" w:type="pct"/>
            <w:vAlign w:val="center"/>
          </w:tcPr>
          <w:p w14:paraId="440A396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w:t>
            </w:r>
          </w:p>
        </w:tc>
        <w:tc>
          <w:tcPr>
            <w:tcW w:w="360" w:type="pct"/>
            <w:vAlign w:val="center"/>
          </w:tcPr>
          <w:p w14:paraId="5748492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0B2B543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90" w:type="pct"/>
            <w:vAlign w:val="center"/>
          </w:tcPr>
          <w:p w14:paraId="184B26F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41688</w:t>
            </w:r>
          </w:p>
        </w:tc>
        <w:tc>
          <w:tcPr>
            <w:tcW w:w="390" w:type="pct"/>
            <w:vAlign w:val="center"/>
          </w:tcPr>
          <w:p w14:paraId="162288C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52" w:type="pct"/>
            <w:vAlign w:val="center"/>
          </w:tcPr>
          <w:p w14:paraId="45E70DB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177" w:type="pct"/>
            <w:vAlign w:val="center"/>
          </w:tcPr>
          <w:p w14:paraId="4880BE3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已建</w:t>
            </w:r>
          </w:p>
        </w:tc>
      </w:tr>
      <w:tr w14:paraId="3F693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Align w:val="center"/>
          </w:tcPr>
          <w:p w14:paraId="41732DD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14</w:t>
            </w:r>
          </w:p>
        </w:tc>
        <w:tc>
          <w:tcPr>
            <w:tcW w:w="1270" w:type="pct"/>
            <w:vAlign w:val="center"/>
          </w:tcPr>
          <w:p w14:paraId="7AB353D1">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东方资源（钦州）有限公司</w:t>
            </w:r>
          </w:p>
        </w:tc>
        <w:tc>
          <w:tcPr>
            <w:tcW w:w="303" w:type="pct"/>
            <w:vAlign w:val="center"/>
          </w:tcPr>
          <w:p w14:paraId="4CA385A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134.85</w:t>
            </w:r>
          </w:p>
        </w:tc>
        <w:tc>
          <w:tcPr>
            <w:tcW w:w="303" w:type="pct"/>
            <w:vAlign w:val="center"/>
          </w:tcPr>
          <w:p w14:paraId="384AC33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60</w:t>
            </w:r>
          </w:p>
        </w:tc>
        <w:tc>
          <w:tcPr>
            <w:tcW w:w="303" w:type="pct"/>
            <w:vAlign w:val="center"/>
          </w:tcPr>
          <w:p w14:paraId="272FD84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8</w:t>
            </w:r>
          </w:p>
        </w:tc>
        <w:tc>
          <w:tcPr>
            <w:tcW w:w="303" w:type="pct"/>
            <w:vAlign w:val="center"/>
          </w:tcPr>
          <w:p w14:paraId="718886E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67" w:type="pct"/>
            <w:vAlign w:val="center"/>
          </w:tcPr>
          <w:p w14:paraId="1DAB98A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60" w:type="pct"/>
            <w:vAlign w:val="center"/>
          </w:tcPr>
          <w:p w14:paraId="5B0CA8A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0FAF8C1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90" w:type="pct"/>
            <w:vAlign w:val="center"/>
          </w:tcPr>
          <w:p w14:paraId="5C9D9A9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30100</w:t>
            </w:r>
          </w:p>
        </w:tc>
        <w:tc>
          <w:tcPr>
            <w:tcW w:w="390" w:type="pct"/>
            <w:vAlign w:val="center"/>
          </w:tcPr>
          <w:p w14:paraId="25400C4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52" w:type="pct"/>
            <w:vAlign w:val="center"/>
          </w:tcPr>
          <w:p w14:paraId="252340C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177" w:type="pct"/>
            <w:vAlign w:val="center"/>
          </w:tcPr>
          <w:p w14:paraId="5478F55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已建</w:t>
            </w:r>
          </w:p>
        </w:tc>
      </w:tr>
      <w:tr w14:paraId="7B7A6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Align w:val="center"/>
          </w:tcPr>
          <w:p w14:paraId="21E9475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15</w:t>
            </w:r>
          </w:p>
        </w:tc>
        <w:tc>
          <w:tcPr>
            <w:tcW w:w="1270" w:type="pct"/>
            <w:vAlign w:val="center"/>
          </w:tcPr>
          <w:p w14:paraId="0D63C3AF">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广西新天德能源有限公司5万吨/年吡啶精制衍生品综合利用项目</w:t>
            </w:r>
          </w:p>
        </w:tc>
        <w:tc>
          <w:tcPr>
            <w:tcW w:w="303" w:type="pct"/>
            <w:vAlign w:val="center"/>
          </w:tcPr>
          <w:p w14:paraId="4756BE9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9.76</w:t>
            </w:r>
          </w:p>
        </w:tc>
        <w:tc>
          <w:tcPr>
            <w:tcW w:w="303" w:type="pct"/>
            <w:vAlign w:val="center"/>
          </w:tcPr>
          <w:p w14:paraId="65DA21D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40.97</w:t>
            </w:r>
          </w:p>
        </w:tc>
        <w:tc>
          <w:tcPr>
            <w:tcW w:w="303" w:type="pct"/>
            <w:vAlign w:val="center"/>
          </w:tcPr>
          <w:p w14:paraId="7C50E20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9.76</w:t>
            </w:r>
          </w:p>
        </w:tc>
        <w:tc>
          <w:tcPr>
            <w:tcW w:w="303" w:type="pct"/>
            <w:vAlign w:val="center"/>
          </w:tcPr>
          <w:p w14:paraId="45FD590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-1.22</w:t>
            </w:r>
          </w:p>
        </w:tc>
        <w:tc>
          <w:tcPr>
            <w:tcW w:w="367" w:type="pct"/>
            <w:vAlign w:val="center"/>
          </w:tcPr>
          <w:p w14:paraId="234E2E7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0.23</w:t>
            </w:r>
          </w:p>
        </w:tc>
        <w:tc>
          <w:tcPr>
            <w:tcW w:w="360" w:type="pct"/>
            <w:vAlign w:val="center"/>
          </w:tcPr>
          <w:p w14:paraId="0958CCB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13.84</w:t>
            </w:r>
          </w:p>
        </w:tc>
        <w:tc>
          <w:tcPr>
            <w:tcW w:w="303" w:type="pct"/>
            <w:vAlign w:val="center"/>
          </w:tcPr>
          <w:p w14:paraId="2EB35C2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0.69</w:t>
            </w:r>
          </w:p>
        </w:tc>
        <w:tc>
          <w:tcPr>
            <w:tcW w:w="390" w:type="pct"/>
            <w:vAlign w:val="center"/>
          </w:tcPr>
          <w:p w14:paraId="31E2464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62.95</w:t>
            </w:r>
          </w:p>
        </w:tc>
        <w:tc>
          <w:tcPr>
            <w:tcW w:w="390" w:type="pct"/>
            <w:vAlign w:val="center"/>
          </w:tcPr>
          <w:p w14:paraId="50AF58B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52" w:type="pct"/>
            <w:vAlign w:val="center"/>
          </w:tcPr>
          <w:p w14:paraId="71EBBB3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20.16</w:t>
            </w:r>
          </w:p>
        </w:tc>
        <w:tc>
          <w:tcPr>
            <w:tcW w:w="177" w:type="pct"/>
            <w:vAlign w:val="center"/>
          </w:tcPr>
          <w:p w14:paraId="6A11D6A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在建</w:t>
            </w:r>
          </w:p>
        </w:tc>
      </w:tr>
      <w:tr w14:paraId="0867C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Align w:val="center"/>
          </w:tcPr>
          <w:p w14:paraId="223C8D1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16</w:t>
            </w:r>
          </w:p>
        </w:tc>
        <w:tc>
          <w:tcPr>
            <w:tcW w:w="1270" w:type="pct"/>
            <w:vAlign w:val="center"/>
          </w:tcPr>
          <w:p w14:paraId="07FCA52A">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广西新天德能源有限公司石化项目（油浆萃取装置）新增原料预处理单元技术改造项目</w:t>
            </w:r>
          </w:p>
        </w:tc>
        <w:tc>
          <w:tcPr>
            <w:tcW w:w="303" w:type="pct"/>
            <w:vAlign w:val="center"/>
          </w:tcPr>
          <w:p w14:paraId="0258E38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2.00</w:t>
            </w:r>
          </w:p>
        </w:tc>
        <w:tc>
          <w:tcPr>
            <w:tcW w:w="303" w:type="pct"/>
            <w:vAlign w:val="center"/>
          </w:tcPr>
          <w:p w14:paraId="271D460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10.46</w:t>
            </w:r>
          </w:p>
        </w:tc>
        <w:tc>
          <w:tcPr>
            <w:tcW w:w="303" w:type="pct"/>
            <w:vAlign w:val="center"/>
          </w:tcPr>
          <w:p w14:paraId="2915274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1.17</w:t>
            </w:r>
          </w:p>
        </w:tc>
        <w:tc>
          <w:tcPr>
            <w:tcW w:w="303" w:type="pct"/>
            <w:vAlign w:val="center"/>
          </w:tcPr>
          <w:p w14:paraId="2B91D03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2.06</w:t>
            </w:r>
          </w:p>
        </w:tc>
        <w:tc>
          <w:tcPr>
            <w:tcW w:w="367" w:type="pct"/>
            <w:vAlign w:val="center"/>
          </w:tcPr>
          <w:p w14:paraId="13EE025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4.13</w:t>
            </w:r>
          </w:p>
        </w:tc>
        <w:tc>
          <w:tcPr>
            <w:tcW w:w="360" w:type="pct"/>
            <w:vAlign w:val="center"/>
          </w:tcPr>
          <w:p w14:paraId="2CDC58B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5.57</w:t>
            </w:r>
          </w:p>
        </w:tc>
        <w:tc>
          <w:tcPr>
            <w:tcW w:w="303" w:type="pct"/>
            <w:vAlign w:val="center"/>
          </w:tcPr>
          <w:p w14:paraId="1C4506A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0.51</w:t>
            </w:r>
          </w:p>
        </w:tc>
        <w:tc>
          <w:tcPr>
            <w:tcW w:w="390" w:type="pct"/>
            <w:vAlign w:val="center"/>
          </w:tcPr>
          <w:p w14:paraId="1F1E07A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90" w:type="pct"/>
            <w:vAlign w:val="center"/>
          </w:tcPr>
          <w:p w14:paraId="5E1814E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104.02</w:t>
            </w:r>
          </w:p>
        </w:tc>
        <w:tc>
          <w:tcPr>
            <w:tcW w:w="352" w:type="pct"/>
            <w:vAlign w:val="center"/>
          </w:tcPr>
          <w:p w14:paraId="5CE6416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19.15</w:t>
            </w:r>
          </w:p>
        </w:tc>
        <w:tc>
          <w:tcPr>
            <w:tcW w:w="177" w:type="pct"/>
            <w:vAlign w:val="center"/>
          </w:tcPr>
          <w:p w14:paraId="12FC30A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拟建</w:t>
            </w:r>
          </w:p>
        </w:tc>
      </w:tr>
      <w:tr w14:paraId="5483D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Align w:val="center"/>
          </w:tcPr>
          <w:p w14:paraId="1030BAB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17</w:t>
            </w:r>
          </w:p>
        </w:tc>
        <w:tc>
          <w:tcPr>
            <w:tcW w:w="1270" w:type="pct"/>
            <w:vAlign w:val="center"/>
          </w:tcPr>
          <w:p w14:paraId="3878DB46">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广西新天德能源有限公司30万吨/年醇基新材料一体化项目</w:t>
            </w:r>
          </w:p>
        </w:tc>
        <w:tc>
          <w:tcPr>
            <w:tcW w:w="303" w:type="pct"/>
            <w:vAlign w:val="center"/>
          </w:tcPr>
          <w:p w14:paraId="0F80D48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5C65756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18.35</w:t>
            </w:r>
          </w:p>
        </w:tc>
        <w:tc>
          <w:tcPr>
            <w:tcW w:w="303" w:type="pct"/>
            <w:vAlign w:val="center"/>
          </w:tcPr>
          <w:p w14:paraId="3B5541F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50D062E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56.93</w:t>
            </w:r>
          </w:p>
        </w:tc>
        <w:tc>
          <w:tcPr>
            <w:tcW w:w="367" w:type="pct"/>
            <w:vAlign w:val="center"/>
          </w:tcPr>
          <w:p w14:paraId="656EAD9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8.51</w:t>
            </w:r>
          </w:p>
        </w:tc>
        <w:tc>
          <w:tcPr>
            <w:tcW w:w="360" w:type="pct"/>
            <w:vAlign w:val="center"/>
          </w:tcPr>
          <w:p w14:paraId="6205DE0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19.27</w:t>
            </w:r>
          </w:p>
        </w:tc>
        <w:tc>
          <w:tcPr>
            <w:tcW w:w="303" w:type="pct"/>
            <w:vAlign w:val="center"/>
          </w:tcPr>
          <w:p w14:paraId="1624B06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4</w:t>
            </w:r>
          </w:p>
        </w:tc>
        <w:tc>
          <w:tcPr>
            <w:tcW w:w="390" w:type="pct"/>
            <w:vAlign w:val="center"/>
          </w:tcPr>
          <w:p w14:paraId="188F454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2524.48</w:t>
            </w:r>
          </w:p>
        </w:tc>
        <w:tc>
          <w:tcPr>
            <w:tcW w:w="390" w:type="pct"/>
            <w:vAlign w:val="center"/>
          </w:tcPr>
          <w:p w14:paraId="4B620FB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52" w:type="pct"/>
            <w:vAlign w:val="center"/>
          </w:tcPr>
          <w:p w14:paraId="0C026FB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46.95</w:t>
            </w:r>
          </w:p>
        </w:tc>
        <w:tc>
          <w:tcPr>
            <w:tcW w:w="177" w:type="pct"/>
            <w:vAlign w:val="center"/>
          </w:tcPr>
          <w:p w14:paraId="16230D9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拟建</w:t>
            </w:r>
          </w:p>
        </w:tc>
      </w:tr>
      <w:tr w14:paraId="617BB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Align w:val="center"/>
          </w:tcPr>
          <w:p w14:paraId="60A9622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18</w:t>
            </w:r>
          </w:p>
        </w:tc>
        <w:tc>
          <w:tcPr>
            <w:tcW w:w="1270" w:type="pct"/>
            <w:vAlign w:val="center"/>
          </w:tcPr>
          <w:p w14:paraId="5D2677BC">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广西玉柴石油化工有限公司</w:t>
            </w:r>
          </w:p>
        </w:tc>
        <w:tc>
          <w:tcPr>
            <w:tcW w:w="303" w:type="pct"/>
            <w:vAlign w:val="center"/>
          </w:tcPr>
          <w:p w14:paraId="27CC48C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81.61</w:t>
            </w:r>
          </w:p>
        </w:tc>
        <w:tc>
          <w:tcPr>
            <w:tcW w:w="303" w:type="pct"/>
            <w:vAlign w:val="center"/>
          </w:tcPr>
          <w:p w14:paraId="6310E03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18.03</w:t>
            </w:r>
          </w:p>
        </w:tc>
        <w:tc>
          <w:tcPr>
            <w:tcW w:w="303" w:type="pct"/>
            <w:vAlign w:val="center"/>
          </w:tcPr>
          <w:p w14:paraId="1975B93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13.2</w:t>
            </w:r>
          </w:p>
        </w:tc>
        <w:tc>
          <w:tcPr>
            <w:tcW w:w="303" w:type="pct"/>
            <w:vAlign w:val="center"/>
          </w:tcPr>
          <w:p w14:paraId="544ECDF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67" w:type="pct"/>
            <w:vAlign w:val="center"/>
          </w:tcPr>
          <w:p w14:paraId="6E4060E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72000</w:t>
            </w:r>
          </w:p>
        </w:tc>
        <w:tc>
          <w:tcPr>
            <w:tcW w:w="360" w:type="pct"/>
            <w:vAlign w:val="center"/>
          </w:tcPr>
          <w:p w14:paraId="36D29ED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7.3</w:t>
            </w:r>
          </w:p>
        </w:tc>
        <w:tc>
          <w:tcPr>
            <w:tcW w:w="303" w:type="pct"/>
            <w:vAlign w:val="center"/>
          </w:tcPr>
          <w:p w14:paraId="4925646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0.70</w:t>
            </w:r>
          </w:p>
        </w:tc>
        <w:tc>
          <w:tcPr>
            <w:tcW w:w="390" w:type="pct"/>
            <w:vAlign w:val="center"/>
          </w:tcPr>
          <w:p w14:paraId="3A8A386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2045</w:t>
            </w:r>
          </w:p>
        </w:tc>
        <w:tc>
          <w:tcPr>
            <w:tcW w:w="390" w:type="pct"/>
            <w:vAlign w:val="center"/>
          </w:tcPr>
          <w:p w14:paraId="63A3D2D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52" w:type="pct"/>
            <w:vAlign w:val="center"/>
          </w:tcPr>
          <w:p w14:paraId="1EDB634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177" w:type="pct"/>
            <w:vAlign w:val="center"/>
          </w:tcPr>
          <w:p w14:paraId="1712A78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已建</w:t>
            </w:r>
          </w:p>
        </w:tc>
      </w:tr>
      <w:tr w14:paraId="7DA52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Align w:val="center"/>
          </w:tcPr>
          <w:p w14:paraId="61618CC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19</w:t>
            </w:r>
          </w:p>
        </w:tc>
        <w:tc>
          <w:tcPr>
            <w:tcW w:w="1270" w:type="pct"/>
            <w:vAlign w:val="center"/>
          </w:tcPr>
          <w:p w14:paraId="76624658">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广西钦州志诚化工有限公司</w:t>
            </w:r>
          </w:p>
        </w:tc>
        <w:tc>
          <w:tcPr>
            <w:tcW w:w="303" w:type="pct"/>
            <w:vAlign w:val="center"/>
          </w:tcPr>
          <w:p w14:paraId="3331839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0D915D9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1CBF623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75287A7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67" w:type="pct"/>
            <w:vAlign w:val="center"/>
          </w:tcPr>
          <w:p w14:paraId="2CEF7CA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60" w:type="pct"/>
            <w:vAlign w:val="center"/>
          </w:tcPr>
          <w:p w14:paraId="7A8CEBF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22</w:t>
            </w:r>
          </w:p>
        </w:tc>
        <w:tc>
          <w:tcPr>
            <w:tcW w:w="303" w:type="pct"/>
            <w:vAlign w:val="center"/>
          </w:tcPr>
          <w:p w14:paraId="0B44C3B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90" w:type="pct"/>
            <w:vAlign w:val="center"/>
          </w:tcPr>
          <w:p w14:paraId="6814EF7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90" w:type="pct"/>
            <w:vAlign w:val="center"/>
          </w:tcPr>
          <w:p w14:paraId="0633739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52" w:type="pct"/>
            <w:vAlign w:val="center"/>
          </w:tcPr>
          <w:p w14:paraId="7EE6F72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177" w:type="pct"/>
            <w:vAlign w:val="center"/>
          </w:tcPr>
          <w:p w14:paraId="7259471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已建</w:t>
            </w:r>
          </w:p>
        </w:tc>
      </w:tr>
      <w:tr w14:paraId="0D921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Align w:val="center"/>
          </w:tcPr>
          <w:p w14:paraId="431A5ED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20</w:t>
            </w:r>
          </w:p>
        </w:tc>
        <w:tc>
          <w:tcPr>
            <w:tcW w:w="1270" w:type="pct"/>
            <w:vAlign w:val="center"/>
          </w:tcPr>
          <w:p w14:paraId="65B45F40">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广西钦州泰兴石油化工有限公司</w:t>
            </w:r>
          </w:p>
        </w:tc>
        <w:tc>
          <w:tcPr>
            <w:tcW w:w="303" w:type="pct"/>
            <w:vAlign w:val="center"/>
          </w:tcPr>
          <w:p w14:paraId="53B7069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2F84E81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18C858E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59085A2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67" w:type="pct"/>
            <w:vAlign w:val="center"/>
          </w:tcPr>
          <w:p w14:paraId="3076A29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60" w:type="pct"/>
            <w:vAlign w:val="center"/>
          </w:tcPr>
          <w:p w14:paraId="5249603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63FBF4A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90" w:type="pct"/>
            <w:vAlign w:val="center"/>
          </w:tcPr>
          <w:p w14:paraId="53E5244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90" w:type="pct"/>
            <w:vAlign w:val="center"/>
          </w:tcPr>
          <w:p w14:paraId="18AE66F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52" w:type="pct"/>
            <w:vAlign w:val="center"/>
          </w:tcPr>
          <w:p w14:paraId="75B0755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177" w:type="pct"/>
            <w:vAlign w:val="center"/>
          </w:tcPr>
          <w:p w14:paraId="66E50ED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已建</w:t>
            </w:r>
          </w:p>
        </w:tc>
      </w:tr>
      <w:tr w14:paraId="1635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Align w:val="center"/>
          </w:tcPr>
          <w:p w14:paraId="398D950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21</w:t>
            </w:r>
          </w:p>
        </w:tc>
        <w:tc>
          <w:tcPr>
            <w:tcW w:w="1270" w:type="pct"/>
            <w:vAlign w:val="center"/>
          </w:tcPr>
          <w:p w14:paraId="079B857D">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钦州天恒石化有限公司20万吨/年异辛烷装置扩能改造项目</w:t>
            </w:r>
          </w:p>
        </w:tc>
        <w:tc>
          <w:tcPr>
            <w:tcW w:w="303" w:type="pct"/>
            <w:vAlign w:val="center"/>
          </w:tcPr>
          <w:p w14:paraId="745CD29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30.38</w:t>
            </w:r>
          </w:p>
        </w:tc>
        <w:tc>
          <w:tcPr>
            <w:tcW w:w="303" w:type="pct"/>
            <w:vAlign w:val="center"/>
          </w:tcPr>
          <w:p w14:paraId="2808D8C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14.6</w:t>
            </w:r>
          </w:p>
        </w:tc>
        <w:tc>
          <w:tcPr>
            <w:tcW w:w="303" w:type="pct"/>
            <w:vAlign w:val="center"/>
          </w:tcPr>
          <w:p w14:paraId="767235C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5.6</w:t>
            </w:r>
          </w:p>
        </w:tc>
        <w:tc>
          <w:tcPr>
            <w:tcW w:w="303" w:type="pct"/>
            <w:vAlign w:val="center"/>
          </w:tcPr>
          <w:p w14:paraId="1685A5B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67" w:type="pct"/>
            <w:vAlign w:val="center"/>
          </w:tcPr>
          <w:p w14:paraId="20339E6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25200</w:t>
            </w:r>
          </w:p>
        </w:tc>
        <w:tc>
          <w:tcPr>
            <w:tcW w:w="360" w:type="pct"/>
            <w:vAlign w:val="center"/>
          </w:tcPr>
          <w:p w14:paraId="7751648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3.45</w:t>
            </w:r>
          </w:p>
        </w:tc>
        <w:tc>
          <w:tcPr>
            <w:tcW w:w="303" w:type="pct"/>
            <w:vAlign w:val="center"/>
          </w:tcPr>
          <w:p w14:paraId="0889AFD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0.22</w:t>
            </w:r>
          </w:p>
        </w:tc>
        <w:tc>
          <w:tcPr>
            <w:tcW w:w="390" w:type="pct"/>
            <w:vAlign w:val="center"/>
          </w:tcPr>
          <w:p w14:paraId="252A774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735</w:t>
            </w:r>
          </w:p>
        </w:tc>
        <w:tc>
          <w:tcPr>
            <w:tcW w:w="390" w:type="pct"/>
            <w:vAlign w:val="center"/>
          </w:tcPr>
          <w:p w14:paraId="692EF24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52" w:type="pct"/>
            <w:vAlign w:val="center"/>
          </w:tcPr>
          <w:p w14:paraId="49106D1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177" w:type="pct"/>
            <w:vAlign w:val="center"/>
          </w:tcPr>
          <w:p w14:paraId="5E97FB7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已建</w:t>
            </w:r>
          </w:p>
        </w:tc>
      </w:tr>
      <w:tr w14:paraId="45285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Align w:val="center"/>
          </w:tcPr>
          <w:p w14:paraId="121852B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22</w:t>
            </w:r>
          </w:p>
        </w:tc>
        <w:tc>
          <w:tcPr>
            <w:tcW w:w="1270" w:type="pct"/>
            <w:vAlign w:val="center"/>
          </w:tcPr>
          <w:p w14:paraId="4A292BB7">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广西华谊新材料有限公司30万吨/年生物可降解材料PBAT项目</w:t>
            </w:r>
          </w:p>
        </w:tc>
        <w:tc>
          <w:tcPr>
            <w:tcW w:w="303" w:type="pct"/>
            <w:vAlign w:val="center"/>
          </w:tcPr>
          <w:p w14:paraId="287ED60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8.07</w:t>
            </w:r>
          </w:p>
        </w:tc>
        <w:tc>
          <w:tcPr>
            <w:tcW w:w="303" w:type="pct"/>
            <w:vAlign w:val="center"/>
          </w:tcPr>
          <w:p w14:paraId="24E5E6D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37.79</w:t>
            </w:r>
          </w:p>
        </w:tc>
        <w:tc>
          <w:tcPr>
            <w:tcW w:w="303" w:type="pct"/>
            <w:vAlign w:val="center"/>
          </w:tcPr>
          <w:p w14:paraId="22D5C29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12.5</w:t>
            </w:r>
          </w:p>
        </w:tc>
        <w:tc>
          <w:tcPr>
            <w:tcW w:w="303" w:type="pct"/>
            <w:vAlign w:val="center"/>
          </w:tcPr>
          <w:p w14:paraId="7D95DCD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40.47</w:t>
            </w:r>
          </w:p>
        </w:tc>
        <w:tc>
          <w:tcPr>
            <w:tcW w:w="367" w:type="pct"/>
            <w:vAlign w:val="center"/>
          </w:tcPr>
          <w:p w14:paraId="7945E55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8.5</w:t>
            </w:r>
          </w:p>
        </w:tc>
        <w:tc>
          <w:tcPr>
            <w:tcW w:w="360" w:type="pct"/>
            <w:vAlign w:val="center"/>
          </w:tcPr>
          <w:p w14:paraId="097D291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1052.4</w:t>
            </w:r>
          </w:p>
        </w:tc>
        <w:tc>
          <w:tcPr>
            <w:tcW w:w="303" w:type="pct"/>
            <w:vAlign w:val="center"/>
          </w:tcPr>
          <w:p w14:paraId="219DCDB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1.79</w:t>
            </w:r>
          </w:p>
        </w:tc>
        <w:tc>
          <w:tcPr>
            <w:tcW w:w="390" w:type="pct"/>
            <w:vAlign w:val="center"/>
          </w:tcPr>
          <w:p w14:paraId="3DE8C89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138.9</w:t>
            </w:r>
          </w:p>
        </w:tc>
        <w:tc>
          <w:tcPr>
            <w:tcW w:w="390" w:type="pct"/>
            <w:vAlign w:val="center"/>
          </w:tcPr>
          <w:p w14:paraId="2663C85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5251.5</w:t>
            </w:r>
          </w:p>
        </w:tc>
        <w:tc>
          <w:tcPr>
            <w:tcW w:w="352" w:type="pct"/>
            <w:vAlign w:val="center"/>
          </w:tcPr>
          <w:p w14:paraId="5D09344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29.4</w:t>
            </w:r>
          </w:p>
        </w:tc>
        <w:tc>
          <w:tcPr>
            <w:tcW w:w="177" w:type="pct"/>
            <w:vAlign w:val="center"/>
          </w:tcPr>
          <w:p w14:paraId="321F9F0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已建</w:t>
            </w:r>
          </w:p>
        </w:tc>
      </w:tr>
      <w:tr w14:paraId="7A5F0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Align w:val="center"/>
          </w:tcPr>
          <w:p w14:paraId="3871248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23</w:t>
            </w:r>
          </w:p>
        </w:tc>
        <w:tc>
          <w:tcPr>
            <w:tcW w:w="1270" w:type="pct"/>
            <w:vAlign w:val="center"/>
          </w:tcPr>
          <w:p w14:paraId="6793A902">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钦州天亿石化有限公司碳酸酯建设项目</w:t>
            </w:r>
          </w:p>
        </w:tc>
        <w:tc>
          <w:tcPr>
            <w:tcW w:w="303" w:type="pct"/>
            <w:vAlign w:val="center"/>
          </w:tcPr>
          <w:p w14:paraId="26C79AA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5283D15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260352B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688A363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8.27</w:t>
            </w:r>
          </w:p>
        </w:tc>
        <w:tc>
          <w:tcPr>
            <w:tcW w:w="367" w:type="pct"/>
            <w:vAlign w:val="center"/>
          </w:tcPr>
          <w:p w14:paraId="194DB03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0.59</w:t>
            </w:r>
          </w:p>
        </w:tc>
        <w:tc>
          <w:tcPr>
            <w:tcW w:w="360" w:type="pct"/>
            <w:vAlign w:val="center"/>
          </w:tcPr>
          <w:p w14:paraId="546F2E7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0.04</w:t>
            </w:r>
          </w:p>
        </w:tc>
        <w:tc>
          <w:tcPr>
            <w:tcW w:w="303" w:type="pct"/>
            <w:vAlign w:val="center"/>
          </w:tcPr>
          <w:p w14:paraId="4855587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0.002</w:t>
            </w:r>
          </w:p>
        </w:tc>
        <w:tc>
          <w:tcPr>
            <w:tcW w:w="390" w:type="pct"/>
            <w:vAlign w:val="center"/>
          </w:tcPr>
          <w:p w14:paraId="0D2F24D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90" w:type="pct"/>
            <w:vAlign w:val="center"/>
          </w:tcPr>
          <w:p w14:paraId="64A54FF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3856.91</w:t>
            </w:r>
          </w:p>
        </w:tc>
        <w:tc>
          <w:tcPr>
            <w:tcW w:w="352" w:type="pct"/>
            <w:vAlign w:val="center"/>
          </w:tcPr>
          <w:p w14:paraId="34FA1E0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8.39</w:t>
            </w:r>
          </w:p>
        </w:tc>
        <w:tc>
          <w:tcPr>
            <w:tcW w:w="177" w:type="pct"/>
            <w:vAlign w:val="center"/>
          </w:tcPr>
          <w:p w14:paraId="37B5A67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拟建</w:t>
            </w:r>
          </w:p>
        </w:tc>
      </w:tr>
      <w:tr w14:paraId="12E8D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Align w:val="center"/>
          </w:tcPr>
          <w:p w14:paraId="2BBDCB1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24</w:t>
            </w:r>
          </w:p>
        </w:tc>
        <w:tc>
          <w:tcPr>
            <w:tcW w:w="1270" w:type="pct"/>
            <w:vAlign w:val="center"/>
          </w:tcPr>
          <w:p w14:paraId="2B249D5A">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华谊钦州化工新材料一体化基地三期双氧水法环氧丙烷（HPPO）及聚醚多元醇一体化项目</w:t>
            </w:r>
          </w:p>
        </w:tc>
        <w:tc>
          <w:tcPr>
            <w:tcW w:w="303" w:type="pct"/>
            <w:vAlign w:val="center"/>
          </w:tcPr>
          <w:p w14:paraId="36B54C6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1.12</w:t>
            </w:r>
          </w:p>
        </w:tc>
        <w:tc>
          <w:tcPr>
            <w:tcW w:w="303" w:type="pct"/>
            <w:vAlign w:val="center"/>
          </w:tcPr>
          <w:p w14:paraId="6441DD6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143.36</w:t>
            </w:r>
          </w:p>
        </w:tc>
        <w:tc>
          <w:tcPr>
            <w:tcW w:w="303" w:type="pct"/>
            <w:vAlign w:val="center"/>
          </w:tcPr>
          <w:p w14:paraId="4DD83A5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33.03</w:t>
            </w:r>
          </w:p>
        </w:tc>
        <w:tc>
          <w:tcPr>
            <w:tcW w:w="303" w:type="pct"/>
            <w:vAlign w:val="center"/>
          </w:tcPr>
          <w:p w14:paraId="7B423D9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55.76</w:t>
            </w:r>
          </w:p>
        </w:tc>
        <w:tc>
          <w:tcPr>
            <w:tcW w:w="367" w:type="pct"/>
            <w:vAlign w:val="center"/>
          </w:tcPr>
          <w:p w14:paraId="3740E57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313.81</w:t>
            </w:r>
          </w:p>
        </w:tc>
        <w:tc>
          <w:tcPr>
            <w:tcW w:w="360" w:type="pct"/>
            <w:vAlign w:val="center"/>
          </w:tcPr>
          <w:p w14:paraId="4FAF5DB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10014.94</w:t>
            </w:r>
          </w:p>
        </w:tc>
        <w:tc>
          <w:tcPr>
            <w:tcW w:w="303" w:type="pct"/>
            <w:vAlign w:val="center"/>
          </w:tcPr>
          <w:p w14:paraId="15AA453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39.37</w:t>
            </w:r>
          </w:p>
        </w:tc>
        <w:tc>
          <w:tcPr>
            <w:tcW w:w="390" w:type="pct"/>
            <w:vAlign w:val="center"/>
          </w:tcPr>
          <w:p w14:paraId="402F0B4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14840</w:t>
            </w:r>
          </w:p>
        </w:tc>
        <w:tc>
          <w:tcPr>
            <w:tcW w:w="390" w:type="pct"/>
            <w:vAlign w:val="center"/>
          </w:tcPr>
          <w:p w14:paraId="67CF8B2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16965.91</w:t>
            </w:r>
          </w:p>
        </w:tc>
        <w:tc>
          <w:tcPr>
            <w:tcW w:w="352" w:type="pct"/>
            <w:vAlign w:val="center"/>
          </w:tcPr>
          <w:p w14:paraId="2019A55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86.14</w:t>
            </w:r>
          </w:p>
        </w:tc>
        <w:tc>
          <w:tcPr>
            <w:tcW w:w="177" w:type="pct"/>
            <w:vAlign w:val="center"/>
          </w:tcPr>
          <w:p w14:paraId="52E77B7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拟建</w:t>
            </w:r>
          </w:p>
        </w:tc>
      </w:tr>
      <w:tr w14:paraId="5E5C5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Align w:val="center"/>
          </w:tcPr>
          <w:p w14:paraId="0A5E7D4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25</w:t>
            </w:r>
          </w:p>
        </w:tc>
        <w:tc>
          <w:tcPr>
            <w:tcW w:w="1270" w:type="pct"/>
            <w:vAlign w:val="center"/>
          </w:tcPr>
          <w:p w14:paraId="65F7C6AE">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广西华谊能源化工有限公司HOPENE项目</w:t>
            </w:r>
          </w:p>
        </w:tc>
        <w:tc>
          <w:tcPr>
            <w:tcW w:w="303" w:type="pct"/>
            <w:vAlign w:val="center"/>
          </w:tcPr>
          <w:p w14:paraId="6D8DF78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7A5DA23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752651A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0.25</w:t>
            </w:r>
          </w:p>
        </w:tc>
        <w:tc>
          <w:tcPr>
            <w:tcW w:w="303" w:type="pct"/>
            <w:vAlign w:val="center"/>
          </w:tcPr>
          <w:p w14:paraId="5A1877B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1.10</w:t>
            </w:r>
          </w:p>
        </w:tc>
        <w:tc>
          <w:tcPr>
            <w:tcW w:w="367" w:type="pct"/>
            <w:vAlign w:val="center"/>
          </w:tcPr>
          <w:p w14:paraId="77B5C34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60" w:type="pct"/>
            <w:vAlign w:val="center"/>
          </w:tcPr>
          <w:p w14:paraId="131086A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7C0AA03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90" w:type="pct"/>
            <w:vAlign w:val="center"/>
          </w:tcPr>
          <w:p w14:paraId="3EB0446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90" w:type="pct"/>
            <w:vAlign w:val="center"/>
          </w:tcPr>
          <w:p w14:paraId="0B3C094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52" w:type="pct"/>
            <w:vAlign w:val="center"/>
          </w:tcPr>
          <w:p w14:paraId="193D43B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177" w:type="pct"/>
            <w:vAlign w:val="center"/>
          </w:tcPr>
          <w:p w14:paraId="49AE9CD1">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拟建</w:t>
            </w:r>
          </w:p>
        </w:tc>
      </w:tr>
      <w:tr w14:paraId="3CD78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Align w:val="center"/>
          </w:tcPr>
          <w:p w14:paraId="1703A9A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26</w:t>
            </w:r>
          </w:p>
        </w:tc>
        <w:tc>
          <w:tcPr>
            <w:tcW w:w="1270" w:type="pct"/>
            <w:vAlign w:val="center"/>
          </w:tcPr>
          <w:p w14:paraId="02916623">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广西华谊新材料有限公司2万吨/年阻聚剂项目</w:t>
            </w:r>
          </w:p>
        </w:tc>
        <w:tc>
          <w:tcPr>
            <w:tcW w:w="303" w:type="pct"/>
            <w:vAlign w:val="center"/>
          </w:tcPr>
          <w:p w14:paraId="1F07EBB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1.96</w:t>
            </w:r>
          </w:p>
        </w:tc>
        <w:tc>
          <w:tcPr>
            <w:tcW w:w="303" w:type="pct"/>
            <w:vAlign w:val="center"/>
          </w:tcPr>
          <w:p w14:paraId="0DEB6CC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1.95</w:t>
            </w:r>
          </w:p>
        </w:tc>
        <w:tc>
          <w:tcPr>
            <w:tcW w:w="303" w:type="pct"/>
            <w:vAlign w:val="center"/>
          </w:tcPr>
          <w:p w14:paraId="1BB90B3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0.69</w:t>
            </w:r>
          </w:p>
        </w:tc>
        <w:tc>
          <w:tcPr>
            <w:tcW w:w="303" w:type="pct"/>
            <w:vAlign w:val="center"/>
          </w:tcPr>
          <w:p w14:paraId="24EF758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1.59</w:t>
            </w:r>
          </w:p>
        </w:tc>
        <w:tc>
          <w:tcPr>
            <w:tcW w:w="367" w:type="pct"/>
            <w:vAlign w:val="center"/>
          </w:tcPr>
          <w:p w14:paraId="117B7E6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7.51</w:t>
            </w:r>
          </w:p>
        </w:tc>
        <w:tc>
          <w:tcPr>
            <w:tcW w:w="360" w:type="pct"/>
            <w:vAlign w:val="center"/>
          </w:tcPr>
          <w:p w14:paraId="49ACF32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9431.45</w:t>
            </w:r>
          </w:p>
        </w:tc>
        <w:tc>
          <w:tcPr>
            <w:tcW w:w="303" w:type="pct"/>
            <w:vAlign w:val="center"/>
          </w:tcPr>
          <w:p w14:paraId="0AF9392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16.65</w:t>
            </w:r>
          </w:p>
        </w:tc>
        <w:tc>
          <w:tcPr>
            <w:tcW w:w="390" w:type="pct"/>
            <w:vAlign w:val="center"/>
          </w:tcPr>
          <w:p w14:paraId="161224B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90" w:type="pct"/>
            <w:vAlign w:val="center"/>
          </w:tcPr>
          <w:p w14:paraId="51169BD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2102.51</w:t>
            </w:r>
          </w:p>
        </w:tc>
        <w:tc>
          <w:tcPr>
            <w:tcW w:w="352" w:type="pct"/>
            <w:vAlign w:val="center"/>
          </w:tcPr>
          <w:p w14:paraId="6B65D63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27.3</w:t>
            </w:r>
          </w:p>
        </w:tc>
        <w:tc>
          <w:tcPr>
            <w:tcW w:w="177" w:type="pct"/>
            <w:vAlign w:val="center"/>
          </w:tcPr>
          <w:p w14:paraId="317D192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拟建</w:t>
            </w:r>
          </w:p>
        </w:tc>
      </w:tr>
      <w:tr w14:paraId="0BD24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Align w:val="center"/>
          </w:tcPr>
          <w:p w14:paraId="3403ABD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27</w:t>
            </w:r>
          </w:p>
        </w:tc>
        <w:tc>
          <w:tcPr>
            <w:tcW w:w="1270" w:type="pct"/>
            <w:vAlign w:val="center"/>
          </w:tcPr>
          <w:p w14:paraId="0BE45D88">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广西华谊新材料有限公司PBAT配套1,4丁二醇项目</w:t>
            </w:r>
          </w:p>
        </w:tc>
        <w:tc>
          <w:tcPr>
            <w:tcW w:w="303" w:type="pct"/>
            <w:vAlign w:val="center"/>
          </w:tcPr>
          <w:p w14:paraId="52E4D8A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48.48</w:t>
            </w:r>
          </w:p>
        </w:tc>
        <w:tc>
          <w:tcPr>
            <w:tcW w:w="303" w:type="pct"/>
            <w:vAlign w:val="center"/>
          </w:tcPr>
          <w:p w14:paraId="3057C1D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164.48</w:t>
            </w:r>
          </w:p>
        </w:tc>
        <w:tc>
          <w:tcPr>
            <w:tcW w:w="303" w:type="pct"/>
            <w:vAlign w:val="center"/>
          </w:tcPr>
          <w:p w14:paraId="31B3A8F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6.44</w:t>
            </w:r>
          </w:p>
        </w:tc>
        <w:tc>
          <w:tcPr>
            <w:tcW w:w="303" w:type="pct"/>
            <w:vAlign w:val="center"/>
          </w:tcPr>
          <w:p w14:paraId="546632D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353.46</w:t>
            </w:r>
          </w:p>
        </w:tc>
        <w:tc>
          <w:tcPr>
            <w:tcW w:w="367" w:type="pct"/>
            <w:vAlign w:val="center"/>
          </w:tcPr>
          <w:p w14:paraId="6FB87E6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60" w:type="pct"/>
            <w:vAlign w:val="center"/>
          </w:tcPr>
          <w:p w14:paraId="13D50BC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6413.31</w:t>
            </w:r>
          </w:p>
        </w:tc>
        <w:tc>
          <w:tcPr>
            <w:tcW w:w="303" w:type="pct"/>
            <w:vAlign w:val="center"/>
          </w:tcPr>
          <w:p w14:paraId="6F31C88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0.18</w:t>
            </w:r>
          </w:p>
        </w:tc>
        <w:tc>
          <w:tcPr>
            <w:tcW w:w="390" w:type="pct"/>
            <w:vAlign w:val="center"/>
          </w:tcPr>
          <w:p w14:paraId="63E5D65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4</w:t>
            </w:r>
          </w:p>
        </w:tc>
        <w:tc>
          <w:tcPr>
            <w:tcW w:w="390" w:type="pct"/>
            <w:vAlign w:val="center"/>
          </w:tcPr>
          <w:p w14:paraId="035C29D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13602</w:t>
            </w:r>
          </w:p>
        </w:tc>
        <w:tc>
          <w:tcPr>
            <w:tcW w:w="352" w:type="pct"/>
            <w:vAlign w:val="center"/>
          </w:tcPr>
          <w:p w14:paraId="01BEB27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70.81</w:t>
            </w:r>
          </w:p>
        </w:tc>
        <w:tc>
          <w:tcPr>
            <w:tcW w:w="177" w:type="pct"/>
            <w:vAlign w:val="center"/>
          </w:tcPr>
          <w:p w14:paraId="6951FFD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拟建</w:t>
            </w:r>
          </w:p>
        </w:tc>
      </w:tr>
      <w:tr w14:paraId="2DC57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Align w:val="center"/>
          </w:tcPr>
          <w:p w14:paraId="39FBE43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28</w:t>
            </w:r>
          </w:p>
        </w:tc>
        <w:tc>
          <w:tcPr>
            <w:tcW w:w="1270" w:type="pct"/>
            <w:vAlign w:val="center"/>
          </w:tcPr>
          <w:p w14:paraId="0F6F2A3D">
            <w:pPr>
              <w:spacing w:line="240" w:lineRule="auto"/>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广西氯碱聚氯乙烯开发中试装置建设项目</w:t>
            </w:r>
          </w:p>
        </w:tc>
        <w:tc>
          <w:tcPr>
            <w:tcW w:w="303" w:type="pct"/>
            <w:vAlign w:val="center"/>
          </w:tcPr>
          <w:p w14:paraId="36B41D3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3.53</w:t>
            </w:r>
          </w:p>
        </w:tc>
        <w:tc>
          <w:tcPr>
            <w:tcW w:w="303" w:type="pct"/>
            <w:vAlign w:val="center"/>
          </w:tcPr>
          <w:p w14:paraId="36D24DA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52.24</w:t>
            </w:r>
          </w:p>
        </w:tc>
        <w:tc>
          <w:tcPr>
            <w:tcW w:w="303" w:type="pct"/>
            <w:vAlign w:val="center"/>
          </w:tcPr>
          <w:p w14:paraId="3CFADF9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03" w:type="pct"/>
            <w:vAlign w:val="center"/>
          </w:tcPr>
          <w:p w14:paraId="7F611D8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15.27</w:t>
            </w:r>
          </w:p>
        </w:tc>
        <w:tc>
          <w:tcPr>
            <w:tcW w:w="367" w:type="pct"/>
            <w:vAlign w:val="center"/>
          </w:tcPr>
          <w:p w14:paraId="4BB6337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0.03</w:t>
            </w:r>
          </w:p>
        </w:tc>
        <w:tc>
          <w:tcPr>
            <w:tcW w:w="360" w:type="pct"/>
            <w:vAlign w:val="center"/>
          </w:tcPr>
          <w:p w14:paraId="27E1F07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1.76</w:t>
            </w:r>
          </w:p>
        </w:tc>
        <w:tc>
          <w:tcPr>
            <w:tcW w:w="303" w:type="pct"/>
            <w:vAlign w:val="center"/>
          </w:tcPr>
          <w:p w14:paraId="21D3E07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0.04</w:t>
            </w:r>
          </w:p>
        </w:tc>
        <w:tc>
          <w:tcPr>
            <w:tcW w:w="390" w:type="pct"/>
            <w:vAlign w:val="center"/>
          </w:tcPr>
          <w:p w14:paraId="58566AF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70</w:t>
            </w:r>
          </w:p>
        </w:tc>
        <w:tc>
          <w:tcPr>
            <w:tcW w:w="390" w:type="pct"/>
            <w:vAlign w:val="center"/>
          </w:tcPr>
          <w:p w14:paraId="0652D27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352" w:type="pct"/>
            <w:vAlign w:val="center"/>
          </w:tcPr>
          <w:p w14:paraId="325FCF7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0.66</w:t>
            </w:r>
          </w:p>
        </w:tc>
        <w:tc>
          <w:tcPr>
            <w:tcW w:w="177" w:type="pct"/>
            <w:vAlign w:val="center"/>
          </w:tcPr>
          <w:p w14:paraId="20A67AE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拟建</w:t>
            </w:r>
          </w:p>
        </w:tc>
      </w:tr>
    </w:tbl>
    <w:p w14:paraId="25B92183">
      <w:pPr>
        <w:widowControl/>
        <w:spacing w:line="240" w:lineRule="auto"/>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14:paraId="73FE12F6">
      <w:pPr>
        <w:widowControl/>
        <w:spacing w:line="240" w:lineRule="auto"/>
        <w:jc w:val="left"/>
        <w:rPr>
          <w:color w:val="0D0D0D" w:themeColor="text1" w:themeTint="F2"/>
          <w14:textFill>
            <w14:solidFill>
              <w14:schemeClr w14:val="tx1">
                <w14:lumMod w14:val="95000"/>
                <w14:lumOff w14:val="5000"/>
              </w14:schemeClr>
            </w14:solidFill>
          </w14:textFill>
        </w:rPr>
        <w:sectPr>
          <w:pgSz w:w="16838" w:h="11906" w:orient="landscape"/>
          <w:pgMar w:top="1440" w:right="1440" w:bottom="1440" w:left="1440" w:header="851" w:footer="992" w:gutter="0"/>
          <w:cols w:space="425" w:num="1"/>
          <w:docGrid w:type="linesAndChars" w:linePitch="312" w:charSpace="0"/>
        </w:sectPr>
      </w:pPr>
    </w:p>
    <w:p w14:paraId="65B804D9">
      <w:pPr>
        <w:pStyle w:val="7"/>
      </w:pPr>
      <w:bookmarkStart w:id="154" w:name="_Toc204062618"/>
      <w:r>
        <w:rPr>
          <w:rFonts w:hint="eastAsia"/>
        </w:rPr>
        <w:t>环境影响预测及评价</w:t>
      </w:r>
      <w:bookmarkEnd w:id="154"/>
    </w:p>
    <w:p w14:paraId="382FAEC8">
      <w:pPr>
        <w:pStyle w:val="8"/>
        <w:numPr>
          <w:ilvl w:val="1"/>
          <w:numId w:val="42"/>
        </w:numPr>
      </w:pPr>
      <w:bookmarkStart w:id="155" w:name="_Toc204062619"/>
      <w:r>
        <w:rPr>
          <w:rFonts w:hint="eastAsia"/>
        </w:rPr>
        <w:t>施工期环境影响分析</w:t>
      </w:r>
      <w:bookmarkEnd w:id="155"/>
    </w:p>
    <w:p w14:paraId="22901DEC">
      <w:pPr>
        <w:pStyle w:val="9"/>
        <w:numPr>
          <w:ilvl w:val="2"/>
          <w:numId w:val="43"/>
        </w:numPr>
      </w:pPr>
      <w:bookmarkStart w:id="156" w:name="_Toc204062620"/>
      <w:r>
        <w:rPr>
          <w:rFonts w:hint="eastAsia"/>
        </w:rPr>
        <w:t>施工期大气环境影响分析</w:t>
      </w:r>
      <w:bookmarkEnd w:id="156"/>
    </w:p>
    <w:p w14:paraId="334FD714">
      <w:pPr>
        <w:pStyle w:val="10"/>
      </w:pPr>
      <w:r>
        <w:rPr>
          <w:rFonts w:hint="eastAsia"/>
        </w:rPr>
        <w:t>施工扬尘</w:t>
      </w:r>
    </w:p>
    <w:p w14:paraId="5AC07B2E">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cs="Times New Roman"/>
          <w:color w:val="0D0D0D" w:themeColor="text1" w:themeTint="F2"/>
          <w:szCs w:val="24"/>
          <w14:textFill>
            <w14:solidFill>
              <w14:schemeClr w14:val="tx1">
                <w14:lumMod w14:val="95000"/>
                <w14:lumOff w14:val="5000"/>
              </w14:schemeClr>
            </w14:solidFill>
          </w14:textFill>
        </w:rPr>
        <w:t>项目施工扬尘主要来自土方的挖掘及堆放、建筑材料的搬运及堆放、施工垃圾的堆放及清理，施工扬尘排放源属于无组织的面源。</w:t>
      </w:r>
    </w:p>
    <w:p w14:paraId="25426DDA">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cs="Times New Roman"/>
          <w:color w:val="0D0D0D" w:themeColor="text1" w:themeTint="F2"/>
          <w:szCs w:val="24"/>
          <w14:textFill>
            <w14:solidFill>
              <w14:schemeClr w14:val="tx1">
                <w14:lumMod w14:val="95000"/>
                <w14:lumOff w14:val="5000"/>
              </w14:schemeClr>
            </w14:solidFill>
          </w14:textFill>
        </w:rPr>
        <w:t>类比广西区内同类建设项目施工现场扬尘污染数据分析，在无任何防尘措施的情况下，施工现场对周围环境的影响较严重，污染范围主要为150m范围内，TSP最大污染浓度是对照点的6.39倍，200m外才可以达到《环境空气质量标准》（GB3095-2012）</w:t>
      </w:r>
      <w:r>
        <w:rPr>
          <w:rFonts w:hint="eastAsia" w:cs="Times New Roman"/>
          <w:color w:val="0D0D0D" w:themeColor="text1" w:themeTint="F2"/>
          <w:szCs w:val="24"/>
          <w14:textFill>
            <w14:solidFill>
              <w14:schemeClr w14:val="tx1">
                <w14:lumMod w14:val="95000"/>
                <w14:lumOff w14:val="5000"/>
              </w14:schemeClr>
            </w14:solidFill>
          </w14:textFill>
        </w:rPr>
        <w:t>及其修改单</w:t>
      </w:r>
      <w:r>
        <w:rPr>
          <w:rFonts w:cs="Times New Roman"/>
          <w:color w:val="0D0D0D" w:themeColor="text1" w:themeTint="F2"/>
          <w:szCs w:val="24"/>
          <w14:textFill>
            <w14:solidFill>
              <w14:schemeClr w14:val="tx1">
                <w14:lumMod w14:val="95000"/>
                <w14:lumOff w14:val="5000"/>
              </w14:schemeClr>
            </w14:solidFill>
          </w14:textFill>
        </w:rPr>
        <w:t>二级标准的要求；而在有防尘措施的情况下，污染范围降至100m范围内，最大污染浓度较无防尘措施降低了479μg/m</w:t>
      </w:r>
      <w:r>
        <w:rPr>
          <w:rFonts w:cs="Times New Roman"/>
          <w:color w:val="0D0D0D" w:themeColor="text1" w:themeTint="F2"/>
          <w:szCs w:val="24"/>
          <w:vertAlign w:val="superscript"/>
          <w14:textFill>
            <w14:solidFill>
              <w14:schemeClr w14:val="tx1">
                <w14:lumMod w14:val="95000"/>
                <w14:lumOff w14:val="5000"/>
              </w14:schemeClr>
            </w14:solidFill>
          </w14:textFill>
        </w:rPr>
        <w:t>3</w:t>
      </w:r>
      <w:r>
        <w:rPr>
          <w:rFonts w:cs="Times New Roman"/>
          <w:color w:val="0D0D0D" w:themeColor="text1" w:themeTint="F2"/>
          <w:szCs w:val="24"/>
          <w14:textFill>
            <w14:solidFill>
              <w14:schemeClr w14:val="tx1">
                <w14:lumMod w14:val="95000"/>
                <w14:lumOff w14:val="5000"/>
              </w14:schemeClr>
            </w14:solidFill>
          </w14:textFill>
        </w:rPr>
        <w:t>。</w:t>
      </w:r>
    </w:p>
    <w:p w14:paraId="007D0B62">
      <w:pPr>
        <w:pStyle w:val="11"/>
        <w:numPr>
          <w:ilvl w:val="4"/>
          <w:numId w:val="44"/>
        </w:numPr>
      </w:pPr>
      <w:r>
        <w:rPr>
          <w:rFonts w:hint="eastAsia"/>
        </w:rPr>
        <w:t xml:space="preserve"> 施工现场扬尘TSP随距离变化的浓度分布一览表  单位：μg/m</w:t>
      </w:r>
      <w:r>
        <w:rPr>
          <w:rFonts w:hint="eastAsia"/>
          <w:vertAlign w:val="superscript"/>
        </w:rPr>
        <w:t>3</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2"/>
        <w:gridCol w:w="930"/>
        <w:gridCol w:w="861"/>
        <w:gridCol w:w="1015"/>
        <w:gridCol w:w="1015"/>
        <w:gridCol w:w="1015"/>
        <w:gridCol w:w="1017"/>
        <w:gridCol w:w="1847"/>
      </w:tblGrid>
      <w:tr w14:paraId="62FB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5" w:type="pct"/>
            <w:vMerge w:val="restart"/>
            <w:vAlign w:val="center"/>
          </w:tcPr>
          <w:p w14:paraId="582A5124">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防尘措施</w:t>
            </w:r>
          </w:p>
        </w:tc>
        <w:tc>
          <w:tcPr>
            <w:tcW w:w="3166" w:type="pct"/>
            <w:gridSpan w:val="6"/>
            <w:vAlign w:val="center"/>
          </w:tcPr>
          <w:p w14:paraId="6A77C82A">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工地下风向距离</w:t>
            </w:r>
          </w:p>
        </w:tc>
        <w:tc>
          <w:tcPr>
            <w:tcW w:w="1000" w:type="pct"/>
            <w:vMerge w:val="restart"/>
            <w:vAlign w:val="center"/>
          </w:tcPr>
          <w:p w14:paraId="1046E2C1">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工地上风向</w:t>
            </w:r>
          </w:p>
          <w:p w14:paraId="0A75C462">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（对照点）</w:t>
            </w:r>
          </w:p>
        </w:tc>
      </w:tr>
      <w:tr w14:paraId="15A0C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5" w:type="pct"/>
            <w:vMerge w:val="continue"/>
            <w:vAlign w:val="center"/>
          </w:tcPr>
          <w:p w14:paraId="688C4FB0">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3" w:type="pct"/>
            <w:vAlign w:val="center"/>
          </w:tcPr>
          <w:p w14:paraId="69D9F0B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20m</w:t>
            </w:r>
          </w:p>
        </w:tc>
        <w:tc>
          <w:tcPr>
            <w:tcW w:w="466" w:type="pct"/>
            <w:vAlign w:val="center"/>
          </w:tcPr>
          <w:p w14:paraId="68F5B91C">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50m</w:t>
            </w:r>
          </w:p>
        </w:tc>
        <w:tc>
          <w:tcPr>
            <w:tcW w:w="549" w:type="pct"/>
            <w:vAlign w:val="center"/>
          </w:tcPr>
          <w:p w14:paraId="35CB4C53">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100m</w:t>
            </w:r>
          </w:p>
        </w:tc>
        <w:tc>
          <w:tcPr>
            <w:tcW w:w="549" w:type="pct"/>
            <w:vAlign w:val="center"/>
          </w:tcPr>
          <w:p w14:paraId="533BEE3C">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150m</w:t>
            </w:r>
          </w:p>
        </w:tc>
        <w:tc>
          <w:tcPr>
            <w:tcW w:w="549" w:type="pct"/>
            <w:vAlign w:val="center"/>
          </w:tcPr>
          <w:p w14:paraId="3D2F44B8">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200m</w:t>
            </w:r>
          </w:p>
        </w:tc>
        <w:tc>
          <w:tcPr>
            <w:tcW w:w="549" w:type="pct"/>
            <w:vAlign w:val="center"/>
          </w:tcPr>
          <w:p w14:paraId="596C2746">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250m</w:t>
            </w:r>
          </w:p>
        </w:tc>
        <w:tc>
          <w:tcPr>
            <w:tcW w:w="1000" w:type="pct"/>
            <w:vMerge w:val="continue"/>
            <w:vAlign w:val="center"/>
          </w:tcPr>
          <w:p w14:paraId="252B9FDE">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r>
      <w:tr w14:paraId="10558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5" w:type="pct"/>
            <w:vAlign w:val="center"/>
          </w:tcPr>
          <w:p w14:paraId="554B28DC">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无</w:t>
            </w:r>
          </w:p>
        </w:tc>
        <w:tc>
          <w:tcPr>
            <w:tcW w:w="503" w:type="pct"/>
            <w:vAlign w:val="center"/>
          </w:tcPr>
          <w:p w14:paraId="3F6B6F0A">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1303</w:t>
            </w:r>
          </w:p>
        </w:tc>
        <w:tc>
          <w:tcPr>
            <w:tcW w:w="466" w:type="pct"/>
            <w:vAlign w:val="center"/>
          </w:tcPr>
          <w:p w14:paraId="178FBAC9">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722</w:t>
            </w:r>
          </w:p>
        </w:tc>
        <w:tc>
          <w:tcPr>
            <w:tcW w:w="549" w:type="pct"/>
            <w:vAlign w:val="center"/>
          </w:tcPr>
          <w:p w14:paraId="7FFD76ED">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402</w:t>
            </w:r>
          </w:p>
        </w:tc>
        <w:tc>
          <w:tcPr>
            <w:tcW w:w="549" w:type="pct"/>
            <w:vAlign w:val="center"/>
          </w:tcPr>
          <w:p w14:paraId="39C84DF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311</w:t>
            </w:r>
          </w:p>
        </w:tc>
        <w:tc>
          <w:tcPr>
            <w:tcW w:w="549" w:type="pct"/>
            <w:vAlign w:val="center"/>
          </w:tcPr>
          <w:p w14:paraId="5464F8B1">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270</w:t>
            </w:r>
          </w:p>
        </w:tc>
        <w:tc>
          <w:tcPr>
            <w:tcW w:w="549" w:type="pct"/>
            <w:vAlign w:val="center"/>
          </w:tcPr>
          <w:p w14:paraId="40A57BF6">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210</w:t>
            </w:r>
          </w:p>
        </w:tc>
        <w:tc>
          <w:tcPr>
            <w:tcW w:w="1000" w:type="pct"/>
            <w:vMerge w:val="restart"/>
            <w:vAlign w:val="center"/>
          </w:tcPr>
          <w:p w14:paraId="27916828">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20</w:t>
            </w:r>
          </w:p>
        </w:tc>
      </w:tr>
      <w:tr w14:paraId="2C6C0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5" w:type="pct"/>
            <w:vAlign w:val="center"/>
          </w:tcPr>
          <w:p w14:paraId="3D24AEA5">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围挡措施</w:t>
            </w:r>
          </w:p>
        </w:tc>
        <w:tc>
          <w:tcPr>
            <w:tcW w:w="503" w:type="pct"/>
            <w:vAlign w:val="center"/>
          </w:tcPr>
          <w:p w14:paraId="434CC7E8">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824</w:t>
            </w:r>
          </w:p>
        </w:tc>
        <w:tc>
          <w:tcPr>
            <w:tcW w:w="466" w:type="pct"/>
            <w:vAlign w:val="center"/>
          </w:tcPr>
          <w:p w14:paraId="739DF28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426</w:t>
            </w:r>
          </w:p>
        </w:tc>
        <w:tc>
          <w:tcPr>
            <w:tcW w:w="549" w:type="pct"/>
            <w:vAlign w:val="center"/>
          </w:tcPr>
          <w:p w14:paraId="0D6F4BA4">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235</w:t>
            </w:r>
          </w:p>
        </w:tc>
        <w:tc>
          <w:tcPr>
            <w:tcW w:w="549" w:type="pct"/>
            <w:vAlign w:val="center"/>
          </w:tcPr>
          <w:p w14:paraId="01B59771">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221</w:t>
            </w:r>
          </w:p>
        </w:tc>
        <w:tc>
          <w:tcPr>
            <w:tcW w:w="549" w:type="pct"/>
            <w:vAlign w:val="center"/>
          </w:tcPr>
          <w:p w14:paraId="2E7F7AC1">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215</w:t>
            </w:r>
          </w:p>
        </w:tc>
        <w:tc>
          <w:tcPr>
            <w:tcW w:w="549" w:type="pct"/>
            <w:vAlign w:val="center"/>
          </w:tcPr>
          <w:p w14:paraId="6B951A80">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206</w:t>
            </w:r>
          </w:p>
        </w:tc>
        <w:tc>
          <w:tcPr>
            <w:tcW w:w="1000" w:type="pct"/>
            <w:vMerge w:val="continue"/>
            <w:vAlign w:val="center"/>
          </w:tcPr>
          <w:p w14:paraId="52268FEB">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r>
    </w:tbl>
    <w:p w14:paraId="477FD690">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施工扬尘的产生时段很大程度上出现在场地平整、地基开挖、材料装卸等作业场所，本项目建筑工地扬尘对大气的影响范围主要在工地围墙外150m以内。由于距离的不同，其污染影响程度亦不同。同时，施工场地扬尘具有明显的局地污染特征，根据现场施工季节的气候情况不同，其影响范围也有所不同。</w:t>
      </w:r>
    </w:p>
    <w:p w14:paraId="75D17FFC">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为将项目施工期对周围环境的影响降至最低，参照同类工地的一般做法，施工单位应严格根据《防治城市扬尘污染技术规范》（HJ/T393-2007）相关规定进一步做好防治扬尘的措施：</w:t>
      </w:r>
    </w:p>
    <w:p w14:paraId="3338670F">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①施工场地应设置围栏，围栏高度不低于2.5m；</w:t>
      </w:r>
    </w:p>
    <w:p w14:paraId="2816A861">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②工地应配置滞尘防护网，并定期喷水降尘，场地保持表土湿润；</w:t>
      </w:r>
    </w:p>
    <w:p w14:paraId="40A9E7DF">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③物料运输车辆采用密闭的专用车辆等；</w:t>
      </w:r>
    </w:p>
    <w:p w14:paraId="5C9BF413">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④物料堆场应设置在远离民宅建筑的区域，施工中物料堆应采取遮盖、洒水或其他防尘措施；</w:t>
      </w:r>
    </w:p>
    <w:p w14:paraId="58569B4F">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⑤按规定使用商品混凝土；</w:t>
      </w:r>
    </w:p>
    <w:p w14:paraId="0E573B97">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⑥设置清洗平台，对出入场地车辆轮胎粘带的泥块进行清理；并尽可能将施工扬尘集中控制在场地小范围内。</w:t>
      </w:r>
    </w:p>
    <w:p w14:paraId="4395CB33">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在采取上述有效的防尘措施后，施工场地扬尘的影响范围基本上可控制在50m以内，随着距离的增加，扬尘浓度迅速减小。</w:t>
      </w:r>
    </w:p>
    <w:p w14:paraId="189F9560">
      <w:pPr>
        <w:pStyle w:val="10"/>
      </w:pPr>
      <w:r>
        <w:rPr>
          <w:rFonts w:hint="eastAsia"/>
        </w:rPr>
        <w:t>交通运输扬尘</w:t>
      </w:r>
    </w:p>
    <w:p w14:paraId="383F022C">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运输产生的扬尘是一个非常重要的污染源，物料运输车辆在行驶时滚动的车轮产生扬尘，尤其是重型车辆，产生的扬尘更大。施工期间，在建筑材料及建筑垃圾的运送过程中，若车辆为敞篷运输，由于风力作用，会产生较大的扬尘，污染运输路线两侧区域的空气环境；同时，由于进出施工场地的车辆的车轮、车帮带泥，或者道路路面不清洁，在其行驶过程中亦会产生大量的扬尘，影响周边区域的空气环境。</w:t>
      </w:r>
    </w:p>
    <w:p w14:paraId="64431917">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据了解，该项目建设过程中的运输车辆以使用5吨的卡车较多，车辆行驶产生的扬尘，在完全干燥情况下的经验计算公式为（出自：《大气环境影响评价实用技术》（王栋成主编，中国标准出版社，2010年版）：</w:t>
      </w:r>
    </w:p>
    <w:p w14:paraId="7D266FA7">
      <w:pPr>
        <w:jc w:val="center"/>
        <w:rPr>
          <w:rFonts w:cs="Times New Roman"/>
          <w:iCs/>
          <w:color w:val="0D0D0D" w:themeColor="text1" w:themeTint="F2"/>
          <w:szCs w:val="24"/>
          <w14:textFill>
            <w14:solidFill>
              <w14:schemeClr w14:val="tx1">
                <w14:lumMod w14:val="95000"/>
                <w14:lumOff w14:val="5000"/>
              </w14:schemeClr>
            </w14:solidFill>
          </w14:textFill>
        </w:rPr>
      </w:pPr>
      <m:oMathPara>
        <m:oMath>
          <m:sSub>
            <m:sSubPr>
              <m:ctrlPr>
                <w:rPr>
                  <w:rFonts w:ascii="Cambria Math" w:hAnsi="Cambria Math" w:cs="Times New Roman"/>
                  <w:iCs/>
                  <w:color w:val="0D0D0D" w:themeColor="text1" w:themeTint="F2"/>
                  <w:szCs w:val="24"/>
                  <w14:textFill>
                    <w14:solidFill>
                      <w14:schemeClr w14:val="tx1">
                        <w14:lumMod w14:val="95000"/>
                        <w14:lumOff w14:val="5000"/>
                      </w14:schemeClr>
                    </w14:solidFill>
                  </w14:textFill>
                </w:rPr>
              </m:ctrlPr>
            </m:sSubPr>
            <m:e>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Q</m:t>
              </m:r>
              <m:ctrlPr>
                <w:rPr>
                  <w:rFonts w:ascii="Cambria Math" w:hAnsi="Cambria Math" w:cs="Times New Roman"/>
                  <w:iCs/>
                  <w:color w:val="0D0D0D" w:themeColor="text1" w:themeTint="F2"/>
                  <w:szCs w:val="24"/>
                  <w14:textFill>
                    <w14:solidFill>
                      <w14:schemeClr w14:val="tx1">
                        <w14:lumMod w14:val="95000"/>
                        <w14:lumOff w14:val="5000"/>
                      </w14:schemeClr>
                    </w14:solidFill>
                  </w14:textFill>
                </w:rPr>
              </m:ctrlPr>
            </m:e>
            <m:sub>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i</m:t>
              </m:r>
              <m:ctrlPr>
                <w:rPr>
                  <w:rFonts w:ascii="Cambria Math" w:hAnsi="Cambria Math" w:cs="Times New Roman"/>
                  <w:iCs/>
                  <w:color w:val="0D0D0D" w:themeColor="text1" w:themeTint="F2"/>
                  <w:szCs w:val="24"/>
                  <w14:textFill>
                    <w14:solidFill>
                      <w14:schemeClr w14:val="tx1">
                        <w14:lumMod w14:val="95000"/>
                        <w14:lumOff w14:val="5000"/>
                      </w14:schemeClr>
                    </w14:solidFill>
                  </w14:textFill>
                </w:rPr>
              </m:ctrlPr>
            </m:sub>
          </m:sSub>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=0.123×</m:t>
          </m:r>
          <m:r>
            <m:rPr>
              <m:sty m:val="p"/>
            </m:rPr>
            <w:rPr>
              <w:rFonts w:hint="eastAsia" w:ascii="Cambria Math" w:hAnsi="Cambria Math" w:cs="Times New Roman"/>
              <w:color w:val="0D0D0D" w:themeColor="text1" w:themeTint="F2"/>
              <w:szCs w:val="24"/>
              <w14:textFill>
                <w14:solidFill>
                  <w14:schemeClr w14:val="tx1">
                    <w14:lumMod w14:val="95000"/>
                    <w14:lumOff w14:val="5000"/>
                  </w14:schemeClr>
                </w14:solidFill>
              </w14:textFill>
            </w:rPr>
            <m:t>（</m:t>
          </m:r>
          <m:f>
            <m:fPr>
              <m:ctrlPr>
                <w:rPr>
                  <w:rFonts w:ascii="Cambria Math" w:hAnsi="Cambria Math" w:cs="Times New Roman"/>
                  <w:iCs/>
                  <w:color w:val="0D0D0D" w:themeColor="text1" w:themeTint="F2"/>
                  <w:szCs w:val="24"/>
                  <w14:textFill>
                    <w14:solidFill>
                      <w14:schemeClr w14:val="tx1">
                        <w14:lumMod w14:val="95000"/>
                        <w14:lumOff w14:val="5000"/>
                      </w14:schemeClr>
                    </w14:solidFill>
                  </w14:textFill>
                </w:rPr>
              </m:ctrlPr>
            </m:fPr>
            <m:num>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V</m:t>
              </m:r>
              <m:ctrlPr>
                <w:rPr>
                  <w:rFonts w:ascii="Cambria Math" w:hAnsi="Cambria Math" w:cs="Times New Roman"/>
                  <w:iCs/>
                  <w:color w:val="0D0D0D" w:themeColor="text1" w:themeTint="F2"/>
                  <w:szCs w:val="24"/>
                  <w14:textFill>
                    <w14:solidFill>
                      <w14:schemeClr w14:val="tx1">
                        <w14:lumMod w14:val="95000"/>
                        <w14:lumOff w14:val="5000"/>
                      </w14:schemeClr>
                    </w14:solidFill>
                  </w14:textFill>
                </w:rPr>
              </m:ctrlPr>
            </m:num>
            <m:den>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5</m:t>
              </m:r>
              <m:ctrlPr>
                <w:rPr>
                  <w:rFonts w:ascii="Cambria Math" w:hAnsi="Cambria Math" w:cs="Times New Roman"/>
                  <w:iCs/>
                  <w:color w:val="0D0D0D" w:themeColor="text1" w:themeTint="F2"/>
                  <w:szCs w:val="24"/>
                  <w14:textFill>
                    <w14:solidFill>
                      <w14:schemeClr w14:val="tx1">
                        <w14:lumMod w14:val="95000"/>
                        <w14:lumOff w14:val="5000"/>
                      </w14:schemeClr>
                    </w14:solidFill>
                  </w14:textFill>
                </w:rPr>
              </m:ctrlPr>
            </m:den>
          </m:f>
          <m:r>
            <m:rPr>
              <m:sty m:val="p"/>
            </m:rPr>
            <w:rPr>
              <w:rFonts w:hint="eastAsia" w:ascii="Cambria Math" w:hAnsi="Cambria Math" w:cs="Times New Roman"/>
              <w:color w:val="0D0D0D" w:themeColor="text1" w:themeTint="F2"/>
              <w:szCs w:val="24"/>
              <w14:textFill>
                <w14:solidFill>
                  <w14:schemeClr w14:val="tx1">
                    <w14:lumMod w14:val="95000"/>
                    <w14:lumOff w14:val="5000"/>
                  </w14:schemeClr>
                </w14:solidFill>
              </w14:textFill>
            </w:rPr>
            <m:t>）</m:t>
          </m:r>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m:t>
          </m:r>
          <m:sSup>
            <m:sSupPr>
              <m:ctrlPr>
                <w:rPr>
                  <w:rFonts w:ascii="Cambria Math" w:hAnsi="Cambria Math" w:cs="Times New Roman"/>
                  <w:iCs/>
                  <w:color w:val="0D0D0D" w:themeColor="text1" w:themeTint="F2"/>
                  <w:szCs w:val="24"/>
                  <w14:textFill>
                    <w14:solidFill>
                      <w14:schemeClr w14:val="tx1">
                        <w14:lumMod w14:val="95000"/>
                        <w14:lumOff w14:val="5000"/>
                      </w14:schemeClr>
                    </w14:solidFill>
                  </w14:textFill>
                </w:rPr>
              </m:ctrlPr>
            </m:sSupPr>
            <m:e>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m:t>
              </m:r>
              <m:f>
                <m:fPr>
                  <m:ctrlPr>
                    <w:rPr>
                      <w:rFonts w:ascii="Cambria Math" w:hAnsi="Cambria Math" w:cs="Times New Roman"/>
                      <w:iCs/>
                      <w:color w:val="0D0D0D" w:themeColor="text1" w:themeTint="F2"/>
                      <w:szCs w:val="24"/>
                      <w14:textFill>
                        <w14:solidFill>
                          <w14:schemeClr w14:val="tx1">
                            <w14:lumMod w14:val="95000"/>
                            <w14:lumOff w14:val="5000"/>
                          </w14:schemeClr>
                        </w14:solidFill>
                      </w14:textFill>
                    </w:rPr>
                  </m:ctrlPr>
                </m:fPr>
                <m:num>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W</m:t>
                  </m:r>
                  <m:ctrlPr>
                    <w:rPr>
                      <w:rFonts w:ascii="Cambria Math" w:hAnsi="Cambria Math" w:cs="Times New Roman"/>
                      <w:iCs/>
                      <w:color w:val="0D0D0D" w:themeColor="text1" w:themeTint="F2"/>
                      <w:szCs w:val="24"/>
                      <w14:textFill>
                        <w14:solidFill>
                          <w14:schemeClr w14:val="tx1">
                            <w14:lumMod w14:val="95000"/>
                            <w14:lumOff w14:val="5000"/>
                          </w14:schemeClr>
                        </w14:solidFill>
                      </w14:textFill>
                    </w:rPr>
                  </m:ctrlPr>
                </m:num>
                <m:den>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6.8</m:t>
                  </m:r>
                  <m:ctrlPr>
                    <w:rPr>
                      <w:rFonts w:ascii="Cambria Math" w:hAnsi="Cambria Math" w:cs="Times New Roman"/>
                      <w:iCs/>
                      <w:color w:val="0D0D0D" w:themeColor="text1" w:themeTint="F2"/>
                      <w:szCs w:val="24"/>
                      <w14:textFill>
                        <w14:solidFill>
                          <w14:schemeClr w14:val="tx1">
                            <w14:lumMod w14:val="95000"/>
                            <w14:lumOff w14:val="5000"/>
                          </w14:schemeClr>
                        </w14:solidFill>
                      </w14:textFill>
                    </w:rPr>
                  </m:ctrlPr>
                </m:den>
              </m:f>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m:t>
              </m:r>
              <m:ctrlPr>
                <w:rPr>
                  <w:rFonts w:ascii="Cambria Math" w:hAnsi="Cambria Math" w:cs="Times New Roman"/>
                  <w:iCs/>
                  <w:color w:val="0D0D0D" w:themeColor="text1" w:themeTint="F2"/>
                  <w:szCs w:val="24"/>
                  <w14:textFill>
                    <w14:solidFill>
                      <w14:schemeClr w14:val="tx1">
                        <w14:lumMod w14:val="95000"/>
                        <w14:lumOff w14:val="5000"/>
                      </w14:schemeClr>
                    </w14:solidFill>
                  </w14:textFill>
                </w:rPr>
              </m:ctrlPr>
            </m:e>
            <m:sup>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0.85</m:t>
              </m:r>
              <m:ctrlPr>
                <w:rPr>
                  <w:rFonts w:ascii="Cambria Math" w:hAnsi="Cambria Math" w:cs="Times New Roman"/>
                  <w:iCs/>
                  <w:color w:val="0D0D0D" w:themeColor="text1" w:themeTint="F2"/>
                  <w:szCs w:val="24"/>
                  <w14:textFill>
                    <w14:solidFill>
                      <w14:schemeClr w14:val="tx1">
                        <w14:lumMod w14:val="95000"/>
                        <w14:lumOff w14:val="5000"/>
                      </w14:schemeClr>
                    </w14:solidFill>
                  </w14:textFill>
                </w:rPr>
              </m:ctrlPr>
            </m:sup>
          </m:sSup>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m:t>
          </m:r>
          <m:sSup>
            <m:sSupPr>
              <m:ctrlPr>
                <w:rPr>
                  <w:rFonts w:ascii="Cambria Math" w:hAnsi="Cambria Math" w:cs="Times New Roman"/>
                  <w:iCs/>
                  <w:color w:val="0D0D0D" w:themeColor="text1" w:themeTint="F2"/>
                  <w:szCs w:val="24"/>
                  <w14:textFill>
                    <w14:solidFill>
                      <w14:schemeClr w14:val="tx1">
                        <w14:lumMod w14:val="95000"/>
                        <w14:lumOff w14:val="5000"/>
                      </w14:schemeClr>
                    </w14:solidFill>
                  </w14:textFill>
                </w:rPr>
              </m:ctrlPr>
            </m:sSupPr>
            <m:e>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m:t>
              </m:r>
              <m:f>
                <m:fPr>
                  <m:ctrlPr>
                    <w:rPr>
                      <w:rFonts w:ascii="Cambria Math" w:hAnsi="Cambria Math" w:cs="Times New Roman"/>
                      <w:iCs/>
                      <w:color w:val="0D0D0D" w:themeColor="text1" w:themeTint="F2"/>
                      <w:szCs w:val="24"/>
                      <w14:textFill>
                        <w14:solidFill>
                          <w14:schemeClr w14:val="tx1">
                            <w14:lumMod w14:val="95000"/>
                            <w14:lumOff w14:val="5000"/>
                          </w14:schemeClr>
                        </w14:solidFill>
                      </w14:textFill>
                    </w:rPr>
                  </m:ctrlPr>
                </m:fPr>
                <m:num>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P</m:t>
                  </m:r>
                  <m:ctrlPr>
                    <w:rPr>
                      <w:rFonts w:ascii="Cambria Math" w:hAnsi="Cambria Math" w:cs="Times New Roman"/>
                      <w:iCs/>
                      <w:color w:val="0D0D0D" w:themeColor="text1" w:themeTint="F2"/>
                      <w:szCs w:val="24"/>
                      <w14:textFill>
                        <w14:solidFill>
                          <w14:schemeClr w14:val="tx1">
                            <w14:lumMod w14:val="95000"/>
                            <w14:lumOff w14:val="5000"/>
                          </w14:schemeClr>
                        </w14:solidFill>
                      </w14:textFill>
                    </w:rPr>
                  </m:ctrlPr>
                </m:num>
                <m:den>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0.5</m:t>
                  </m:r>
                  <m:ctrlPr>
                    <w:rPr>
                      <w:rFonts w:ascii="Cambria Math" w:hAnsi="Cambria Math" w:cs="Times New Roman"/>
                      <w:iCs/>
                      <w:color w:val="0D0D0D" w:themeColor="text1" w:themeTint="F2"/>
                      <w:szCs w:val="24"/>
                      <w14:textFill>
                        <w14:solidFill>
                          <w14:schemeClr w14:val="tx1">
                            <w14:lumMod w14:val="95000"/>
                            <w14:lumOff w14:val="5000"/>
                          </w14:schemeClr>
                        </w14:solidFill>
                      </w14:textFill>
                    </w:rPr>
                  </m:ctrlPr>
                </m:den>
              </m:f>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m:t>
              </m:r>
              <m:ctrlPr>
                <w:rPr>
                  <w:rFonts w:ascii="Cambria Math" w:hAnsi="Cambria Math" w:cs="Times New Roman"/>
                  <w:iCs/>
                  <w:color w:val="0D0D0D" w:themeColor="text1" w:themeTint="F2"/>
                  <w:szCs w:val="24"/>
                  <w14:textFill>
                    <w14:solidFill>
                      <w14:schemeClr w14:val="tx1">
                        <w14:lumMod w14:val="95000"/>
                        <w14:lumOff w14:val="5000"/>
                      </w14:schemeClr>
                    </w14:solidFill>
                  </w14:textFill>
                </w:rPr>
              </m:ctrlPr>
            </m:e>
            <m:sup>
              <m:r>
                <m:rPr>
                  <m:sty m:val="p"/>
                </m:rPr>
                <w:rPr>
                  <w:rFonts w:ascii="Cambria Math" w:hAnsi="Cambria Math" w:cs="Times New Roman"/>
                  <w:color w:val="0D0D0D" w:themeColor="text1" w:themeTint="F2"/>
                  <w:szCs w:val="24"/>
                  <w14:textFill>
                    <w14:solidFill>
                      <w14:schemeClr w14:val="tx1">
                        <w14:lumMod w14:val="95000"/>
                        <w14:lumOff w14:val="5000"/>
                      </w14:schemeClr>
                    </w14:solidFill>
                  </w14:textFill>
                </w:rPr>
                <m:t>0.72</m:t>
              </m:r>
              <m:ctrlPr>
                <w:rPr>
                  <w:rFonts w:ascii="Cambria Math" w:hAnsi="Cambria Math" w:cs="Times New Roman"/>
                  <w:iCs/>
                  <w:color w:val="0D0D0D" w:themeColor="text1" w:themeTint="F2"/>
                  <w:szCs w:val="24"/>
                  <w14:textFill>
                    <w14:solidFill>
                      <w14:schemeClr w14:val="tx1">
                        <w14:lumMod w14:val="95000"/>
                        <w14:lumOff w14:val="5000"/>
                      </w14:schemeClr>
                    </w14:solidFill>
                  </w14:textFill>
                </w:rPr>
              </m:ctrlPr>
            </m:sup>
          </m:sSup>
        </m:oMath>
      </m:oMathPara>
    </w:p>
    <w:p w14:paraId="469653E0">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式中：</w:t>
      </w:r>
    </w:p>
    <w:p w14:paraId="101C9C1C">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Q</w:t>
      </w:r>
      <w:r>
        <w:rPr>
          <w:rFonts w:hint="eastAsia" w:cs="Times New Roman"/>
          <w:color w:val="0D0D0D" w:themeColor="text1" w:themeTint="F2"/>
          <w:szCs w:val="24"/>
          <w:vertAlign w:val="subscript"/>
          <w14:textFill>
            <w14:solidFill>
              <w14:schemeClr w14:val="tx1">
                <w14:lumMod w14:val="95000"/>
                <w14:lumOff w14:val="5000"/>
              </w14:schemeClr>
            </w14:solidFill>
          </w14:textFill>
        </w:rPr>
        <w:t>i</w:t>
      </w:r>
      <w:r>
        <w:rPr>
          <w:rFonts w:hint="eastAsia" w:cs="Times New Roman"/>
          <w:color w:val="0D0D0D" w:themeColor="text1" w:themeTint="F2"/>
          <w:szCs w:val="24"/>
          <w14:textFill>
            <w14:solidFill>
              <w14:schemeClr w14:val="tx1">
                <w14:lumMod w14:val="95000"/>
                <w14:lumOff w14:val="5000"/>
              </w14:schemeClr>
            </w14:solidFill>
          </w14:textFill>
        </w:rPr>
        <w:t>——每辆汽车行驶扬尘量（kg/km·辆）；</w:t>
      </w:r>
    </w:p>
    <w:p w14:paraId="349D8895">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v——汽车速度，km/h；</w:t>
      </w:r>
    </w:p>
    <w:p w14:paraId="1A8D8EA1">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W——汽车载重量，t；</w:t>
      </w:r>
    </w:p>
    <w:p w14:paraId="43A56971">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P——道路表面粉尘量，kg/m</w:t>
      </w:r>
      <w:r>
        <w:rPr>
          <w:rFonts w:hint="eastAsia" w:cs="Times New Roman"/>
          <w:color w:val="0D0D0D" w:themeColor="text1" w:themeTint="F2"/>
          <w:szCs w:val="24"/>
          <w:vertAlign w:val="superscript"/>
          <w14:textFill>
            <w14:solidFill>
              <w14:schemeClr w14:val="tx1">
                <w14:lumMod w14:val="95000"/>
                <w14:lumOff w14:val="5000"/>
              </w14:schemeClr>
            </w14:solidFill>
          </w14:textFill>
        </w:rPr>
        <w:t>2</w:t>
      </w:r>
      <w:r>
        <w:rPr>
          <w:rFonts w:hint="eastAsia" w:cs="Times New Roman"/>
          <w:color w:val="0D0D0D" w:themeColor="text1" w:themeTint="F2"/>
          <w:szCs w:val="24"/>
          <w14:textFill>
            <w14:solidFill>
              <w14:schemeClr w14:val="tx1">
                <w14:lumMod w14:val="95000"/>
                <w14:lumOff w14:val="5000"/>
              </w14:schemeClr>
            </w14:solidFill>
          </w14:textFill>
        </w:rPr>
        <w:t>。</w:t>
      </w:r>
    </w:p>
    <w:p w14:paraId="3BCADB4F">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一辆载重5t的卡车，通过一段长度为500m的路面时，不同表面清洁程度，不同行驶速度情况下产生的扬尘量详见表5.1-2。</w:t>
      </w:r>
    </w:p>
    <w:p w14:paraId="704C3592">
      <w:pPr>
        <w:pStyle w:val="11"/>
      </w:pPr>
      <w:r>
        <w:rPr>
          <w:rFonts w:hint="eastAsia"/>
        </w:rPr>
        <w:t xml:space="preserve"> 不同车速和地面清洁程度的汽车扬尘 单位：kg/km·辆</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9"/>
        <w:gridCol w:w="1173"/>
        <w:gridCol w:w="1174"/>
        <w:gridCol w:w="1174"/>
        <w:gridCol w:w="1174"/>
        <w:gridCol w:w="1174"/>
        <w:gridCol w:w="1174"/>
      </w:tblGrid>
      <w:tr w14:paraId="7DA62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tcBorders>
              <w:tl2br w:val="single" w:color="auto" w:sz="4" w:space="0"/>
            </w:tcBorders>
            <w:vAlign w:val="center"/>
          </w:tcPr>
          <w:p w14:paraId="36B01402">
            <w:pPr>
              <w:spacing w:line="240" w:lineRule="auto"/>
              <w:jc w:val="right"/>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P（kg/m</w:t>
            </w:r>
            <w:r>
              <w:rPr>
                <w:rFonts w:hint="eastAsia" w:cs="Times New Roman"/>
                <w:color w:val="0D0D0D" w:themeColor="text1" w:themeTint="F2"/>
                <w:sz w:val="21"/>
                <w:vertAlign w:val="superscript"/>
                <w14:textFill>
                  <w14:solidFill>
                    <w14:schemeClr w14:val="tx1">
                      <w14:lumMod w14:val="95000"/>
                      <w14:lumOff w14:val="5000"/>
                    </w14:schemeClr>
                  </w14:solidFill>
                </w14:textFill>
              </w:rPr>
              <w:t>2</w:t>
            </w:r>
            <w:r>
              <w:rPr>
                <w:rFonts w:hint="eastAsia" w:cs="Times New Roman"/>
                <w:color w:val="0D0D0D" w:themeColor="text1" w:themeTint="F2"/>
                <w:sz w:val="21"/>
                <w14:textFill>
                  <w14:solidFill>
                    <w14:schemeClr w14:val="tx1">
                      <w14:lumMod w14:val="95000"/>
                      <w14:lumOff w14:val="5000"/>
                    </w14:schemeClr>
                  </w14:solidFill>
                </w14:textFill>
              </w:rPr>
              <w:t>）</w:t>
            </w:r>
          </w:p>
          <w:p w14:paraId="1BFC4ED8">
            <w:pPr>
              <w:spacing w:line="240" w:lineRule="auto"/>
              <w:jc w:val="left"/>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车速（km/h）</w:t>
            </w:r>
          </w:p>
        </w:tc>
        <w:tc>
          <w:tcPr>
            <w:tcW w:w="635" w:type="pct"/>
            <w:vAlign w:val="center"/>
          </w:tcPr>
          <w:p w14:paraId="39697E33">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0.1</w:t>
            </w:r>
          </w:p>
        </w:tc>
        <w:tc>
          <w:tcPr>
            <w:tcW w:w="635" w:type="pct"/>
            <w:vAlign w:val="center"/>
          </w:tcPr>
          <w:p w14:paraId="1F1B3A2E">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0.2</w:t>
            </w:r>
          </w:p>
        </w:tc>
        <w:tc>
          <w:tcPr>
            <w:tcW w:w="635" w:type="pct"/>
            <w:vAlign w:val="center"/>
          </w:tcPr>
          <w:p w14:paraId="7293AD68">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0.3</w:t>
            </w:r>
          </w:p>
        </w:tc>
        <w:tc>
          <w:tcPr>
            <w:tcW w:w="635" w:type="pct"/>
            <w:vAlign w:val="center"/>
          </w:tcPr>
          <w:p w14:paraId="26705F8D">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0.4</w:t>
            </w:r>
          </w:p>
        </w:tc>
        <w:tc>
          <w:tcPr>
            <w:tcW w:w="635" w:type="pct"/>
            <w:vAlign w:val="center"/>
          </w:tcPr>
          <w:p w14:paraId="400E65E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0.5</w:t>
            </w:r>
          </w:p>
        </w:tc>
        <w:tc>
          <w:tcPr>
            <w:tcW w:w="635" w:type="pct"/>
            <w:vAlign w:val="center"/>
          </w:tcPr>
          <w:p w14:paraId="03696722">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1.0</w:t>
            </w:r>
          </w:p>
        </w:tc>
      </w:tr>
      <w:tr w14:paraId="46E47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vAlign w:val="center"/>
          </w:tcPr>
          <w:p w14:paraId="6A25509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5</w:t>
            </w:r>
          </w:p>
        </w:tc>
        <w:tc>
          <w:tcPr>
            <w:tcW w:w="635" w:type="pct"/>
            <w:vAlign w:val="center"/>
          </w:tcPr>
          <w:p w14:paraId="3492C518">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0.0296</w:t>
            </w:r>
          </w:p>
        </w:tc>
        <w:tc>
          <w:tcPr>
            <w:tcW w:w="635" w:type="pct"/>
            <w:vAlign w:val="center"/>
          </w:tcPr>
          <w:p w14:paraId="7DA001AE">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0.0487</w:t>
            </w:r>
          </w:p>
        </w:tc>
        <w:tc>
          <w:tcPr>
            <w:tcW w:w="635" w:type="pct"/>
            <w:vAlign w:val="center"/>
          </w:tcPr>
          <w:p w14:paraId="7E6D79DA">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0.0652</w:t>
            </w:r>
          </w:p>
        </w:tc>
        <w:tc>
          <w:tcPr>
            <w:tcW w:w="635" w:type="pct"/>
            <w:vAlign w:val="center"/>
          </w:tcPr>
          <w:p w14:paraId="48E893F6">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0.0808</w:t>
            </w:r>
          </w:p>
        </w:tc>
        <w:tc>
          <w:tcPr>
            <w:tcW w:w="635" w:type="pct"/>
            <w:vAlign w:val="center"/>
          </w:tcPr>
          <w:p w14:paraId="1D811046">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0.0942</w:t>
            </w:r>
          </w:p>
        </w:tc>
        <w:tc>
          <w:tcPr>
            <w:tcW w:w="635" w:type="pct"/>
            <w:vAlign w:val="center"/>
          </w:tcPr>
          <w:p w14:paraId="7B5A00FA">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0.1551</w:t>
            </w:r>
          </w:p>
        </w:tc>
      </w:tr>
      <w:tr w14:paraId="16C46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vAlign w:val="center"/>
          </w:tcPr>
          <w:p w14:paraId="4588F4F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10</w:t>
            </w:r>
          </w:p>
        </w:tc>
        <w:tc>
          <w:tcPr>
            <w:tcW w:w="635" w:type="pct"/>
            <w:vAlign w:val="center"/>
          </w:tcPr>
          <w:p w14:paraId="322BB035">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0.0591</w:t>
            </w:r>
          </w:p>
        </w:tc>
        <w:tc>
          <w:tcPr>
            <w:tcW w:w="635" w:type="pct"/>
            <w:vAlign w:val="center"/>
          </w:tcPr>
          <w:p w14:paraId="5113A55D">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0.0974</w:t>
            </w:r>
          </w:p>
        </w:tc>
        <w:tc>
          <w:tcPr>
            <w:tcW w:w="635" w:type="pct"/>
            <w:vAlign w:val="center"/>
          </w:tcPr>
          <w:p w14:paraId="79BBBEE4">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0.1304</w:t>
            </w:r>
          </w:p>
        </w:tc>
        <w:tc>
          <w:tcPr>
            <w:tcW w:w="635" w:type="pct"/>
            <w:vAlign w:val="center"/>
          </w:tcPr>
          <w:p w14:paraId="3297366D">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0.1604</w:t>
            </w:r>
          </w:p>
        </w:tc>
        <w:tc>
          <w:tcPr>
            <w:tcW w:w="635" w:type="pct"/>
            <w:vAlign w:val="center"/>
          </w:tcPr>
          <w:p w14:paraId="6E0FC857">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0.1884</w:t>
            </w:r>
          </w:p>
        </w:tc>
        <w:tc>
          <w:tcPr>
            <w:tcW w:w="635" w:type="pct"/>
            <w:vAlign w:val="center"/>
          </w:tcPr>
          <w:p w14:paraId="6E859C27">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0.3103</w:t>
            </w:r>
          </w:p>
        </w:tc>
      </w:tr>
      <w:tr w14:paraId="1DC5B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vAlign w:val="center"/>
          </w:tcPr>
          <w:p w14:paraId="080C30D2">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15</w:t>
            </w:r>
          </w:p>
        </w:tc>
        <w:tc>
          <w:tcPr>
            <w:tcW w:w="635" w:type="pct"/>
            <w:vAlign w:val="center"/>
          </w:tcPr>
          <w:p w14:paraId="56B995B2">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0.0887</w:t>
            </w:r>
          </w:p>
        </w:tc>
        <w:tc>
          <w:tcPr>
            <w:tcW w:w="635" w:type="pct"/>
            <w:vAlign w:val="center"/>
          </w:tcPr>
          <w:p w14:paraId="28B0AA5A">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0.1461</w:t>
            </w:r>
          </w:p>
        </w:tc>
        <w:tc>
          <w:tcPr>
            <w:tcW w:w="635" w:type="pct"/>
            <w:vAlign w:val="center"/>
          </w:tcPr>
          <w:p w14:paraId="1C840CA0">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0.1956</w:t>
            </w:r>
          </w:p>
        </w:tc>
        <w:tc>
          <w:tcPr>
            <w:tcW w:w="635" w:type="pct"/>
            <w:vAlign w:val="center"/>
          </w:tcPr>
          <w:p w14:paraId="10E50602">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0.2406</w:t>
            </w:r>
          </w:p>
        </w:tc>
        <w:tc>
          <w:tcPr>
            <w:tcW w:w="635" w:type="pct"/>
            <w:vAlign w:val="center"/>
          </w:tcPr>
          <w:p w14:paraId="3D2430D3">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0.2826</w:t>
            </w:r>
          </w:p>
        </w:tc>
        <w:tc>
          <w:tcPr>
            <w:tcW w:w="635" w:type="pct"/>
            <w:vAlign w:val="center"/>
          </w:tcPr>
          <w:p w14:paraId="3071EE0A">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0.4654</w:t>
            </w:r>
          </w:p>
        </w:tc>
      </w:tr>
      <w:tr w14:paraId="3F3AC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0" w:type="pct"/>
            <w:vAlign w:val="center"/>
          </w:tcPr>
          <w:p w14:paraId="4445B9B6">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20</w:t>
            </w:r>
          </w:p>
        </w:tc>
        <w:tc>
          <w:tcPr>
            <w:tcW w:w="635" w:type="pct"/>
            <w:vAlign w:val="center"/>
          </w:tcPr>
          <w:p w14:paraId="41F26511">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0.1182</w:t>
            </w:r>
          </w:p>
        </w:tc>
        <w:tc>
          <w:tcPr>
            <w:tcW w:w="635" w:type="pct"/>
            <w:vAlign w:val="center"/>
          </w:tcPr>
          <w:p w14:paraId="0B1C10E0">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0.1948</w:t>
            </w:r>
          </w:p>
        </w:tc>
        <w:tc>
          <w:tcPr>
            <w:tcW w:w="635" w:type="pct"/>
            <w:vAlign w:val="center"/>
          </w:tcPr>
          <w:p w14:paraId="4EC010BB">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0.2608</w:t>
            </w:r>
          </w:p>
        </w:tc>
        <w:tc>
          <w:tcPr>
            <w:tcW w:w="635" w:type="pct"/>
            <w:vAlign w:val="center"/>
          </w:tcPr>
          <w:p w14:paraId="394EA7FB">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0.3208</w:t>
            </w:r>
          </w:p>
        </w:tc>
        <w:tc>
          <w:tcPr>
            <w:tcW w:w="635" w:type="pct"/>
            <w:vAlign w:val="center"/>
          </w:tcPr>
          <w:p w14:paraId="198F1E0E">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0.3767</w:t>
            </w:r>
          </w:p>
        </w:tc>
        <w:tc>
          <w:tcPr>
            <w:tcW w:w="635" w:type="pct"/>
            <w:vAlign w:val="center"/>
          </w:tcPr>
          <w:p w14:paraId="2280B8B5">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0.6206</w:t>
            </w:r>
          </w:p>
        </w:tc>
      </w:tr>
    </w:tbl>
    <w:p w14:paraId="4CB2FAF8">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由上表可知，不同路面清洁程度，不同行驶速度情况下的扬尘量不同。在同样清洁程度条件下，车速越快，扬尘量也大；而在同样车速情况下，路面越脏，则扬尘量越大，因此限速行驶及保持路面清洁是减少汽车扬尘的有效手段。</w:t>
      </w:r>
    </w:p>
    <w:p w14:paraId="0952E90B">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为减轻项目施工期产生的运输道路扬尘对周围环境的影响，本次评价要求项目施工期采取的措施为：</w:t>
      </w:r>
    </w:p>
    <w:p w14:paraId="4CC30284">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（1）设置洗车平台，完善排水设施，防止泥土粘带；工地出口处铺装道路上可见粘带泥土不得超过10米，并应及时清扫冲洗。</w:t>
      </w:r>
    </w:p>
    <w:p w14:paraId="704472A5">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（2）进出工地的物料、渣土、垃圾运输车辆，应尽可能采用密闭车斗，并保证物料不遗撒外漏；车辆应按照批准的路线和时间进行物料、渣土、垃圾的运输。</w:t>
      </w:r>
    </w:p>
    <w:p w14:paraId="0CEF04FA">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（3）施工工地内及工地出口至铺装道路间的车行道路，应采取铺设钢板或铺设水泥混凝土等，并保持路面清洁，防止机动车扬尘。</w:t>
      </w:r>
    </w:p>
    <w:p w14:paraId="489EA6FD">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（4）对区内的运输道路定期洒水，限制施工区内运输车辆的速度，合理选择运输时间，尤其是路过道路两侧的敏感点时应减速慢行。</w:t>
      </w:r>
    </w:p>
    <w:p w14:paraId="2F934820">
      <w:pPr>
        <w:pStyle w:val="10"/>
      </w:pPr>
      <w:r>
        <w:rPr>
          <w:rFonts w:hint="eastAsia"/>
        </w:rPr>
        <w:t>车辆尾气</w:t>
      </w:r>
    </w:p>
    <w:p w14:paraId="6AD2E3DC">
      <w:pPr>
        <w:autoSpaceDE w:val="0"/>
        <w:autoSpaceDN w:val="0"/>
        <w:adjustRightInd w:val="0"/>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施工作业机械主要有柴油动力机械、载重汽车等燃油机械，排放的大气污染物主要有CO、NO</w:t>
      </w:r>
      <w:r>
        <w:rPr>
          <w:rFonts w:hint="eastAsia" w:cs="Times New Roman"/>
          <w:color w:val="0D0D0D" w:themeColor="text1" w:themeTint="F2"/>
          <w:szCs w:val="24"/>
          <w:vertAlign w:val="subscript"/>
          <w14:textFill>
            <w14:solidFill>
              <w14:schemeClr w14:val="tx1">
                <w14:lumMod w14:val="95000"/>
                <w14:lumOff w14:val="5000"/>
              </w14:schemeClr>
            </w14:solidFill>
          </w14:textFill>
        </w:rPr>
        <w:t>2</w:t>
      </w:r>
      <w:r>
        <w:rPr>
          <w:rFonts w:hint="eastAsia" w:cs="Times New Roman"/>
          <w:color w:val="0D0D0D" w:themeColor="text1" w:themeTint="F2"/>
          <w:szCs w:val="24"/>
          <w14:textFill>
            <w14:solidFill>
              <w14:schemeClr w14:val="tx1">
                <w14:lumMod w14:val="95000"/>
                <w14:lumOff w14:val="5000"/>
              </w14:schemeClr>
            </w14:solidFill>
          </w14:textFill>
        </w:rPr>
        <w:t>、SO</w:t>
      </w:r>
      <w:r>
        <w:rPr>
          <w:rFonts w:hint="eastAsia" w:cs="Times New Roman"/>
          <w:color w:val="0D0D0D" w:themeColor="text1" w:themeTint="F2"/>
          <w:szCs w:val="24"/>
          <w:vertAlign w:val="subscript"/>
          <w14:textFill>
            <w14:solidFill>
              <w14:schemeClr w14:val="tx1">
                <w14:lumMod w14:val="95000"/>
                <w14:lumOff w14:val="5000"/>
              </w14:schemeClr>
            </w14:solidFill>
          </w14:textFill>
        </w:rPr>
        <w:t>2</w:t>
      </w:r>
      <w:r>
        <w:rPr>
          <w:rFonts w:hint="eastAsia" w:cs="Times New Roman"/>
          <w:color w:val="0D0D0D" w:themeColor="text1" w:themeTint="F2"/>
          <w:szCs w:val="24"/>
          <w14:textFill>
            <w14:solidFill>
              <w14:schemeClr w14:val="tx1">
                <w14:lumMod w14:val="95000"/>
                <w14:lumOff w14:val="5000"/>
              </w14:schemeClr>
            </w14:solidFill>
          </w14:textFill>
        </w:rPr>
        <w:t>、CnHm等，由于施工机械多为大型机械，单车排放系数较大，但施工机械数量少且较分散，具有流动性，表现为间歇性特征，其污染程度相对较轻，影响是短期和局部的，施工结束影响也随之消失。根据类似工程监测，在距离现场50m处，一氧化碳、二氧化氮1小时平均浓度分别为200μg/m</w:t>
      </w:r>
      <w:r>
        <w:rPr>
          <w:rFonts w:hint="eastAsia" w:cs="Times New Roman"/>
          <w:color w:val="0D0D0D" w:themeColor="text1" w:themeTint="F2"/>
          <w:szCs w:val="24"/>
          <w:vertAlign w:val="superscript"/>
          <w14:textFill>
            <w14:solidFill>
              <w14:schemeClr w14:val="tx1">
                <w14:lumMod w14:val="95000"/>
                <w14:lumOff w14:val="5000"/>
              </w14:schemeClr>
            </w14:solidFill>
          </w14:textFill>
        </w:rPr>
        <w:t>3</w:t>
      </w:r>
      <w:r>
        <w:rPr>
          <w:rFonts w:hint="eastAsia" w:cs="Times New Roman"/>
          <w:color w:val="0D0D0D" w:themeColor="text1" w:themeTint="F2"/>
          <w:szCs w:val="24"/>
          <w14:textFill>
            <w14:solidFill>
              <w14:schemeClr w14:val="tx1">
                <w14:lumMod w14:val="95000"/>
                <w14:lumOff w14:val="5000"/>
              </w14:schemeClr>
            </w14:solidFill>
          </w14:textFill>
        </w:rPr>
        <w:t>和130μg/m</w:t>
      </w:r>
      <w:r>
        <w:rPr>
          <w:rFonts w:hint="eastAsia" w:cs="Times New Roman"/>
          <w:color w:val="0D0D0D" w:themeColor="text1" w:themeTint="F2"/>
          <w:szCs w:val="24"/>
          <w:vertAlign w:val="superscript"/>
          <w14:textFill>
            <w14:solidFill>
              <w14:schemeClr w14:val="tx1">
                <w14:lumMod w14:val="95000"/>
                <w14:lumOff w14:val="5000"/>
              </w14:schemeClr>
            </w14:solidFill>
          </w14:textFill>
        </w:rPr>
        <w:t>3</w:t>
      </w:r>
      <w:r>
        <w:rPr>
          <w:rFonts w:hint="eastAsia" w:cs="Times New Roman"/>
          <w:color w:val="0D0D0D" w:themeColor="text1" w:themeTint="F2"/>
          <w:szCs w:val="24"/>
          <w14:textFill>
            <w14:solidFill>
              <w14:schemeClr w14:val="tx1">
                <w14:lumMod w14:val="95000"/>
                <w14:lumOff w14:val="5000"/>
              </w14:schemeClr>
            </w14:solidFill>
          </w14:textFill>
        </w:rPr>
        <w:t>，24小时平均浓度分别为130μg/m</w:t>
      </w:r>
      <w:r>
        <w:rPr>
          <w:rFonts w:hint="eastAsia" w:cs="Times New Roman"/>
          <w:color w:val="0D0D0D" w:themeColor="text1" w:themeTint="F2"/>
          <w:szCs w:val="24"/>
          <w:vertAlign w:val="superscript"/>
          <w14:textFill>
            <w14:solidFill>
              <w14:schemeClr w14:val="tx1">
                <w14:lumMod w14:val="95000"/>
                <w14:lumOff w14:val="5000"/>
              </w14:schemeClr>
            </w14:solidFill>
          </w14:textFill>
        </w:rPr>
        <w:t>3</w:t>
      </w:r>
      <w:r>
        <w:rPr>
          <w:rFonts w:hint="eastAsia" w:cs="Times New Roman"/>
          <w:color w:val="0D0D0D" w:themeColor="text1" w:themeTint="F2"/>
          <w:szCs w:val="24"/>
          <w14:textFill>
            <w14:solidFill>
              <w14:schemeClr w14:val="tx1">
                <w14:lumMod w14:val="95000"/>
                <w14:lumOff w14:val="5000"/>
              </w14:schemeClr>
            </w14:solidFill>
          </w14:textFill>
        </w:rPr>
        <w:t>和62μg/m</w:t>
      </w:r>
      <w:r>
        <w:rPr>
          <w:rFonts w:hint="eastAsia" w:cs="Times New Roman"/>
          <w:color w:val="0D0D0D" w:themeColor="text1" w:themeTint="F2"/>
          <w:szCs w:val="24"/>
          <w:vertAlign w:val="superscript"/>
          <w14:textFill>
            <w14:solidFill>
              <w14:schemeClr w14:val="tx1">
                <w14:lumMod w14:val="95000"/>
                <w14:lumOff w14:val="5000"/>
              </w14:schemeClr>
            </w14:solidFill>
          </w14:textFill>
        </w:rPr>
        <w:t>3</w:t>
      </w:r>
      <w:r>
        <w:rPr>
          <w:rFonts w:hint="eastAsia" w:cs="Times New Roman"/>
          <w:color w:val="0D0D0D" w:themeColor="text1" w:themeTint="F2"/>
          <w:szCs w:val="24"/>
          <w14:textFill>
            <w14:solidFill>
              <w14:schemeClr w14:val="tx1">
                <w14:lumMod w14:val="95000"/>
                <w14:lumOff w14:val="5000"/>
              </w14:schemeClr>
            </w14:solidFill>
          </w14:textFill>
        </w:rPr>
        <w:t>，均可达到国家《环境空气质量标准》（GB3095-1996）及其修改单二级标准要求。</w:t>
      </w:r>
    </w:p>
    <w:p w14:paraId="377C6516">
      <w:pPr>
        <w:autoSpaceDE w:val="0"/>
        <w:autoSpaceDN w:val="0"/>
        <w:adjustRightInd w:val="0"/>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为减轻施工作业机械废气对周边环境的影响，项目在施工过程中应合理布局，施工机械尽量远离居民点进行作业，减小施工机械废气对周边环境影响。另外，为保证施工作业机械废气对周边大气环境的影响，施工单位必须使用污染物排放符合国家标准的运输车辆，增加新能源车辆使用比例，加强车辆的保养，使车辆处于良好的工作状态，严禁使用报废车辆，以减轻施工车辆尾气对周围环境的影响。</w:t>
      </w:r>
    </w:p>
    <w:p w14:paraId="0299728A">
      <w:pPr>
        <w:pStyle w:val="9"/>
      </w:pPr>
      <w:bookmarkStart w:id="157" w:name="_Toc204062621"/>
      <w:r>
        <w:rPr>
          <w:rFonts w:hint="eastAsia"/>
        </w:rPr>
        <w:t>施工期水环境影响分析</w:t>
      </w:r>
      <w:bookmarkEnd w:id="157"/>
    </w:p>
    <w:p w14:paraId="7CDF601C">
      <w:pPr>
        <w:autoSpaceDE w:val="0"/>
        <w:autoSpaceDN w:val="0"/>
        <w:adjustRightInd w:val="0"/>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（1）施工废水</w:t>
      </w:r>
    </w:p>
    <w:p w14:paraId="207704AA">
      <w:pPr>
        <w:autoSpaceDE w:val="0"/>
        <w:autoSpaceDN w:val="0"/>
        <w:adjustRightInd w:val="0"/>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施工废水主要为各种施工设备和运输车辆产生的清洗废水、灌浆过程中产生的废水等，主要污染物为SS和石油类，经隔油沉淀池处理后回用于洒水抑尘等，不外排，对周围环境的影响较小。</w:t>
      </w:r>
    </w:p>
    <w:p w14:paraId="486E425E">
      <w:pPr>
        <w:autoSpaceDE w:val="0"/>
        <w:autoSpaceDN w:val="0"/>
        <w:adjustRightInd w:val="0"/>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（2）生活污水</w:t>
      </w:r>
    </w:p>
    <w:p w14:paraId="1191FE72">
      <w:pPr>
        <w:autoSpaceDE w:val="0"/>
        <w:autoSpaceDN w:val="0"/>
        <w:adjustRightInd w:val="0"/>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施工期间将产生施工人员生活污水，施工场地设置临时化粪池，施工人员的生活污水经临时化粪池处理后用于周边林地施肥，不外排，对周边地表水环境影响较小。</w:t>
      </w:r>
    </w:p>
    <w:p w14:paraId="53CBB9DA">
      <w:pPr>
        <w:pStyle w:val="9"/>
      </w:pPr>
      <w:bookmarkStart w:id="158" w:name="_Toc204062622"/>
      <w:r>
        <w:rPr>
          <w:rFonts w:hint="eastAsia"/>
        </w:rPr>
        <w:t>施工期噪声影响分析</w:t>
      </w:r>
      <w:bookmarkEnd w:id="158"/>
    </w:p>
    <w:p w14:paraId="5D0791D6">
      <w:pPr>
        <w:autoSpaceDE w:val="0"/>
        <w:autoSpaceDN w:val="0"/>
        <w:adjustRightInd w:val="0"/>
        <w:ind w:firstLine="480" w:firstLineChars="200"/>
        <w:rPr>
          <w:rFonts w:cs="Times New Roman"/>
          <w:color w:val="0D0D0D" w:themeColor="text1" w:themeTint="F2"/>
          <w:szCs w:val="24"/>
          <w:lang w:bidi="ar"/>
          <w14:textFill>
            <w14:solidFill>
              <w14:schemeClr w14:val="tx1">
                <w14:lumMod w14:val="95000"/>
                <w14:lumOff w14:val="5000"/>
              </w14:schemeClr>
            </w14:solidFill>
          </w14:textFill>
        </w:rPr>
      </w:pPr>
      <w:r>
        <w:rPr>
          <w:rFonts w:cs="Times New Roman"/>
          <w:color w:val="0D0D0D" w:themeColor="text1" w:themeTint="F2"/>
          <w:szCs w:val="24"/>
          <w:lang w:bidi="ar"/>
          <w14:textFill>
            <w14:solidFill>
              <w14:schemeClr w14:val="tx1">
                <w14:lumMod w14:val="95000"/>
                <w14:lumOff w14:val="5000"/>
              </w14:schemeClr>
            </w14:solidFill>
          </w14:textFill>
        </w:rPr>
        <w:t>项目施工期噪声主要来自施工机械作业和运输车辆，噪声源强</w:t>
      </w:r>
      <w:r>
        <w:rPr>
          <w:rFonts w:hint="eastAsia" w:cs="Times New Roman"/>
          <w:color w:val="0D0D0D" w:themeColor="text1" w:themeTint="F2"/>
          <w:szCs w:val="24"/>
          <w:lang w:bidi="ar"/>
          <w14:textFill>
            <w14:solidFill>
              <w14:schemeClr w14:val="tx1">
                <w14:lumMod w14:val="95000"/>
                <w14:lumOff w14:val="5000"/>
              </w14:schemeClr>
            </w14:solidFill>
          </w14:textFill>
        </w:rPr>
        <w:t>一般在88</w:t>
      </w:r>
      <w:r>
        <w:rPr>
          <w:rFonts w:cs="Times New Roman"/>
          <w:color w:val="0D0D0D" w:themeColor="text1" w:themeTint="F2"/>
          <w:szCs w:val="24"/>
          <w:lang w:bidi="ar"/>
          <w14:textFill>
            <w14:solidFill>
              <w14:schemeClr w14:val="tx1">
                <w14:lumMod w14:val="95000"/>
                <w14:lumOff w14:val="5000"/>
              </w14:schemeClr>
            </w14:solidFill>
          </w14:textFill>
        </w:rPr>
        <w:t>dB(A)~</w:t>
      </w:r>
      <w:r>
        <w:rPr>
          <w:rFonts w:hint="eastAsia" w:cs="Times New Roman"/>
          <w:color w:val="0D0D0D" w:themeColor="text1" w:themeTint="F2"/>
          <w:szCs w:val="24"/>
          <w:lang w:bidi="ar"/>
          <w14:textFill>
            <w14:solidFill>
              <w14:schemeClr w14:val="tx1">
                <w14:lumMod w14:val="95000"/>
                <w14:lumOff w14:val="5000"/>
              </w14:schemeClr>
            </w14:solidFill>
          </w14:textFill>
        </w:rPr>
        <w:t>105</w:t>
      </w:r>
      <w:r>
        <w:rPr>
          <w:rFonts w:cs="Times New Roman"/>
          <w:color w:val="0D0D0D" w:themeColor="text1" w:themeTint="F2"/>
          <w:szCs w:val="24"/>
          <w:lang w:bidi="ar"/>
          <w14:textFill>
            <w14:solidFill>
              <w14:schemeClr w14:val="tx1">
                <w14:lumMod w14:val="95000"/>
                <w14:lumOff w14:val="5000"/>
              </w14:schemeClr>
            </w14:solidFill>
          </w14:textFill>
        </w:rPr>
        <w:t>dB(A)。</w:t>
      </w:r>
      <w:r>
        <w:rPr>
          <w:rFonts w:hint="eastAsia" w:cs="Times New Roman"/>
          <w:color w:val="0D0D0D" w:themeColor="text1" w:themeTint="F2"/>
          <w14:textFill>
            <w14:solidFill>
              <w14:schemeClr w14:val="tx1">
                <w14:lumMod w14:val="95000"/>
                <w14:lumOff w14:val="5000"/>
              </w14:schemeClr>
            </w14:solidFill>
          </w14:textFill>
        </w:rPr>
        <w:t>施工中使用的各种施工机械一般位于露天，噪声传播距离远，影响范围大。本次评价将各施工机械噪声作点源处理，采用点源噪声距离衰减公式预测各主要施工机械噪声对环境的影响。</w:t>
      </w:r>
    </w:p>
    <w:p w14:paraId="0672A001">
      <w:pPr>
        <w:autoSpaceDE w:val="0"/>
        <w:autoSpaceDN w:val="0"/>
        <w:adjustRightInd w:val="0"/>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点源衰减公式：</w:t>
      </w:r>
    </w:p>
    <w:p w14:paraId="7670F0FF">
      <w:pPr>
        <w:autoSpaceDE w:val="0"/>
        <w:autoSpaceDN w:val="0"/>
        <w:adjustRightInd w:val="0"/>
        <w:jc w:val="center"/>
        <w:rPr>
          <w:rFonts w:cs="Times New Roman"/>
          <w:color w:val="0D0D0D" w:themeColor="text1" w:themeTint="F2"/>
          <w14:textFill>
            <w14:solidFill>
              <w14:schemeClr w14:val="tx1">
                <w14:lumMod w14:val="95000"/>
                <w14:lumOff w14:val="5000"/>
              </w14:schemeClr>
            </w14:solidFill>
          </w14:textFill>
        </w:rPr>
      </w:pPr>
      <w:r>
        <w:rPr>
          <w:rFonts w:cs="Times New Roman"/>
          <w:color w:val="0D0D0D" w:themeColor="text1" w:themeTint="F2"/>
          <w14:textFill>
            <w14:solidFill>
              <w14:schemeClr w14:val="tx1">
                <w14:lumMod w14:val="95000"/>
                <w14:lumOff w14:val="5000"/>
              </w14:schemeClr>
            </w14:solidFill>
          </w14:textFill>
        </w:rPr>
        <w:t>L</w:t>
      </w:r>
      <w:r>
        <w:rPr>
          <w:rFonts w:cs="Times New Roman"/>
          <w:color w:val="0D0D0D" w:themeColor="text1" w:themeTint="F2"/>
          <w:vertAlign w:val="subscript"/>
          <w14:textFill>
            <w14:solidFill>
              <w14:schemeClr w14:val="tx1">
                <w14:lumMod w14:val="95000"/>
                <w14:lumOff w14:val="5000"/>
              </w14:schemeClr>
            </w14:solidFill>
          </w14:textFill>
        </w:rPr>
        <w:t>p</w:t>
      </w:r>
      <w:r>
        <w:rPr>
          <w:rFonts w:hint="eastAsia" w:cs="Times New Roman"/>
          <w:color w:val="0D0D0D" w:themeColor="text1" w:themeTint="F2"/>
          <w14:textFill>
            <w14:solidFill>
              <w14:schemeClr w14:val="tx1">
                <w14:lumMod w14:val="95000"/>
                <w14:lumOff w14:val="5000"/>
              </w14:schemeClr>
            </w14:solidFill>
          </w14:textFill>
        </w:rPr>
        <w:t>（r）=Lp（r</w:t>
      </w:r>
      <w:r>
        <w:rPr>
          <w:rFonts w:hint="eastAsia" w:cs="Times New Roman"/>
          <w:color w:val="0D0D0D" w:themeColor="text1" w:themeTint="F2"/>
          <w:vertAlign w:val="subscript"/>
          <w14:textFill>
            <w14:solidFill>
              <w14:schemeClr w14:val="tx1">
                <w14:lumMod w14:val="95000"/>
                <w14:lumOff w14:val="5000"/>
              </w14:schemeClr>
            </w14:solidFill>
          </w14:textFill>
        </w:rPr>
        <w:t>0</w:t>
      </w:r>
      <w:r>
        <w:rPr>
          <w:rFonts w:hint="eastAsia" w:cs="Times New Roman"/>
          <w:color w:val="0D0D0D" w:themeColor="text1" w:themeTint="F2"/>
          <w14:textFill>
            <w14:solidFill>
              <w14:schemeClr w14:val="tx1">
                <w14:lumMod w14:val="95000"/>
                <w14:lumOff w14:val="5000"/>
              </w14:schemeClr>
            </w14:solidFill>
          </w14:textFill>
        </w:rPr>
        <w:t>）-20lg（r</w:t>
      </w:r>
      <w:r>
        <w:rPr>
          <w:rFonts w:hint="eastAsia" w:cs="Times New Roman"/>
          <w:color w:val="0D0D0D" w:themeColor="text1" w:themeTint="F2"/>
          <w:vertAlign w:val="subscript"/>
          <w14:textFill>
            <w14:solidFill>
              <w14:schemeClr w14:val="tx1">
                <w14:lumMod w14:val="95000"/>
                <w14:lumOff w14:val="5000"/>
              </w14:schemeClr>
            </w14:solidFill>
          </w14:textFill>
        </w:rPr>
        <w:t>1</w:t>
      </w:r>
      <w:r>
        <w:rPr>
          <w:rFonts w:cs="Times New Roman"/>
          <w:color w:val="0D0D0D" w:themeColor="text1" w:themeTint="F2"/>
          <w14:textFill>
            <w14:solidFill>
              <w14:schemeClr w14:val="tx1">
                <w14:lumMod w14:val="95000"/>
                <w14:lumOff w14:val="5000"/>
              </w14:schemeClr>
            </w14:solidFill>
          </w14:textFill>
        </w:rPr>
        <w:t>/r</w:t>
      </w:r>
      <w:r>
        <w:rPr>
          <w:rFonts w:cs="Times New Roman"/>
          <w:color w:val="0D0D0D" w:themeColor="text1" w:themeTint="F2"/>
          <w:vertAlign w:val="subscript"/>
          <w14:textFill>
            <w14:solidFill>
              <w14:schemeClr w14:val="tx1">
                <w14:lumMod w14:val="95000"/>
                <w14:lumOff w14:val="5000"/>
              </w14:schemeClr>
            </w14:solidFill>
          </w14:textFill>
        </w:rPr>
        <w:t>0</w:t>
      </w:r>
      <w:r>
        <w:rPr>
          <w:rFonts w:hint="eastAsia" w:cs="Times New Roman"/>
          <w:color w:val="0D0D0D" w:themeColor="text1" w:themeTint="F2"/>
          <w14:textFill>
            <w14:solidFill>
              <w14:schemeClr w14:val="tx1">
                <w14:lumMod w14:val="95000"/>
                <w14:lumOff w14:val="5000"/>
              </w14:schemeClr>
            </w14:solidFill>
          </w14:textFill>
        </w:rPr>
        <w:t>）</w:t>
      </w:r>
    </w:p>
    <w:p w14:paraId="65DA4E09">
      <w:pPr>
        <w:autoSpaceDE w:val="0"/>
        <w:autoSpaceDN w:val="0"/>
        <w:adjustRightInd w:val="0"/>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式中：</w:t>
      </w:r>
    </w:p>
    <w:p w14:paraId="02F0A297">
      <w:pPr>
        <w:autoSpaceDE w:val="0"/>
        <w:autoSpaceDN w:val="0"/>
        <w:adjustRightInd w:val="0"/>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L</w:t>
      </w:r>
      <w:r>
        <w:rPr>
          <w:rFonts w:hint="eastAsia" w:cs="Times New Roman"/>
          <w:color w:val="0D0D0D" w:themeColor="text1" w:themeTint="F2"/>
          <w:vertAlign w:val="subscript"/>
          <w14:textFill>
            <w14:solidFill>
              <w14:schemeClr w14:val="tx1">
                <w14:lumMod w14:val="95000"/>
                <w14:lumOff w14:val="5000"/>
              </w14:schemeClr>
            </w14:solidFill>
          </w14:textFill>
        </w:rPr>
        <w:t>p</w:t>
      </w:r>
      <w:r>
        <w:rPr>
          <w:rFonts w:hint="eastAsia" w:cs="Times New Roman"/>
          <w:color w:val="0D0D0D" w:themeColor="text1" w:themeTint="F2"/>
          <w14:textFill>
            <w14:solidFill>
              <w14:schemeClr w14:val="tx1">
                <w14:lumMod w14:val="95000"/>
                <w14:lumOff w14:val="5000"/>
              </w14:schemeClr>
            </w14:solidFill>
          </w14:textFill>
        </w:rPr>
        <w:t>（r）——距声源r1处的声级，dB(A)；</w:t>
      </w:r>
    </w:p>
    <w:p w14:paraId="649A1CDF">
      <w:pPr>
        <w:autoSpaceDE w:val="0"/>
        <w:autoSpaceDN w:val="0"/>
        <w:adjustRightInd w:val="0"/>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Lp（r</w:t>
      </w:r>
      <w:r>
        <w:rPr>
          <w:rFonts w:hint="eastAsia" w:cs="Times New Roman"/>
          <w:color w:val="0D0D0D" w:themeColor="text1" w:themeTint="F2"/>
          <w:vertAlign w:val="subscript"/>
          <w14:textFill>
            <w14:solidFill>
              <w14:schemeClr w14:val="tx1">
                <w14:lumMod w14:val="95000"/>
                <w14:lumOff w14:val="5000"/>
              </w14:schemeClr>
            </w14:solidFill>
          </w14:textFill>
        </w:rPr>
        <w:t>0</w:t>
      </w:r>
      <w:r>
        <w:rPr>
          <w:rFonts w:hint="eastAsia" w:cs="Times New Roman"/>
          <w:color w:val="0D0D0D" w:themeColor="text1" w:themeTint="F2"/>
          <w14:textFill>
            <w14:solidFill>
              <w14:schemeClr w14:val="tx1">
                <w14:lumMod w14:val="95000"/>
                <w14:lumOff w14:val="5000"/>
              </w14:schemeClr>
            </w14:solidFill>
          </w14:textFill>
        </w:rPr>
        <w:t>）——距声源r0处的声级，dB(A)；</w:t>
      </w:r>
    </w:p>
    <w:p w14:paraId="075282B1">
      <w:pPr>
        <w:autoSpaceDE w:val="0"/>
        <w:autoSpaceDN w:val="0"/>
        <w:adjustRightInd w:val="0"/>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r——预测点距声源的距离；</w:t>
      </w:r>
    </w:p>
    <w:p w14:paraId="036C6518">
      <w:pPr>
        <w:autoSpaceDE w:val="0"/>
        <w:autoSpaceDN w:val="0"/>
        <w:adjustRightInd w:val="0"/>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r</w:t>
      </w:r>
      <w:r>
        <w:rPr>
          <w:rFonts w:hint="eastAsia" w:cs="Times New Roman"/>
          <w:color w:val="0D0D0D" w:themeColor="text1" w:themeTint="F2"/>
          <w:vertAlign w:val="subscript"/>
          <w14:textFill>
            <w14:solidFill>
              <w14:schemeClr w14:val="tx1">
                <w14:lumMod w14:val="95000"/>
                <w14:lumOff w14:val="5000"/>
              </w14:schemeClr>
            </w14:solidFill>
          </w14:textFill>
        </w:rPr>
        <w:t>0</w:t>
      </w:r>
      <w:r>
        <w:rPr>
          <w:rFonts w:hint="eastAsia" w:cs="Times New Roman"/>
          <w:color w:val="0D0D0D" w:themeColor="text1" w:themeTint="F2"/>
          <w14:textFill>
            <w14:solidFill>
              <w14:schemeClr w14:val="tx1">
                <w14:lumMod w14:val="95000"/>
                <w14:lumOff w14:val="5000"/>
              </w14:schemeClr>
            </w14:solidFill>
          </w14:textFill>
        </w:rPr>
        <w:t>——参考位置距声源的距离。</w:t>
      </w:r>
    </w:p>
    <w:p w14:paraId="706F044F">
      <w:pPr>
        <w:autoSpaceDE w:val="0"/>
        <w:autoSpaceDN w:val="0"/>
        <w:adjustRightInd w:val="0"/>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不考虑施工围墙对施工噪声的衰减，只靠空间距离的自然衰减时，对项目施工噪声污染的强度和范围进行预测，预测结果详见表5.1-3。</w:t>
      </w:r>
    </w:p>
    <w:p w14:paraId="7F0B0AAF">
      <w:pPr>
        <w:pStyle w:val="2"/>
        <w:ind w:firstLine="240"/>
      </w:pPr>
      <w:r>
        <w:br w:type="page"/>
      </w:r>
    </w:p>
    <w:p w14:paraId="6E054C8C">
      <w:pPr>
        <w:pStyle w:val="11"/>
      </w:pPr>
      <w:r>
        <w:rPr>
          <w:rFonts w:hint="eastAsia"/>
        </w:rPr>
        <w:t xml:space="preserve"> </w:t>
      </w:r>
      <w:r>
        <w:t>在不同距离的噪声预测值  单位：dB(A)</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1372"/>
        <w:gridCol w:w="553"/>
        <w:gridCol w:w="460"/>
        <w:gridCol w:w="460"/>
        <w:gridCol w:w="645"/>
        <w:gridCol w:w="645"/>
        <w:gridCol w:w="645"/>
        <w:gridCol w:w="645"/>
        <w:gridCol w:w="645"/>
        <w:gridCol w:w="645"/>
        <w:gridCol w:w="645"/>
        <w:gridCol w:w="556"/>
        <w:gridCol w:w="576"/>
      </w:tblGrid>
      <w:tr w14:paraId="45F0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vMerge w:val="restart"/>
            <w:vAlign w:val="center"/>
          </w:tcPr>
          <w:p w14:paraId="5C568ED1">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施工</w:t>
            </w:r>
          </w:p>
          <w:p w14:paraId="7FB1E0C8">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阶段</w:t>
            </w:r>
          </w:p>
        </w:tc>
        <w:tc>
          <w:tcPr>
            <w:tcW w:w="742" w:type="pct"/>
            <w:vMerge w:val="restart"/>
            <w:vAlign w:val="center"/>
          </w:tcPr>
          <w:p w14:paraId="66095855">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cs="Times New Roman"/>
                <w:color w:val="0D0D0D" w:themeColor="text1" w:themeTint="F2"/>
                <w:spacing w:val="12"/>
                <w:sz w:val="21"/>
                <w14:textFill>
                  <w14:solidFill>
                    <w14:schemeClr w14:val="tx1">
                      <w14:lumMod w14:val="95000"/>
                      <w14:lumOff w14:val="5000"/>
                    </w14:schemeClr>
                  </w14:solidFill>
                </w14:textFill>
              </w:rPr>
              <w:t>机械名称</w:t>
            </w:r>
          </w:p>
        </w:tc>
        <w:tc>
          <w:tcPr>
            <w:tcW w:w="299" w:type="pct"/>
            <w:vMerge w:val="restart"/>
            <w:vAlign w:val="center"/>
          </w:tcPr>
          <w:p w14:paraId="0F8EA281">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cs="Times New Roman"/>
                <w:color w:val="0D0D0D" w:themeColor="text1" w:themeTint="F2"/>
                <w:spacing w:val="12"/>
                <w:sz w:val="21"/>
                <w14:textFill>
                  <w14:solidFill>
                    <w14:schemeClr w14:val="tx1">
                      <w14:lumMod w14:val="95000"/>
                      <w14:lumOff w14:val="5000"/>
                    </w14:schemeClr>
                  </w14:solidFill>
                </w14:textFill>
              </w:rPr>
              <w:t>噪声源强</w:t>
            </w:r>
          </w:p>
        </w:tc>
        <w:tc>
          <w:tcPr>
            <w:tcW w:w="498" w:type="pct"/>
            <w:gridSpan w:val="2"/>
            <w:vAlign w:val="center"/>
          </w:tcPr>
          <w:p w14:paraId="6DFCD85F">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标准</w:t>
            </w:r>
          </w:p>
          <w:p w14:paraId="1805A67B">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限值</w:t>
            </w:r>
          </w:p>
        </w:tc>
        <w:tc>
          <w:tcPr>
            <w:tcW w:w="2442" w:type="pct"/>
            <w:gridSpan w:val="7"/>
            <w:vAlign w:val="center"/>
          </w:tcPr>
          <w:p w14:paraId="2BD07ACD">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cs="Times New Roman"/>
                <w:color w:val="0D0D0D" w:themeColor="text1" w:themeTint="F2"/>
                <w:spacing w:val="12"/>
                <w:sz w:val="21"/>
                <w14:textFill>
                  <w14:solidFill>
                    <w14:schemeClr w14:val="tx1">
                      <w14:lumMod w14:val="95000"/>
                      <w14:lumOff w14:val="5000"/>
                    </w14:schemeClr>
                  </w14:solidFill>
                </w14:textFill>
              </w:rPr>
              <w:t>与声源不同距离（m）的噪声预测值</w:t>
            </w:r>
          </w:p>
        </w:tc>
        <w:tc>
          <w:tcPr>
            <w:tcW w:w="614" w:type="pct"/>
            <w:gridSpan w:val="2"/>
            <w:vAlign w:val="center"/>
          </w:tcPr>
          <w:p w14:paraId="7803D433">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达标距离（m）</w:t>
            </w:r>
          </w:p>
        </w:tc>
      </w:tr>
      <w:tr w14:paraId="4A8AD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vMerge w:val="continue"/>
            <w:vAlign w:val="center"/>
          </w:tcPr>
          <w:p w14:paraId="3AFEF145">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p>
        </w:tc>
        <w:tc>
          <w:tcPr>
            <w:tcW w:w="742" w:type="pct"/>
            <w:vMerge w:val="continue"/>
            <w:vAlign w:val="center"/>
          </w:tcPr>
          <w:p w14:paraId="617AB570">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p>
        </w:tc>
        <w:tc>
          <w:tcPr>
            <w:tcW w:w="299" w:type="pct"/>
            <w:vMerge w:val="continue"/>
            <w:vAlign w:val="center"/>
          </w:tcPr>
          <w:p w14:paraId="3B8F6D91">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p>
        </w:tc>
        <w:tc>
          <w:tcPr>
            <w:tcW w:w="249" w:type="pct"/>
            <w:vAlign w:val="center"/>
          </w:tcPr>
          <w:p w14:paraId="086B3264">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昼间</w:t>
            </w:r>
          </w:p>
        </w:tc>
        <w:tc>
          <w:tcPr>
            <w:tcW w:w="249" w:type="pct"/>
            <w:vAlign w:val="center"/>
          </w:tcPr>
          <w:p w14:paraId="1378CA39">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夜间</w:t>
            </w:r>
          </w:p>
        </w:tc>
        <w:tc>
          <w:tcPr>
            <w:tcW w:w="349" w:type="pct"/>
            <w:vAlign w:val="center"/>
          </w:tcPr>
          <w:p w14:paraId="1BF2A069">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cs="Times New Roman"/>
                <w:color w:val="0D0D0D" w:themeColor="text1" w:themeTint="F2"/>
                <w:spacing w:val="12"/>
                <w:sz w:val="21"/>
                <w14:textFill>
                  <w14:solidFill>
                    <w14:schemeClr w14:val="tx1">
                      <w14:lumMod w14:val="95000"/>
                      <w14:lumOff w14:val="5000"/>
                    </w14:schemeClr>
                  </w14:solidFill>
                </w14:textFill>
              </w:rPr>
              <w:t>10</w:t>
            </w:r>
          </w:p>
        </w:tc>
        <w:tc>
          <w:tcPr>
            <w:tcW w:w="349" w:type="pct"/>
            <w:vAlign w:val="center"/>
          </w:tcPr>
          <w:p w14:paraId="46009C5C">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20</w:t>
            </w:r>
          </w:p>
        </w:tc>
        <w:tc>
          <w:tcPr>
            <w:tcW w:w="349" w:type="pct"/>
            <w:vAlign w:val="center"/>
          </w:tcPr>
          <w:p w14:paraId="207B4273">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40</w:t>
            </w:r>
          </w:p>
        </w:tc>
        <w:tc>
          <w:tcPr>
            <w:tcW w:w="349" w:type="pct"/>
            <w:vAlign w:val="center"/>
          </w:tcPr>
          <w:p w14:paraId="33B10521">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50</w:t>
            </w:r>
          </w:p>
        </w:tc>
        <w:tc>
          <w:tcPr>
            <w:tcW w:w="349" w:type="pct"/>
            <w:vAlign w:val="center"/>
          </w:tcPr>
          <w:p w14:paraId="291E842D">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100</w:t>
            </w:r>
          </w:p>
        </w:tc>
        <w:tc>
          <w:tcPr>
            <w:tcW w:w="349" w:type="pct"/>
            <w:vAlign w:val="center"/>
          </w:tcPr>
          <w:p w14:paraId="12C18D3D">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150</w:t>
            </w:r>
          </w:p>
        </w:tc>
        <w:tc>
          <w:tcPr>
            <w:tcW w:w="349" w:type="pct"/>
            <w:vAlign w:val="center"/>
          </w:tcPr>
          <w:p w14:paraId="26541D4D">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200</w:t>
            </w:r>
          </w:p>
        </w:tc>
        <w:tc>
          <w:tcPr>
            <w:tcW w:w="301" w:type="pct"/>
            <w:vAlign w:val="center"/>
          </w:tcPr>
          <w:p w14:paraId="03F4D909">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昼间</w:t>
            </w:r>
          </w:p>
        </w:tc>
        <w:tc>
          <w:tcPr>
            <w:tcW w:w="313" w:type="pct"/>
            <w:vAlign w:val="center"/>
          </w:tcPr>
          <w:p w14:paraId="6336DB60">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夜间</w:t>
            </w:r>
          </w:p>
        </w:tc>
      </w:tr>
      <w:tr w14:paraId="4B779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vMerge w:val="restart"/>
            <w:vAlign w:val="center"/>
          </w:tcPr>
          <w:p w14:paraId="4BB5A622">
            <w:pPr>
              <w:adjustRightInd w:val="0"/>
              <w:snapToGrid w:val="0"/>
              <w:spacing w:line="240" w:lineRule="auto"/>
              <w:jc w:val="center"/>
              <w:textAlignment w:val="baseline"/>
              <w:rPr>
                <w:rFonts w:cs="Times New Roman"/>
                <w:color w:val="0D0D0D" w:themeColor="text1" w:themeTint="F2"/>
                <w:sz w:val="21"/>
                <w:szCs w:val="24"/>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土石方阶段</w:t>
            </w:r>
          </w:p>
        </w:tc>
        <w:tc>
          <w:tcPr>
            <w:tcW w:w="742" w:type="pct"/>
            <w:vAlign w:val="center"/>
          </w:tcPr>
          <w:p w14:paraId="12B33B19">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推土机</w:t>
            </w:r>
          </w:p>
        </w:tc>
        <w:tc>
          <w:tcPr>
            <w:tcW w:w="299" w:type="pct"/>
            <w:vAlign w:val="center"/>
          </w:tcPr>
          <w:p w14:paraId="00EEF245">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88</w:t>
            </w:r>
          </w:p>
        </w:tc>
        <w:tc>
          <w:tcPr>
            <w:tcW w:w="249" w:type="pct"/>
            <w:vMerge w:val="restart"/>
            <w:vAlign w:val="center"/>
          </w:tcPr>
          <w:p w14:paraId="69D0FFC7">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70</w:t>
            </w:r>
          </w:p>
        </w:tc>
        <w:tc>
          <w:tcPr>
            <w:tcW w:w="249" w:type="pct"/>
            <w:vMerge w:val="restart"/>
            <w:vAlign w:val="center"/>
          </w:tcPr>
          <w:p w14:paraId="11F176C6">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55</w:t>
            </w:r>
          </w:p>
        </w:tc>
        <w:tc>
          <w:tcPr>
            <w:tcW w:w="349" w:type="pct"/>
            <w:vAlign w:val="center"/>
          </w:tcPr>
          <w:p w14:paraId="77664412">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68.0</w:t>
            </w:r>
          </w:p>
        </w:tc>
        <w:tc>
          <w:tcPr>
            <w:tcW w:w="349" w:type="pct"/>
            <w:vAlign w:val="center"/>
          </w:tcPr>
          <w:p w14:paraId="294E64F2">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62.0</w:t>
            </w:r>
          </w:p>
        </w:tc>
        <w:tc>
          <w:tcPr>
            <w:tcW w:w="349" w:type="pct"/>
            <w:vAlign w:val="center"/>
          </w:tcPr>
          <w:p w14:paraId="3F835BE0">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56.0</w:t>
            </w:r>
          </w:p>
        </w:tc>
        <w:tc>
          <w:tcPr>
            <w:tcW w:w="349" w:type="pct"/>
            <w:vAlign w:val="center"/>
          </w:tcPr>
          <w:p w14:paraId="2D68708D">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54.0</w:t>
            </w:r>
          </w:p>
        </w:tc>
        <w:tc>
          <w:tcPr>
            <w:tcW w:w="349" w:type="pct"/>
            <w:vAlign w:val="center"/>
          </w:tcPr>
          <w:p w14:paraId="1AB29257">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48.0</w:t>
            </w:r>
          </w:p>
        </w:tc>
        <w:tc>
          <w:tcPr>
            <w:tcW w:w="349" w:type="pct"/>
            <w:vAlign w:val="center"/>
          </w:tcPr>
          <w:p w14:paraId="4FA4C129">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44.5</w:t>
            </w:r>
          </w:p>
        </w:tc>
        <w:tc>
          <w:tcPr>
            <w:tcW w:w="349" w:type="pct"/>
            <w:vAlign w:val="center"/>
          </w:tcPr>
          <w:p w14:paraId="7E932C84">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42.0</w:t>
            </w:r>
          </w:p>
        </w:tc>
        <w:tc>
          <w:tcPr>
            <w:tcW w:w="301" w:type="pct"/>
            <w:vAlign w:val="center"/>
          </w:tcPr>
          <w:p w14:paraId="6F1FAFFF">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8</w:t>
            </w:r>
          </w:p>
        </w:tc>
        <w:tc>
          <w:tcPr>
            <w:tcW w:w="313" w:type="pct"/>
            <w:vAlign w:val="center"/>
          </w:tcPr>
          <w:p w14:paraId="2DAFC725">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45</w:t>
            </w:r>
          </w:p>
        </w:tc>
      </w:tr>
      <w:tr w14:paraId="07446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vMerge w:val="continue"/>
            <w:vAlign w:val="center"/>
          </w:tcPr>
          <w:p w14:paraId="4562BD7D">
            <w:pPr>
              <w:adjustRightInd w:val="0"/>
              <w:snapToGrid w:val="0"/>
              <w:spacing w:line="240" w:lineRule="auto"/>
              <w:jc w:val="center"/>
              <w:textAlignment w:val="baseline"/>
              <w:rPr>
                <w:rFonts w:cs="Times New Roman"/>
                <w:color w:val="0D0D0D" w:themeColor="text1" w:themeTint="F2"/>
                <w:sz w:val="21"/>
                <w:szCs w:val="24"/>
                <w14:textFill>
                  <w14:solidFill>
                    <w14:schemeClr w14:val="tx1">
                      <w14:lumMod w14:val="95000"/>
                      <w14:lumOff w14:val="5000"/>
                    </w14:schemeClr>
                  </w14:solidFill>
                </w14:textFill>
              </w:rPr>
            </w:pPr>
          </w:p>
        </w:tc>
        <w:tc>
          <w:tcPr>
            <w:tcW w:w="742" w:type="pct"/>
            <w:vAlign w:val="center"/>
          </w:tcPr>
          <w:p w14:paraId="780C4763">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挖掘机</w:t>
            </w:r>
          </w:p>
        </w:tc>
        <w:tc>
          <w:tcPr>
            <w:tcW w:w="299" w:type="pct"/>
            <w:vAlign w:val="center"/>
          </w:tcPr>
          <w:p w14:paraId="0A1B9F26">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90</w:t>
            </w:r>
          </w:p>
        </w:tc>
        <w:tc>
          <w:tcPr>
            <w:tcW w:w="249" w:type="pct"/>
            <w:vMerge w:val="continue"/>
            <w:vAlign w:val="center"/>
          </w:tcPr>
          <w:p w14:paraId="60B523C8">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p>
        </w:tc>
        <w:tc>
          <w:tcPr>
            <w:tcW w:w="249" w:type="pct"/>
            <w:vMerge w:val="continue"/>
            <w:vAlign w:val="center"/>
          </w:tcPr>
          <w:p w14:paraId="202AAB97">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p>
        </w:tc>
        <w:tc>
          <w:tcPr>
            <w:tcW w:w="349" w:type="pct"/>
            <w:vAlign w:val="center"/>
          </w:tcPr>
          <w:p w14:paraId="200583F8">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70.0</w:t>
            </w:r>
          </w:p>
        </w:tc>
        <w:tc>
          <w:tcPr>
            <w:tcW w:w="349" w:type="pct"/>
            <w:vAlign w:val="center"/>
          </w:tcPr>
          <w:p w14:paraId="0EA478D8">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64.0</w:t>
            </w:r>
          </w:p>
        </w:tc>
        <w:tc>
          <w:tcPr>
            <w:tcW w:w="349" w:type="pct"/>
            <w:vAlign w:val="center"/>
          </w:tcPr>
          <w:p w14:paraId="56BCAF57">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58.0</w:t>
            </w:r>
          </w:p>
        </w:tc>
        <w:tc>
          <w:tcPr>
            <w:tcW w:w="349" w:type="pct"/>
            <w:vAlign w:val="center"/>
          </w:tcPr>
          <w:p w14:paraId="1F9F7147">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56.0</w:t>
            </w:r>
          </w:p>
        </w:tc>
        <w:tc>
          <w:tcPr>
            <w:tcW w:w="349" w:type="pct"/>
            <w:vAlign w:val="center"/>
          </w:tcPr>
          <w:p w14:paraId="42C96E02">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50.0</w:t>
            </w:r>
          </w:p>
        </w:tc>
        <w:tc>
          <w:tcPr>
            <w:tcW w:w="349" w:type="pct"/>
            <w:vAlign w:val="center"/>
          </w:tcPr>
          <w:p w14:paraId="448E2BED">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46.5</w:t>
            </w:r>
          </w:p>
        </w:tc>
        <w:tc>
          <w:tcPr>
            <w:tcW w:w="349" w:type="pct"/>
            <w:vAlign w:val="center"/>
          </w:tcPr>
          <w:p w14:paraId="1D37FDD7">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44.0</w:t>
            </w:r>
          </w:p>
        </w:tc>
        <w:tc>
          <w:tcPr>
            <w:tcW w:w="301" w:type="pct"/>
            <w:vAlign w:val="center"/>
          </w:tcPr>
          <w:p w14:paraId="0811D350">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10</w:t>
            </w:r>
          </w:p>
        </w:tc>
        <w:tc>
          <w:tcPr>
            <w:tcW w:w="313" w:type="pct"/>
            <w:vAlign w:val="center"/>
          </w:tcPr>
          <w:p w14:paraId="2EE44C00">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57</w:t>
            </w:r>
          </w:p>
        </w:tc>
      </w:tr>
      <w:tr w14:paraId="7C101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vMerge w:val="continue"/>
            <w:vAlign w:val="center"/>
          </w:tcPr>
          <w:p w14:paraId="67587710">
            <w:pPr>
              <w:adjustRightInd w:val="0"/>
              <w:snapToGrid w:val="0"/>
              <w:spacing w:line="240" w:lineRule="auto"/>
              <w:jc w:val="center"/>
              <w:textAlignment w:val="baseline"/>
              <w:rPr>
                <w:rFonts w:cs="Times New Roman"/>
                <w:color w:val="0D0D0D" w:themeColor="text1" w:themeTint="F2"/>
                <w:sz w:val="21"/>
                <w:szCs w:val="24"/>
                <w14:textFill>
                  <w14:solidFill>
                    <w14:schemeClr w14:val="tx1">
                      <w14:lumMod w14:val="95000"/>
                      <w14:lumOff w14:val="5000"/>
                    </w14:schemeClr>
                  </w14:solidFill>
                </w14:textFill>
              </w:rPr>
            </w:pPr>
          </w:p>
        </w:tc>
        <w:tc>
          <w:tcPr>
            <w:tcW w:w="742" w:type="pct"/>
            <w:vAlign w:val="center"/>
          </w:tcPr>
          <w:p w14:paraId="47DC8212">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装载机</w:t>
            </w:r>
          </w:p>
        </w:tc>
        <w:tc>
          <w:tcPr>
            <w:tcW w:w="299" w:type="pct"/>
            <w:vAlign w:val="center"/>
          </w:tcPr>
          <w:p w14:paraId="7176BD89">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95</w:t>
            </w:r>
          </w:p>
        </w:tc>
        <w:tc>
          <w:tcPr>
            <w:tcW w:w="249" w:type="pct"/>
            <w:vMerge w:val="continue"/>
            <w:vAlign w:val="center"/>
          </w:tcPr>
          <w:p w14:paraId="7352182B">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p>
        </w:tc>
        <w:tc>
          <w:tcPr>
            <w:tcW w:w="249" w:type="pct"/>
            <w:vMerge w:val="continue"/>
            <w:vAlign w:val="center"/>
          </w:tcPr>
          <w:p w14:paraId="2F761CF0">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p>
        </w:tc>
        <w:tc>
          <w:tcPr>
            <w:tcW w:w="349" w:type="pct"/>
            <w:vAlign w:val="center"/>
          </w:tcPr>
          <w:p w14:paraId="6140EBA4">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75.0</w:t>
            </w:r>
          </w:p>
        </w:tc>
        <w:tc>
          <w:tcPr>
            <w:tcW w:w="349" w:type="pct"/>
            <w:vAlign w:val="center"/>
          </w:tcPr>
          <w:p w14:paraId="129CE539">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69.0</w:t>
            </w:r>
          </w:p>
        </w:tc>
        <w:tc>
          <w:tcPr>
            <w:tcW w:w="349" w:type="pct"/>
            <w:vAlign w:val="center"/>
          </w:tcPr>
          <w:p w14:paraId="28126BBD">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63.0</w:t>
            </w:r>
          </w:p>
        </w:tc>
        <w:tc>
          <w:tcPr>
            <w:tcW w:w="349" w:type="pct"/>
            <w:vAlign w:val="center"/>
          </w:tcPr>
          <w:p w14:paraId="65BBF5B1">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61.0</w:t>
            </w:r>
          </w:p>
        </w:tc>
        <w:tc>
          <w:tcPr>
            <w:tcW w:w="349" w:type="pct"/>
            <w:vAlign w:val="center"/>
          </w:tcPr>
          <w:p w14:paraId="76CD84CD">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55.0</w:t>
            </w:r>
          </w:p>
        </w:tc>
        <w:tc>
          <w:tcPr>
            <w:tcW w:w="349" w:type="pct"/>
            <w:vAlign w:val="center"/>
          </w:tcPr>
          <w:p w14:paraId="456CB631">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51.5</w:t>
            </w:r>
          </w:p>
        </w:tc>
        <w:tc>
          <w:tcPr>
            <w:tcW w:w="349" w:type="pct"/>
            <w:vAlign w:val="center"/>
          </w:tcPr>
          <w:p w14:paraId="76964A3E">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49.0</w:t>
            </w:r>
          </w:p>
        </w:tc>
        <w:tc>
          <w:tcPr>
            <w:tcW w:w="301" w:type="pct"/>
            <w:vAlign w:val="center"/>
          </w:tcPr>
          <w:p w14:paraId="7EAB218F">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18</w:t>
            </w:r>
          </w:p>
        </w:tc>
        <w:tc>
          <w:tcPr>
            <w:tcW w:w="313" w:type="pct"/>
            <w:vAlign w:val="center"/>
          </w:tcPr>
          <w:p w14:paraId="063360AA">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100</w:t>
            </w:r>
          </w:p>
        </w:tc>
      </w:tr>
      <w:tr w14:paraId="38305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vMerge w:val="continue"/>
            <w:vAlign w:val="center"/>
          </w:tcPr>
          <w:p w14:paraId="10E970AD">
            <w:pPr>
              <w:adjustRightInd w:val="0"/>
              <w:snapToGrid w:val="0"/>
              <w:spacing w:line="240" w:lineRule="auto"/>
              <w:jc w:val="center"/>
              <w:textAlignment w:val="baseline"/>
              <w:rPr>
                <w:rFonts w:cs="Times New Roman"/>
                <w:color w:val="0D0D0D" w:themeColor="text1" w:themeTint="F2"/>
                <w:sz w:val="21"/>
                <w:szCs w:val="24"/>
                <w14:textFill>
                  <w14:solidFill>
                    <w14:schemeClr w14:val="tx1">
                      <w14:lumMod w14:val="95000"/>
                      <w14:lumOff w14:val="5000"/>
                    </w14:schemeClr>
                  </w14:solidFill>
                </w14:textFill>
              </w:rPr>
            </w:pPr>
          </w:p>
        </w:tc>
        <w:tc>
          <w:tcPr>
            <w:tcW w:w="742" w:type="pct"/>
            <w:vAlign w:val="center"/>
          </w:tcPr>
          <w:p w14:paraId="66945903">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运输车辆</w:t>
            </w:r>
          </w:p>
        </w:tc>
        <w:tc>
          <w:tcPr>
            <w:tcW w:w="299" w:type="pct"/>
            <w:vAlign w:val="center"/>
          </w:tcPr>
          <w:p w14:paraId="6427C2D2">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90</w:t>
            </w:r>
          </w:p>
        </w:tc>
        <w:tc>
          <w:tcPr>
            <w:tcW w:w="249" w:type="pct"/>
            <w:vMerge w:val="continue"/>
            <w:vAlign w:val="center"/>
          </w:tcPr>
          <w:p w14:paraId="6469E05B">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p>
        </w:tc>
        <w:tc>
          <w:tcPr>
            <w:tcW w:w="249" w:type="pct"/>
            <w:vMerge w:val="continue"/>
            <w:vAlign w:val="center"/>
          </w:tcPr>
          <w:p w14:paraId="4CD0FCBE">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p>
        </w:tc>
        <w:tc>
          <w:tcPr>
            <w:tcW w:w="349" w:type="pct"/>
            <w:vAlign w:val="center"/>
          </w:tcPr>
          <w:p w14:paraId="087CDE44">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70.0</w:t>
            </w:r>
          </w:p>
        </w:tc>
        <w:tc>
          <w:tcPr>
            <w:tcW w:w="349" w:type="pct"/>
            <w:vAlign w:val="center"/>
          </w:tcPr>
          <w:p w14:paraId="396796FE">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64.0</w:t>
            </w:r>
          </w:p>
        </w:tc>
        <w:tc>
          <w:tcPr>
            <w:tcW w:w="349" w:type="pct"/>
            <w:vAlign w:val="center"/>
          </w:tcPr>
          <w:p w14:paraId="56186244">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58.0</w:t>
            </w:r>
          </w:p>
        </w:tc>
        <w:tc>
          <w:tcPr>
            <w:tcW w:w="349" w:type="pct"/>
            <w:vAlign w:val="center"/>
          </w:tcPr>
          <w:p w14:paraId="007EBC4C">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56.0</w:t>
            </w:r>
          </w:p>
        </w:tc>
        <w:tc>
          <w:tcPr>
            <w:tcW w:w="349" w:type="pct"/>
            <w:vAlign w:val="center"/>
          </w:tcPr>
          <w:p w14:paraId="190A712D">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50.0</w:t>
            </w:r>
          </w:p>
        </w:tc>
        <w:tc>
          <w:tcPr>
            <w:tcW w:w="349" w:type="pct"/>
            <w:vAlign w:val="center"/>
          </w:tcPr>
          <w:p w14:paraId="40A47C5A">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46.5</w:t>
            </w:r>
          </w:p>
        </w:tc>
        <w:tc>
          <w:tcPr>
            <w:tcW w:w="349" w:type="pct"/>
            <w:vAlign w:val="center"/>
          </w:tcPr>
          <w:p w14:paraId="01436619">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44.0</w:t>
            </w:r>
          </w:p>
        </w:tc>
        <w:tc>
          <w:tcPr>
            <w:tcW w:w="301" w:type="pct"/>
            <w:vAlign w:val="center"/>
          </w:tcPr>
          <w:p w14:paraId="11B07D57">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10</w:t>
            </w:r>
          </w:p>
        </w:tc>
        <w:tc>
          <w:tcPr>
            <w:tcW w:w="313" w:type="pct"/>
            <w:vAlign w:val="center"/>
          </w:tcPr>
          <w:p w14:paraId="3AC5252F">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57</w:t>
            </w:r>
          </w:p>
        </w:tc>
      </w:tr>
      <w:tr w14:paraId="3809C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vMerge w:val="restart"/>
            <w:vAlign w:val="center"/>
          </w:tcPr>
          <w:p w14:paraId="30D439C9">
            <w:pPr>
              <w:adjustRightInd w:val="0"/>
              <w:snapToGrid w:val="0"/>
              <w:spacing w:line="240" w:lineRule="auto"/>
              <w:jc w:val="center"/>
              <w:textAlignment w:val="baseline"/>
              <w:rPr>
                <w:rFonts w:cs="Times New Roman"/>
                <w:color w:val="0D0D0D" w:themeColor="text1" w:themeTint="F2"/>
                <w:sz w:val="21"/>
                <w:szCs w:val="24"/>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基础施工阶段</w:t>
            </w:r>
          </w:p>
        </w:tc>
        <w:tc>
          <w:tcPr>
            <w:tcW w:w="742" w:type="pct"/>
            <w:vAlign w:val="center"/>
          </w:tcPr>
          <w:p w14:paraId="58B9ADDB">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混凝土罐车</w:t>
            </w:r>
          </w:p>
        </w:tc>
        <w:tc>
          <w:tcPr>
            <w:tcW w:w="299" w:type="pct"/>
            <w:vAlign w:val="center"/>
          </w:tcPr>
          <w:p w14:paraId="664FA297">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90</w:t>
            </w:r>
          </w:p>
        </w:tc>
        <w:tc>
          <w:tcPr>
            <w:tcW w:w="249" w:type="pct"/>
            <w:vMerge w:val="continue"/>
            <w:vAlign w:val="center"/>
          </w:tcPr>
          <w:p w14:paraId="181D7A9C">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p>
        </w:tc>
        <w:tc>
          <w:tcPr>
            <w:tcW w:w="249" w:type="pct"/>
            <w:vMerge w:val="continue"/>
            <w:vAlign w:val="center"/>
          </w:tcPr>
          <w:p w14:paraId="3DF580E6">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p>
        </w:tc>
        <w:tc>
          <w:tcPr>
            <w:tcW w:w="349" w:type="pct"/>
            <w:vAlign w:val="center"/>
          </w:tcPr>
          <w:p w14:paraId="0E5EC350">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70.0</w:t>
            </w:r>
          </w:p>
        </w:tc>
        <w:tc>
          <w:tcPr>
            <w:tcW w:w="349" w:type="pct"/>
            <w:vAlign w:val="center"/>
          </w:tcPr>
          <w:p w14:paraId="647779AD">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64.0</w:t>
            </w:r>
          </w:p>
        </w:tc>
        <w:tc>
          <w:tcPr>
            <w:tcW w:w="349" w:type="pct"/>
            <w:vAlign w:val="center"/>
          </w:tcPr>
          <w:p w14:paraId="5683C2BB">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58.0</w:t>
            </w:r>
          </w:p>
        </w:tc>
        <w:tc>
          <w:tcPr>
            <w:tcW w:w="349" w:type="pct"/>
            <w:vAlign w:val="center"/>
          </w:tcPr>
          <w:p w14:paraId="17D25475">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56.0</w:t>
            </w:r>
          </w:p>
        </w:tc>
        <w:tc>
          <w:tcPr>
            <w:tcW w:w="349" w:type="pct"/>
            <w:vAlign w:val="center"/>
          </w:tcPr>
          <w:p w14:paraId="7AFEBBC8">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50.0</w:t>
            </w:r>
          </w:p>
        </w:tc>
        <w:tc>
          <w:tcPr>
            <w:tcW w:w="349" w:type="pct"/>
            <w:vAlign w:val="center"/>
          </w:tcPr>
          <w:p w14:paraId="1976D91A">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46.5</w:t>
            </w:r>
          </w:p>
        </w:tc>
        <w:tc>
          <w:tcPr>
            <w:tcW w:w="349" w:type="pct"/>
            <w:vAlign w:val="center"/>
          </w:tcPr>
          <w:p w14:paraId="7F736E38">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44.0</w:t>
            </w:r>
          </w:p>
        </w:tc>
        <w:tc>
          <w:tcPr>
            <w:tcW w:w="301" w:type="pct"/>
            <w:vAlign w:val="center"/>
          </w:tcPr>
          <w:p w14:paraId="0A5847E4">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10</w:t>
            </w:r>
          </w:p>
        </w:tc>
        <w:tc>
          <w:tcPr>
            <w:tcW w:w="313" w:type="pct"/>
            <w:vAlign w:val="center"/>
          </w:tcPr>
          <w:p w14:paraId="77CABEE1">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57</w:t>
            </w:r>
          </w:p>
        </w:tc>
      </w:tr>
      <w:tr w14:paraId="7E76D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vMerge w:val="continue"/>
            <w:vAlign w:val="center"/>
          </w:tcPr>
          <w:p w14:paraId="695B31C6">
            <w:pPr>
              <w:adjustRightInd w:val="0"/>
              <w:snapToGrid w:val="0"/>
              <w:spacing w:line="240" w:lineRule="auto"/>
              <w:jc w:val="center"/>
              <w:textAlignment w:val="baseline"/>
              <w:rPr>
                <w:rFonts w:cs="Times New Roman"/>
                <w:color w:val="0D0D0D" w:themeColor="text1" w:themeTint="F2"/>
                <w:sz w:val="21"/>
                <w:szCs w:val="24"/>
                <w14:textFill>
                  <w14:solidFill>
                    <w14:schemeClr w14:val="tx1">
                      <w14:lumMod w14:val="95000"/>
                      <w14:lumOff w14:val="5000"/>
                    </w14:schemeClr>
                  </w14:solidFill>
                </w14:textFill>
              </w:rPr>
            </w:pPr>
          </w:p>
        </w:tc>
        <w:tc>
          <w:tcPr>
            <w:tcW w:w="742" w:type="pct"/>
            <w:vAlign w:val="center"/>
          </w:tcPr>
          <w:p w14:paraId="6A917442">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振捣棒</w:t>
            </w:r>
          </w:p>
        </w:tc>
        <w:tc>
          <w:tcPr>
            <w:tcW w:w="299" w:type="pct"/>
            <w:vAlign w:val="center"/>
          </w:tcPr>
          <w:p w14:paraId="6926076D">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88</w:t>
            </w:r>
          </w:p>
        </w:tc>
        <w:tc>
          <w:tcPr>
            <w:tcW w:w="249" w:type="pct"/>
            <w:vMerge w:val="continue"/>
            <w:vAlign w:val="center"/>
          </w:tcPr>
          <w:p w14:paraId="72F7DFAC">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p>
        </w:tc>
        <w:tc>
          <w:tcPr>
            <w:tcW w:w="249" w:type="pct"/>
            <w:vMerge w:val="continue"/>
            <w:vAlign w:val="center"/>
          </w:tcPr>
          <w:p w14:paraId="2A4CCC16">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p>
        </w:tc>
        <w:tc>
          <w:tcPr>
            <w:tcW w:w="349" w:type="pct"/>
            <w:vAlign w:val="center"/>
          </w:tcPr>
          <w:p w14:paraId="5F3E328B">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68.0</w:t>
            </w:r>
          </w:p>
        </w:tc>
        <w:tc>
          <w:tcPr>
            <w:tcW w:w="349" w:type="pct"/>
            <w:vAlign w:val="center"/>
          </w:tcPr>
          <w:p w14:paraId="7025F46E">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62.0</w:t>
            </w:r>
          </w:p>
        </w:tc>
        <w:tc>
          <w:tcPr>
            <w:tcW w:w="349" w:type="pct"/>
            <w:vAlign w:val="center"/>
          </w:tcPr>
          <w:p w14:paraId="7B1F1C6A">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56.0</w:t>
            </w:r>
          </w:p>
        </w:tc>
        <w:tc>
          <w:tcPr>
            <w:tcW w:w="349" w:type="pct"/>
            <w:vAlign w:val="center"/>
          </w:tcPr>
          <w:p w14:paraId="73920378">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54.0</w:t>
            </w:r>
          </w:p>
        </w:tc>
        <w:tc>
          <w:tcPr>
            <w:tcW w:w="349" w:type="pct"/>
            <w:vAlign w:val="center"/>
          </w:tcPr>
          <w:p w14:paraId="439C0143">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48.0</w:t>
            </w:r>
          </w:p>
        </w:tc>
        <w:tc>
          <w:tcPr>
            <w:tcW w:w="349" w:type="pct"/>
            <w:vAlign w:val="center"/>
          </w:tcPr>
          <w:p w14:paraId="52E94C1E">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44.5</w:t>
            </w:r>
          </w:p>
        </w:tc>
        <w:tc>
          <w:tcPr>
            <w:tcW w:w="349" w:type="pct"/>
            <w:vAlign w:val="center"/>
          </w:tcPr>
          <w:p w14:paraId="5B1A0080">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42.0</w:t>
            </w:r>
          </w:p>
        </w:tc>
        <w:tc>
          <w:tcPr>
            <w:tcW w:w="301" w:type="pct"/>
            <w:vAlign w:val="center"/>
          </w:tcPr>
          <w:p w14:paraId="0F921408">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8</w:t>
            </w:r>
          </w:p>
        </w:tc>
        <w:tc>
          <w:tcPr>
            <w:tcW w:w="313" w:type="pct"/>
            <w:vAlign w:val="center"/>
          </w:tcPr>
          <w:p w14:paraId="72172F1A">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45</w:t>
            </w:r>
          </w:p>
        </w:tc>
      </w:tr>
      <w:tr w14:paraId="2D601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vMerge w:val="restart"/>
            <w:vAlign w:val="center"/>
          </w:tcPr>
          <w:p w14:paraId="30C13D02">
            <w:pPr>
              <w:adjustRightInd w:val="0"/>
              <w:snapToGrid w:val="0"/>
              <w:spacing w:line="240" w:lineRule="auto"/>
              <w:jc w:val="center"/>
              <w:textAlignment w:val="baseline"/>
              <w:rPr>
                <w:rFonts w:cs="Times New Roman"/>
                <w:color w:val="0D0D0D" w:themeColor="text1" w:themeTint="F2"/>
                <w:sz w:val="21"/>
                <w:szCs w:val="24"/>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结构施工阶段</w:t>
            </w:r>
          </w:p>
        </w:tc>
        <w:tc>
          <w:tcPr>
            <w:tcW w:w="742" w:type="pct"/>
            <w:vAlign w:val="center"/>
          </w:tcPr>
          <w:p w14:paraId="004E3C3D">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电焊机</w:t>
            </w:r>
          </w:p>
        </w:tc>
        <w:tc>
          <w:tcPr>
            <w:tcW w:w="299" w:type="pct"/>
            <w:vAlign w:val="center"/>
          </w:tcPr>
          <w:p w14:paraId="5469A0B6">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95</w:t>
            </w:r>
          </w:p>
        </w:tc>
        <w:tc>
          <w:tcPr>
            <w:tcW w:w="249" w:type="pct"/>
            <w:vMerge w:val="continue"/>
            <w:vAlign w:val="center"/>
          </w:tcPr>
          <w:p w14:paraId="73475AEE">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p>
        </w:tc>
        <w:tc>
          <w:tcPr>
            <w:tcW w:w="249" w:type="pct"/>
            <w:vMerge w:val="continue"/>
            <w:vAlign w:val="center"/>
          </w:tcPr>
          <w:p w14:paraId="13784B82">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p>
        </w:tc>
        <w:tc>
          <w:tcPr>
            <w:tcW w:w="349" w:type="pct"/>
            <w:vAlign w:val="center"/>
          </w:tcPr>
          <w:p w14:paraId="08F57533">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75.0</w:t>
            </w:r>
          </w:p>
        </w:tc>
        <w:tc>
          <w:tcPr>
            <w:tcW w:w="349" w:type="pct"/>
            <w:vAlign w:val="center"/>
          </w:tcPr>
          <w:p w14:paraId="4B9DD721">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69.0</w:t>
            </w:r>
          </w:p>
        </w:tc>
        <w:tc>
          <w:tcPr>
            <w:tcW w:w="349" w:type="pct"/>
            <w:vAlign w:val="center"/>
          </w:tcPr>
          <w:p w14:paraId="0152F046">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63.0</w:t>
            </w:r>
          </w:p>
        </w:tc>
        <w:tc>
          <w:tcPr>
            <w:tcW w:w="349" w:type="pct"/>
            <w:vAlign w:val="center"/>
          </w:tcPr>
          <w:p w14:paraId="65D85464">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61.0</w:t>
            </w:r>
          </w:p>
        </w:tc>
        <w:tc>
          <w:tcPr>
            <w:tcW w:w="349" w:type="pct"/>
            <w:vAlign w:val="center"/>
          </w:tcPr>
          <w:p w14:paraId="372A6B8D">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55.0</w:t>
            </w:r>
          </w:p>
        </w:tc>
        <w:tc>
          <w:tcPr>
            <w:tcW w:w="349" w:type="pct"/>
            <w:vAlign w:val="center"/>
          </w:tcPr>
          <w:p w14:paraId="716CE2C0">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51.5</w:t>
            </w:r>
          </w:p>
        </w:tc>
        <w:tc>
          <w:tcPr>
            <w:tcW w:w="349" w:type="pct"/>
            <w:vAlign w:val="center"/>
          </w:tcPr>
          <w:p w14:paraId="7943DA7B">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49.0</w:t>
            </w:r>
          </w:p>
        </w:tc>
        <w:tc>
          <w:tcPr>
            <w:tcW w:w="301" w:type="pct"/>
            <w:vAlign w:val="center"/>
          </w:tcPr>
          <w:p w14:paraId="3B218EE7">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18</w:t>
            </w:r>
          </w:p>
        </w:tc>
        <w:tc>
          <w:tcPr>
            <w:tcW w:w="313" w:type="pct"/>
            <w:vAlign w:val="center"/>
          </w:tcPr>
          <w:p w14:paraId="11741541">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100</w:t>
            </w:r>
          </w:p>
        </w:tc>
      </w:tr>
      <w:tr w14:paraId="280C4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vMerge w:val="continue"/>
            <w:vAlign w:val="center"/>
          </w:tcPr>
          <w:p w14:paraId="595AF142">
            <w:pPr>
              <w:adjustRightInd w:val="0"/>
              <w:snapToGrid w:val="0"/>
              <w:spacing w:line="240" w:lineRule="auto"/>
              <w:jc w:val="center"/>
              <w:textAlignment w:val="baseline"/>
              <w:rPr>
                <w:rFonts w:cs="Times New Roman"/>
                <w:color w:val="0D0D0D" w:themeColor="text1" w:themeTint="F2"/>
                <w:sz w:val="21"/>
                <w:szCs w:val="24"/>
                <w14:textFill>
                  <w14:solidFill>
                    <w14:schemeClr w14:val="tx1">
                      <w14:lumMod w14:val="95000"/>
                      <w14:lumOff w14:val="5000"/>
                    </w14:schemeClr>
                  </w14:solidFill>
                </w14:textFill>
              </w:rPr>
            </w:pPr>
          </w:p>
        </w:tc>
        <w:tc>
          <w:tcPr>
            <w:tcW w:w="742" w:type="pct"/>
            <w:vAlign w:val="center"/>
          </w:tcPr>
          <w:p w14:paraId="10E664AB">
            <w:pPr>
              <w:adjustRightInd w:val="0"/>
              <w:snapToGrid w:val="0"/>
              <w:spacing w:line="240" w:lineRule="auto"/>
              <w:jc w:val="center"/>
              <w:textAlignment w:val="baseline"/>
              <w:rPr>
                <w:rFonts w:cs="Times New Roman"/>
                <w:color w:val="0D0D0D" w:themeColor="text1" w:themeTint="F2"/>
                <w:sz w:val="21"/>
                <w:szCs w:val="24"/>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电钻</w:t>
            </w:r>
          </w:p>
        </w:tc>
        <w:tc>
          <w:tcPr>
            <w:tcW w:w="299" w:type="pct"/>
            <w:vAlign w:val="center"/>
          </w:tcPr>
          <w:p w14:paraId="71B0B8FA">
            <w:pPr>
              <w:adjustRightInd w:val="0"/>
              <w:snapToGrid w:val="0"/>
              <w:spacing w:line="240" w:lineRule="auto"/>
              <w:jc w:val="center"/>
              <w:textAlignment w:val="baseline"/>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95</w:t>
            </w:r>
          </w:p>
        </w:tc>
        <w:tc>
          <w:tcPr>
            <w:tcW w:w="249" w:type="pct"/>
            <w:vMerge w:val="continue"/>
            <w:vAlign w:val="center"/>
          </w:tcPr>
          <w:p w14:paraId="23B54C41">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p>
        </w:tc>
        <w:tc>
          <w:tcPr>
            <w:tcW w:w="249" w:type="pct"/>
            <w:vMerge w:val="continue"/>
            <w:vAlign w:val="center"/>
          </w:tcPr>
          <w:p w14:paraId="7D3B0FC8">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p>
        </w:tc>
        <w:tc>
          <w:tcPr>
            <w:tcW w:w="349" w:type="pct"/>
            <w:vAlign w:val="center"/>
          </w:tcPr>
          <w:p w14:paraId="5DD9785F">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75.0</w:t>
            </w:r>
          </w:p>
        </w:tc>
        <w:tc>
          <w:tcPr>
            <w:tcW w:w="349" w:type="pct"/>
            <w:vAlign w:val="center"/>
          </w:tcPr>
          <w:p w14:paraId="7AEBB325">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69.0</w:t>
            </w:r>
          </w:p>
        </w:tc>
        <w:tc>
          <w:tcPr>
            <w:tcW w:w="349" w:type="pct"/>
            <w:vAlign w:val="center"/>
          </w:tcPr>
          <w:p w14:paraId="3F447C17">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63.0</w:t>
            </w:r>
          </w:p>
        </w:tc>
        <w:tc>
          <w:tcPr>
            <w:tcW w:w="349" w:type="pct"/>
            <w:vAlign w:val="center"/>
          </w:tcPr>
          <w:p w14:paraId="41595CB1">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61.0</w:t>
            </w:r>
          </w:p>
        </w:tc>
        <w:tc>
          <w:tcPr>
            <w:tcW w:w="349" w:type="pct"/>
            <w:vAlign w:val="center"/>
          </w:tcPr>
          <w:p w14:paraId="1C45C014">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55.0</w:t>
            </w:r>
          </w:p>
        </w:tc>
        <w:tc>
          <w:tcPr>
            <w:tcW w:w="349" w:type="pct"/>
            <w:vAlign w:val="center"/>
          </w:tcPr>
          <w:p w14:paraId="3AE68792">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51.5</w:t>
            </w:r>
          </w:p>
        </w:tc>
        <w:tc>
          <w:tcPr>
            <w:tcW w:w="349" w:type="pct"/>
            <w:vAlign w:val="center"/>
          </w:tcPr>
          <w:p w14:paraId="38EBD0BE">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49.0</w:t>
            </w:r>
          </w:p>
        </w:tc>
        <w:tc>
          <w:tcPr>
            <w:tcW w:w="301" w:type="pct"/>
            <w:vAlign w:val="center"/>
          </w:tcPr>
          <w:p w14:paraId="49B3E7A8">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18</w:t>
            </w:r>
          </w:p>
        </w:tc>
        <w:tc>
          <w:tcPr>
            <w:tcW w:w="313" w:type="pct"/>
            <w:vAlign w:val="center"/>
          </w:tcPr>
          <w:p w14:paraId="15CB01AF">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100</w:t>
            </w:r>
          </w:p>
        </w:tc>
      </w:tr>
      <w:tr w14:paraId="4EF76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vMerge w:val="continue"/>
            <w:vAlign w:val="center"/>
          </w:tcPr>
          <w:p w14:paraId="7B285EE4">
            <w:pPr>
              <w:adjustRightInd w:val="0"/>
              <w:snapToGrid w:val="0"/>
              <w:spacing w:line="240" w:lineRule="auto"/>
              <w:jc w:val="center"/>
              <w:textAlignment w:val="baseline"/>
              <w:rPr>
                <w:rFonts w:cs="Times New Roman"/>
                <w:color w:val="0D0D0D" w:themeColor="text1" w:themeTint="F2"/>
                <w:sz w:val="21"/>
                <w:szCs w:val="24"/>
                <w14:textFill>
                  <w14:solidFill>
                    <w14:schemeClr w14:val="tx1">
                      <w14:lumMod w14:val="95000"/>
                      <w14:lumOff w14:val="5000"/>
                    </w14:schemeClr>
                  </w14:solidFill>
                </w14:textFill>
              </w:rPr>
            </w:pPr>
          </w:p>
        </w:tc>
        <w:tc>
          <w:tcPr>
            <w:tcW w:w="742" w:type="pct"/>
            <w:vAlign w:val="center"/>
          </w:tcPr>
          <w:p w14:paraId="56CD47BD">
            <w:pPr>
              <w:adjustRightInd w:val="0"/>
              <w:snapToGrid w:val="0"/>
              <w:spacing w:line="240" w:lineRule="auto"/>
              <w:jc w:val="center"/>
              <w:textAlignment w:val="baseline"/>
              <w:rPr>
                <w:rFonts w:cs="Times New Roman"/>
                <w:color w:val="0D0D0D" w:themeColor="text1" w:themeTint="F2"/>
                <w:sz w:val="21"/>
                <w:szCs w:val="24"/>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电锤</w:t>
            </w:r>
          </w:p>
        </w:tc>
        <w:tc>
          <w:tcPr>
            <w:tcW w:w="299" w:type="pct"/>
            <w:vAlign w:val="center"/>
          </w:tcPr>
          <w:p w14:paraId="1C4601B1">
            <w:pPr>
              <w:adjustRightInd w:val="0"/>
              <w:snapToGrid w:val="0"/>
              <w:spacing w:line="240" w:lineRule="auto"/>
              <w:jc w:val="center"/>
              <w:textAlignment w:val="baseline"/>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105</w:t>
            </w:r>
          </w:p>
        </w:tc>
        <w:tc>
          <w:tcPr>
            <w:tcW w:w="249" w:type="pct"/>
            <w:vMerge w:val="continue"/>
            <w:vAlign w:val="center"/>
          </w:tcPr>
          <w:p w14:paraId="44BBA995">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p>
        </w:tc>
        <w:tc>
          <w:tcPr>
            <w:tcW w:w="249" w:type="pct"/>
            <w:vMerge w:val="continue"/>
            <w:vAlign w:val="center"/>
          </w:tcPr>
          <w:p w14:paraId="6E65A180">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p>
        </w:tc>
        <w:tc>
          <w:tcPr>
            <w:tcW w:w="349" w:type="pct"/>
            <w:vAlign w:val="center"/>
          </w:tcPr>
          <w:p w14:paraId="4BF1ACAD">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85.0</w:t>
            </w:r>
          </w:p>
        </w:tc>
        <w:tc>
          <w:tcPr>
            <w:tcW w:w="349" w:type="pct"/>
            <w:vAlign w:val="center"/>
          </w:tcPr>
          <w:p w14:paraId="117A4862">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79.0</w:t>
            </w:r>
          </w:p>
        </w:tc>
        <w:tc>
          <w:tcPr>
            <w:tcW w:w="349" w:type="pct"/>
            <w:vAlign w:val="center"/>
          </w:tcPr>
          <w:p w14:paraId="1B37A1C8">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73.0</w:t>
            </w:r>
          </w:p>
        </w:tc>
        <w:tc>
          <w:tcPr>
            <w:tcW w:w="349" w:type="pct"/>
            <w:vAlign w:val="center"/>
          </w:tcPr>
          <w:p w14:paraId="404648C1">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71.0</w:t>
            </w:r>
          </w:p>
        </w:tc>
        <w:tc>
          <w:tcPr>
            <w:tcW w:w="349" w:type="pct"/>
            <w:vAlign w:val="center"/>
          </w:tcPr>
          <w:p w14:paraId="6361D872">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65.0</w:t>
            </w:r>
          </w:p>
        </w:tc>
        <w:tc>
          <w:tcPr>
            <w:tcW w:w="349" w:type="pct"/>
            <w:vAlign w:val="center"/>
          </w:tcPr>
          <w:p w14:paraId="3BB9806E">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61.5</w:t>
            </w:r>
          </w:p>
        </w:tc>
        <w:tc>
          <w:tcPr>
            <w:tcW w:w="349" w:type="pct"/>
            <w:vAlign w:val="center"/>
          </w:tcPr>
          <w:p w14:paraId="5680CED5">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59.0</w:t>
            </w:r>
          </w:p>
        </w:tc>
        <w:tc>
          <w:tcPr>
            <w:tcW w:w="301" w:type="pct"/>
            <w:vAlign w:val="center"/>
          </w:tcPr>
          <w:p w14:paraId="268B972C">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57</w:t>
            </w:r>
          </w:p>
        </w:tc>
        <w:tc>
          <w:tcPr>
            <w:tcW w:w="313" w:type="pct"/>
            <w:vAlign w:val="center"/>
          </w:tcPr>
          <w:p w14:paraId="54334C00">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315</w:t>
            </w:r>
          </w:p>
        </w:tc>
      </w:tr>
      <w:tr w14:paraId="6BFAC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vMerge w:val="restart"/>
            <w:vAlign w:val="center"/>
          </w:tcPr>
          <w:p w14:paraId="053A18C0">
            <w:pPr>
              <w:adjustRightInd w:val="0"/>
              <w:snapToGrid w:val="0"/>
              <w:spacing w:line="240" w:lineRule="auto"/>
              <w:jc w:val="center"/>
              <w:textAlignment w:val="baseline"/>
              <w:rPr>
                <w:rFonts w:cs="Times New Roman"/>
                <w:color w:val="0D0D0D" w:themeColor="text1" w:themeTint="F2"/>
                <w:sz w:val="21"/>
                <w:szCs w:val="24"/>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装修、设备安装阶段</w:t>
            </w:r>
          </w:p>
        </w:tc>
        <w:tc>
          <w:tcPr>
            <w:tcW w:w="742" w:type="pct"/>
            <w:vAlign w:val="center"/>
          </w:tcPr>
          <w:p w14:paraId="20D4217E">
            <w:pPr>
              <w:adjustRightInd w:val="0"/>
              <w:snapToGrid w:val="0"/>
              <w:spacing w:line="240" w:lineRule="auto"/>
              <w:jc w:val="center"/>
              <w:textAlignment w:val="baseline"/>
              <w:rPr>
                <w:rFonts w:cs="Times New Roman"/>
                <w:color w:val="0D0D0D" w:themeColor="text1" w:themeTint="F2"/>
                <w:sz w:val="21"/>
                <w:szCs w:val="24"/>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手工钻</w:t>
            </w:r>
          </w:p>
        </w:tc>
        <w:tc>
          <w:tcPr>
            <w:tcW w:w="299" w:type="pct"/>
            <w:vAlign w:val="center"/>
          </w:tcPr>
          <w:p w14:paraId="0515AAE8">
            <w:pPr>
              <w:adjustRightInd w:val="0"/>
              <w:snapToGrid w:val="0"/>
              <w:spacing w:line="240" w:lineRule="auto"/>
              <w:jc w:val="center"/>
              <w:textAlignment w:val="baseline"/>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100</w:t>
            </w:r>
          </w:p>
        </w:tc>
        <w:tc>
          <w:tcPr>
            <w:tcW w:w="249" w:type="pct"/>
            <w:vMerge w:val="continue"/>
            <w:vAlign w:val="center"/>
          </w:tcPr>
          <w:p w14:paraId="2B4A2860">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p>
        </w:tc>
        <w:tc>
          <w:tcPr>
            <w:tcW w:w="249" w:type="pct"/>
            <w:vMerge w:val="continue"/>
            <w:vAlign w:val="center"/>
          </w:tcPr>
          <w:p w14:paraId="56FBB727">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p>
        </w:tc>
        <w:tc>
          <w:tcPr>
            <w:tcW w:w="349" w:type="pct"/>
            <w:vAlign w:val="center"/>
          </w:tcPr>
          <w:p w14:paraId="11AE2990">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80.0</w:t>
            </w:r>
          </w:p>
        </w:tc>
        <w:tc>
          <w:tcPr>
            <w:tcW w:w="349" w:type="pct"/>
            <w:vAlign w:val="center"/>
          </w:tcPr>
          <w:p w14:paraId="617D3D58">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74.0</w:t>
            </w:r>
          </w:p>
        </w:tc>
        <w:tc>
          <w:tcPr>
            <w:tcW w:w="349" w:type="pct"/>
            <w:vAlign w:val="center"/>
          </w:tcPr>
          <w:p w14:paraId="1CA7567A">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68.0</w:t>
            </w:r>
          </w:p>
        </w:tc>
        <w:tc>
          <w:tcPr>
            <w:tcW w:w="349" w:type="pct"/>
            <w:vAlign w:val="center"/>
          </w:tcPr>
          <w:p w14:paraId="5AAD4350">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66.0</w:t>
            </w:r>
          </w:p>
        </w:tc>
        <w:tc>
          <w:tcPr>
            <w:tcW w:w="349" w:type="pct"/>
            <w:vAlign w:val="center"/>
          </w:tcPr>
          <w:p w14:paraId="43FC285B">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60.0</w:t>
            </w:r>
          </w:p>
        </w:tc>
        <w:tc>
          <w:tcPr>
            <w:tcW w:w="349" w:type="pct"/>
            <w:vAlign w:val="center"/>
          </w:tcPr>
          <w:p w14:paraId="3BA51229">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56.5</w:t>
            </w:r>
          </w:p>
        </w:tc>
        <w:tc>
          <w:tcPr>
            <w:tcW w:w="349" w:type="pct"/>
            <w:vAlign w:val="center"/>
          </w:tcPr>
          <w:p w14:paraId="46B68656">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54.0</w:t>
            </w:r>
          </w:p>
        </w:tc>
        <w:tc>
          <w:tcPr>
            <w:tcW w:w="301" w:type="pct"/>
            <w:vAlign w:val="center"/>
          </w:tcPr>
          <w:p w14:paraId="634C6A1B">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32</w:t>
            </w:r>
          </w:p>
        </w:tc>
        <w:tc>
          <w:tcPr>
            <w:tcW w:w="313" w:type="pct"/>
            <w:vAlign w:val="center"/>
          </w:tcPr>
          <w:p w14:paraId="058F77FC">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177</w:t>
            </w:r>
          </w:p>
        </w:tc>
      </w:tr>
      <w:tr w14:paraId="31D82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vMerge w:val="continue"/>
            <w:vAlign w:val="center"/>
          </w:tcPr>
          <w:p w14:paraId="0DC2A861">
            <w:pPr>
              <w:adjustRightInd w:val="0"/>
              <w:snapToGrid w:val="0"/>
              <w:spacing w:line="240" w:lineRule="auto"/>
              <w:jc w:val="center"/>
              <w:textAlignment w:val="baseline"/>
              <w:rPr>
                <w:rFonts w:cs="Times New Roman"/>
                <w:color w:val="0D0D0D" w:themeColor="text1" w:themeTint="F2"/>
                <w:sz w:val="21"/>
                <w:szCs w:val="24"/>
                <w14:textFill>
                  <w14:solidFill>
                    <w14:schemeClr w14:val="tx1">
                      <w14:lumMod w14:val="95000"/>
                      <w14:lumOff w14:val="5000"/>
                    </w14:schemeClr>
                  </w14:solidFill>
                </w14:textFill>
              </w:rPr>
            </w:pPr>
          </w:p>
        </w:tc>
        <w:tc>
          <w:tcPr>
            <w:tcW w:w="742" w:type="pct"/>
            <w:vAlign w:val="center"/>
          </w:tcPr>
          <w:p w14:paraId="7FC23E1E">
            <w:pPr>
              <w:adjustRightInd w:val="0"/>
              <w:snapToGrid w:val="0"/>
              <w:spacing w:line="240" w:lineRule="auto"/>
              <w:jc w:val="center"/>
              <w:textAlignment w:val="baseline"/>
              <w:rPr>
                <w:rFonts w:cs="Times New Roman"/>
                <w:color w:val="0D0D0D" w:themeColor="text1" w:themeTint="F2"/>
                <w:sz w:val="21"/>
                <w:szCs w:val="24"/>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电锯</w:t>
            </w:r>
          </w:p>
        </w:tc>
        <w:tc>
          <w:tcPr>
            <w:tcW w:w="299" w:type="pct"/>
            <w:vAlign w:val="center"/>
          </w:tcPr>
          <w:p w14:paraId="59D5FD88">
            <w:pPr>
              <w:adjustRightInd w:val="0"/>
              <w:snapToGrid w:val="0"/>
              <w:spacing w:line="240" w:lineRule="auto"/>
              <w:jc w:val="center"/>
              <w:textAlignment w:val="baseline"/>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95</w:t>
            </w:r>
          </w:p>
        </w:tc>
        <w:tc>
          <w:tcPr>
            <w:tcW w:w="249" w:type="pct"/>
            <w:vMerge w:val="continue"/>
            <w:vAlign w:val="center"/>
          </w:tcPr>
          <w:p w14:paraId="016C3555">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p>
        </w:tc>
        <w:tc>
          <w:tcPr>
            <w:tcW w:w="249" w:type="pct"/>
            <w:vMerge w:val="continue"/>
            <w:vAlign w:val="center"/>
          </w:tcPr>
          <w:p w14:paraId="2F46B913">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p>
        </w:tc>
        <w:tc>
          <w:tcPr>
            <w:tcW w:w="349" w:type="pct"/>
            <w:vAlign w:val="center"/>
          </w:tcPr>
          <w:p w14:paraId="4736D469">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75.0</w:t>
            </w:r>
          </w:p>
        </w:tc>
        <w:tc>
          <w:tcPr>
            <w:tcW w:w="349" w:type="pct"/>
            <w:vAlign w:val="center"/>
          </w:tcPr>
          <w:p w14:paraId="1D7FA291">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69.0</w:t>
            </w:r>
          </w:p>
        </w:tc>
        <w:tc>
          <w:tcPr>
            <w:tcW w:w="349" w:type="pct"/>
            <w:vAlign w:val="center"/>
          </w:tcPr>
          <w:p w14:paraId="448C4B60">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63.0</w:t>
            </w:r>
          </w:p>
        </w:tc>
        <w:tc>
          <w:tcPr>
            <w:tcW w:w="349" w:type="pct"/>
            <w:vAlign w:val="center"/>
          </w:tcPr>
          <w:p w14:paraId="55346C47">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61.0</w:t>
            </w:r>
          </w:p>
        </w:tc>
        <w:tc>
          <w:tcPr>
            <w:tcW w:w="349" w:type="pct"/>
            <w:vAlign w:val="center"/>
          </w:tcPr>
          <w:p w14:paraId="572AC7CB">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55.0</w:t>
            </w:r>
          </w:p>
        </w:tc>
        <w:tc>
          <w:tcPr>
            <w:tcW w:w="349" w:type="pct"/>
            <w:vAlign w:val="center"/>
          </w:tcPr>
          <w:p w14:paraId="1F3F9515">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51.5</w:t>
            </w:r>
          </w:p>
        </w:tc>
        <w:tc>
          <w:tcPr>
            <w:tcW w:w="349" w:type="pct"/>
            <w:vAlign w:val="center"/>
          </w:tcPr>
          <w:p w14:paraId="65471467">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49.0</w:t>
            </w:r>
          </w:p>
        </w:tc>
        <w:tc>
          <w:tcPr>
            <w:tcW w:w="301" w:type="pct"/>
            <w:vAlign w:val="center"/>
          </w:tcPr>
          <w:p w14:paraId="72E6A216">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18</w:t>
            </w:r>
          </w:p>
        </w:tc>
        <w:tc>
          <w:tcPr>
            <w:tcW w:w="313" w:type="pct"/>
            <w:vAlign w:val="center"/>
          </w:tcPr>
          <w:p w14:paraId="14E50AB3">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100</w:t>
            </w:r>
          </w:p>
        </w:tc>
      </w:tr>
      <w:tr w14:paraId="1E28F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vMerge w:val="continue"/>
            <w:vAlign w:val="center"/>
          </w:tcPr>
          <w:p w14:paraId="4D4EA642">
            <w:pPr>
              <w:adjustRightInd w:val="0"/>
              <w:snapToGrid w:val="0"/>
              <w:spacing w:line="240" w:lineRule="auto"/>
              <w:jc w:val="center"/>
              <w:textAlignment w:val="baseline"/>
              <w:rPr>
                <w:rFonts w:cs="Times New Roman"/>
                <w:color w:val="0D0D0D" w:themeColor="text1" w:themeTint="F2"/>
                <w:sz w:val="21"/>
                <w:szCs w:val="24"/>
                <w14:textFill>
                  <w14:solidFill>
                    <w14:schemeClr w14:val="tx1">
                      <w14:lumMod w14:val="95000"/>
                      <w14:lumOff w14:val="5000"/>
                    </w14:schemeClr>
                  </w14:solidFill>
                </w14:textFill>
              </w:rPr>
            </w:pPr>
          </w:p>
        </w:tc>
        <w:tc>
          <w:tcPr>
            <w:tcW w:w="742" w:type="pct"/>
            <w:vAlign w:val="center"/>
          </w:tcPr>
          <w:p w14:paraId="5D4D1029">
            <w:pPr>
              <w:adjustRightInd w:val="0"/>
              <w:snapToGrid w:val="0"/>
              <w:spacing w:line="240" w:lineRule="auto"/>
              <w:jc w:val="center"/>
              <w:textAlignment w:val="baseline"/>
              <w:rPr>
                <w:rFonts w:cs="Times New Roman"/>
                <w:color w:val="0D0D0D" w:themeColor="text1" w:themeTint="F2"/>
                <w:sz w:val="21"/>
                <w:szCs w:val="24"/>
                <w14:textFill>
                  <w14:solidFill>
                    <w14:schemeClr w14:val="tx1">
                      <w14:lumMod w14:val="95000"/>
                      <w14:lumOff w14:val="5000"/>
                    </w14:schemeClr>
                  </w14:solidFill>
                </w14:textFill>
              </w:rPr>
            </w:pPr>
            <w:r>
              <w:rPr>
                <w:rFonts w:hint="eastAsia" w:cs="Times New Roman"/>
                <w:color w:val="0D0D0D" w:themeColor="text1" w:themeTint="F2"/>
                <w:sz w:val="21"/>
                <w:szCs w:val="24"/>
                <w14:textFill>
                  <w14:solidFill>
                    <w14:schemeClr w14:val="tx1">
                      <w14:lumMod w14:val="95000"/>
                      <w14:lumOff w14:val="5000"/>
                    </w14:schemeClr>
                  </w14:solidFill>
                </w14:textFill>
              </w:rPr>
              <w:t>电刨</w:t>
            </w:r>
          </w:p>
        </w:tc>
        <w:tc>
          <w:tcPr>
            <w:tcW w:w="299" w:type="pct"/>
            <w:vAlign w:val="center"/>
          </w:tcPr>
          <w:p w14:paraId="7071DB18">
            <w:pPr>
              <w:adjustRightInd w:val="0"/>
              <w:snapToGrid w:val="0"/>
              <w:spacing w:line="240" w:lineRule="auto"/>
              <w:jc w:val="center"/>
              <w:textAlignment w:val="baseline"/>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95</w:t>
            </w:r>
          </w:p>
        </w:tc>
        <w:tc>
          <w:tcPr>
            <w:tcW w:w="249" w:type="pct"/>
            <w:vMerge w:val="continue"/>
            <w:vAlign w:val="center"/>
          </w:tcPr>
          <w:p w14:paraId="5AEF1EA1">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p>
        </w:tc>
        <w:tc>
          <w:tcPr>
            <w:tcW w:w="249" w:type="pct"/>
            <w:vMerge w:val="continue"/>
            <w:vAlign w:val="center"/>
          </w:tcPr>
          <w:p w14:paraId="2276EA85">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p>
        </w:tc>
        <w:tc>
          <w:tcPr>
            <w:tcW w:w="349" w:type="pct"/>
            <w:vAlign w:val="center"/>
          </w:tcPr>
          <w:p w14:paraId="470FB699">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75.0</w:t>
            </w:r>
          </w:p>
        </w:tc>
        <w:tc>
          <w:tcPr>
            <w:tcW w:w="349" w:type="pct"/>
            <w:vAlign w:val="center"/>
          </w:tcPr>
          <w:p w14:paraId="40DCF3F5">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69.0</w:t>
            </w:r>
          </w:p>
        </w:tc>
        <w:tc>
          <w:tcPr>
            <w:tcW w:w="349" w:type="pct"/>
            <w:vAlign w:val="center"/>
          </w:tcPr>
          <w:p w14:paraId="7787D8D0">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63.0</w:t>
            </w:r>
          </w:p>
        </w:tc>
        <w:tc>
          <w:tcPr>
            <w:tcW w:w="349" w:type="pct"/>
            <w:vAlign w:val="center"/>
          </w:tcPr>
          <w:p w14:paraId="3195A976">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61.0</w:t>
            </w:r>
          </w:p>
        </w:tc>
        <w:tc>
          <w:tcPr>
            <w:tcW w:w="349" w:type="pct"/>
            <w:vAlign w:val="center"/>
          </w:tcPr>
          <w:p w14:paraId="5592DE1F">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55.0</w:t>
            </w:r>
          </w:p>
        </w:tc>
        <w:tc>
          <w:tcPr>
            <w:tcW w:w="349" w:type="pct"/>
            <w:vAlign w:val="center"/>
          </w:tcPr>
          <w:p w14:paraId="7E602552">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51.5</w:t>
            </w:r>
          </w:p>
        </w:tc>
        <w:tc>
          <w:tcPr>
            <w:tcW w:w="349" w:type="pct"/>
            <w:vAlign w:val="center"/>
          </w:tcPr>
          <w:p w14:paraId="4984C7BB">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49.0</w:t>
            </w:r>
          </w:p>
        </w:tc>
        <w:tc>
          <w:tcPr>
            <w:tcW w:w="301" w:type="pct"/>
            <w:vAlign w:val="center"/>
          </w:tcPr>
          <w:p w14:paraId="05EF1E0A">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18</w:t>
            </w:r>
          </w:p>
        </w:tc>
        <w:tc>
          <w:tcPr>
            <w:tcW w:w="313" w:type="pct"/>
            <w:vAlign w:val="center"/>
          </w:tcPr>
          <w:p w14:paraId="41601596">
            <w:pPr>
              <w:adjustRightInd w:val="0"/>
              <w:snapToGrid w:val="0"/>
              <w:spacing w:line="240" w:lineRule="auto"/>
              <w:jc w:val="center"/>
              <w:textAlignment w:val="baseline"/>
              <w:rPr>
                <w:rFonts w:cs="Times New Roman"/>
                <w:color w:val="0D0D0D" w:themeColor="text1" w:themeTint="F2"/>
                <w:spacing w:val="1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100</w:t>
            </w:r>
          </w:p>
        </w:tc>
      </w:tr>
    </w:tbl>
    <w:p w14:paraId="25C87F00">
      <w:pPr>
        <w:autoSpaceDE w:val="0"/>
        <w:autoSpaceDN w:val="0"/>
        <w:adjustRightInd w:val="0"/>
        <w:ind w:firstLine="480" w:firstLineChars="200"/>
        <w:rPr>
          <w:rFonts w:cs="Times New Roman"/>
          <w:bCs/>
          <w:color w:val="0D0D0D" w:themeColor="text1" w:themeTint="F2"/>
          <w:kern w:val="21"/>
          <w14:textFill>
            <w14:solidFill>
              <w14:schemeClr w14:val="tx1">
                <w14:lumMod w14:val="95000"/>
                <w14:lumOff w14:val="5000"/>
              </w14:schemeClr>
            </w14:solidFill>
          </w14:textFill>
        </w:rPr>
      </w:pPr>
      <w:r>
        <w:rPr>
          <w:rFonts w:hint="eastAsia" w:cs="Times New Roman"/>
          <w:bCs/>
          <w:color w:val="0D0D0D" w:themeColor="text1" w:themeTint="F2"/>
          <w:kern w:val="21"/>
          <w14:textFill>
            <w14:solidFill>
              <w14:schemeClr w14:val="tx1">
                <w14:lumMod w14:val="95000"/>
                <w14:lumOff w14:val="5000"/>
              </w14:schemeClr>
            </w14:solidFill>
          </w14:textFill>
        </w:rPr>
        <w:t>由上表可知，</w:t>
      </w:r>
      <w:r>
        <w:rPr>
          <w:rFonts w:cs="Times New Roman"/>
          <w:bCs/>
          <w:color w:val="0D0D0D" w:themeColor="text1" w:themeTint="F2"/>
          <w:kern w:val="21"/>
          <w14:textFill>
            <w14:solidFill>
              <w14:schemeClr w14:val="tx1">
                <w14:lumMod w14:val="95000"/>
                <w14:lumOff w14:val="5000"/>
              </w14:schemeClr>
            </w14:solidFill>
          </w14:textFill>
        </w:rPr>
        <w:t>在无任何噪声防治措施的情况下，</w:t>
      </w:r>
      <w:r>
        <w:rPr>
          <w:rFonts w:hint="eastAsia" w:cs="Times New Roman"/>
          <w:bCs/>
          <w:color w:val="0D0D0D" w:themeColor="text1" w:themeTint="F2"/>
          <w:kern w:val="21"/>
          <w14:textFill>
            <w14:solidFill>
              <w14:schemeClr w14:val="tx1">
                <w14:lumMod w14:val="95000"/>
                <w14:lumOff w14:val="5000"/>
              </w14:schemeClr>
            </w14:solidFill>
          </w14:textFill>
        </w:rPr>
        <w:t>当沿地块边界施工时，各施工阶段施工机械噪声无论昼间或夜间，施工场界噪声均会超过《建筑施工场界环境噪声排放标准》（GB12523-2011）的限值。声源噪声经过衰减后，昼间及夜间施工最远达标距离为结构施工时的电锤噪声，其昼间及夜间的最远达标距离分别为57m、315m。</w:t>
      </w:r>
    </w:p>
    <w:p w14:paraId="17BCDF9F">
      <w:pPr>
        <w:autoSpaceDE w:val="0"/>
        <w:autoSpaceDN w:val="0"/>
        <w:adjustRightInd w:val="0"/>
        <w:ind w:firstLine="480" w:firstLineChars="200"/>
        <w:rPr>
          <w:rFonts w:cs="Times New Roman"/>
          <w:color w:val="0D0D0D" w:themeColor="text1" w:themeTint="F2"/>
          <w:kern w:val="21"/>
          <w14:textFill>
            <w14:solidFill>
              <w14:schemeClr w14:val="tx1">
                <w14:lumMod w14:val="95000"/>
                <w14:lumOff w14:val="5000"/>
              </w14:schemeClr>
            </w14:solidFill>
          </w14:textFill>
        </w:rPr>
      </w:pPr>
      <w:r>
        <w:rPr>
          <w:rFonts w:hint="eastAsia" w:cs="Times New Roman"/>
          <w:color w:val="0D0D0D" w:themeColor="text1" w:themeTint="F2"/>
          <w:kern w:val="21"/>
          <w14:textFill>
            <w14:solidFill>
              <w14:schemeClr w14:val="tx1">
                <w14:lumMod w14:val="95000"/>
                <w14:lumOff w14:val="5000"/>
              </w14:schemeClr>
            </w14:solidFill>
          </w14:textFill>
        </w:rPr>
        <w:t>项目夜间不施工，只要积极采取各种噪声控制措施如尽量采用低噪施工设备，并定期对施工设备进行维修、养护等；避免在同一地点安排大量的动力机械设备，以避免局部声级较高等，采取以上防护措施后，施工期噪声对敏感点声环境影响不大，一旦施工活动结束，施工噪声影响也随之消失。</w:t>
      </w:r>
    </w:p>
    <w:p w14:paraId="43DB8837">
      <w:pPr>
        <w:autoSpaceDE w:val="0"/>
        <w:autoSpaceDN w:val="0"/>
        <w:adjustRightInd w:val="0"/>
        <w:ind w:firstLine="480" w:firstLineChars="200"/>
        <w:rPr>
          <w:rFonts w:cs="Times New Roman"/>
          <w:color w:val="0D0D0D" w:themeColor="text1" w:themeTint="F2"/>
          <w:kern w:val="21"/>
          <w14:textFill>
            <w14:solidFill>
              <w14:schemeClr w14:val="tx1">
                <w14:lumMod w14:val="95000"/>
                <w14:lumOff w14:val="5000"/>
              </w14:schemeClr>
            </w14:solidFill>
          </w14:textFill>
        </w:rPr>
      </w:pPr>
      <w:r>
        <w:rPr>
          <w:rFonts w:hint="eastAsia" w:cs="Times New Roman"/>
          <w:color w:val="0D0D0D" w:themeColor="text1" w:themeTint="F2"/>
          <w:kern w:val="21"/>
          <w14:textFill>
            <w14:solidFill>
              <w14:schemeClr w14:val="tx1">
                <w14:lumMod w14:val="95000"/>
                <w14:lumOff w14:val="5000"/>
              </w14:schemeClr>
            </w14:solidFill>
          </w14:textFill>
        </w:rPr>
        <w:t>运输噪声对环境影响主要来自运输车辆，大型载重运输车辆运输时，道路两侧近距离30m范围内，贡献值大于60dB(A)，物料运输对沿线敏感点包括道路两侧的居民产生不良影响。故在项目施工期应加强对物料运输车辆的管理，车辆路过敏感点时应慢速运行，禁止鸣笛；车辆不得超重装载；合理调配运输时间，运输尽量避开居民的休息时间，特别是在夜间应停止运输，同时，项目应配备性能良好的运输车辆并保养好车辆，从源强上降低噪声，以降低项目物料运输的汽车噪声对道路两侧的敏感点影响。</w:t>
      </w:r>
    </w:p>
    <w:p w14:paraId="49A5AFFF">
      <w:pPr>
        <w:pStyle w:val="9"/>
      </w:pPr>
      <w:bookmarkStart w:id="159" w:name="_Toc204062623"/>
      <w:r>
        <w:rPr>
          <w:rFonts w:hint="eastAsia"/>
        </w:rPr>
        <w:t>施工期固体废物影响分析</w:t>
      </w:r>
      <w:bookmarkEnd w:id="159"/>
    </w:p>
    <w:p w14:paraId="33F13AB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（1）土石方</w:t>
      </w:r>
    </w:p>
    <w:p w14:paraId="486625F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项目施工期无弃土石方产生。</w:t>
      </w:r>
    </w:p>
    <w:p w14:paraId="11CB6A5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（2）建筑垃圾</w:t>
      </w:r>
    </w:p>
    <w:p w14:paraId="43BC78B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建筑垃圾可回收利用的部分回收利用，不能回收利用的按照市政主管部门的要求清运至指定建筑垃圾消纳场妥善处置，并做好水土保持措施，建筑垃圾对环境影响不大。</w:t>
      </w:r>
    </w:p>
    <w:p w14:paraId="30707CF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（3）生活垃圾</w:t>
      </w:r>
    </w:p>
    <w:p w14:paraId="2AE4DD3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生活垃圾统一袋装后收集放置于垃圾桶中，交由环卫部门统一清运处置，对环境影响不大。</w:t>
      </w:r>
    </w:p>
    <w:p w14:paraId="5E6A2530">
      <w:pPr>
        <w:pStyle w:val="9"/>
      </w:pPr>
      <w:bookmarkStart w:id="160" w:name="_Toc204062624"/>
      <w:r>
        <w:rPr>
          <w:rFonts w:hint="eastAsia"/>
        </w:rPr>
        <w:t>施工期环境风险识别及防控措施</w:t>
      </w:r>
      <w:bookmarkEnd w:id="160"/>
    </w:p>
    <w:p w14:paraId="6D451965">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生物柴油及工业级混合油管道沿园区公共管廊架空设置，经调查，周边管道输送的介质主要有蒸汽、苯、苯乙烯、液氨、环己酮、环己烷、天然气、丙烷、丁烷、乙烯和氮气，涉及介质大多为高危险性介质（易燃、易爆、有毒、腐蚀性），项目施工过程中必须采取极其严格和全面的防控措施，以预防火灾、爆炸、中毒、环境污染等重大事故。</w:t>
      </w:r>
    </w:p>
    <w:p w14:paraId="08F87CB0">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（1）物理隔离与防护</w:t>
      </w:r>
    </w:p>
    <w:p w14:paraId="472BA284">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在施工区域与邻近危险管道（尤其是苯、苯乙烯、液氨、天然气、丙烷、丁烷、乙烯等易燃易爆有毒管道）之间设置坚固可靠的物理屏障。优先使用防火布（耐高温、阻燃）或专用挡板/围挡，有效阻挡火花、飞溅物、工具掉落等。确保隔离屏障能承受可能的冲击。严格遵守设计要求和安全规范，确保新管道与现有危险管道之间的安全间距。施工过程中严禁挤压、碰撞现有管道及其支架、阀门、仪表。</w:t>
      </w:r>
    </w:p>
    <w:p w14:paraId="1426928E">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（2）气体检测与监测</w:t>
      </w:r>
    </w:p>
    <w:p w14:paraId="63D1E056">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在施工区域（尤其是动火点、管沟、低洼处、法兰/阀门附近）全程、连续（或非常频繁）监测可燃气体（LEL）、有毒气体、氧气（O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）等气体浓度。</w:t>
      </w:r>
    </w:p>
    <w:p w14:paraId="6208D19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（3）动火作业特殊管控</w:t>
      </w:r>
    </w:p>
    <w:p w14:paraId="34C7FC0E">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使用防火毯严密覆盖焊接/切割点下方及侧向区域，防止火花飞溅。动火点必须配备专职消防监护员和足量、适用的消防器材（灭火器、消防水带等），并确保消防水源可用。监护员需经过专门培训。</w:t>
      </w:r>
    </w:p>
    <w:p w14:paraId="332B37F7">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（4）防静电和接地</w:t>
      </w:r>
    </w:p>
    <w:p w14:paraId="61143D8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确保所有新安装的管道、设备、施工机具在施工过程中和完成后都有效接地。</w:t>
      </w:r>
    </w:p>
    <w:p w14:paraId="7F7B22E1">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（5）应急准备</w:t>
      </w:r>
    </w:p>
    <w:p w14:paraId="073EA3B9">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在施工区域附近显著位置配备充足的应急物资，制定针对不同介质（油品、苯、液氨等）泄漏的初步控制、围堵、吸附、收集的具体操作程序。</w:t>
      </w:r>
    </w:p>
    <w:p w14:paraId="4ED954DD">
      <w:pPr>
        <w:pStyle w:val="8"/>
      </w:pPr>
      <w:bookmarkStart w:id="161" w:name="_Toc204062625"/>
      <w:r>
        <w:rPr>
          <w:rFonts w:hint="eastAsia"/>
        </w:rPr>
        <w:t>运营期环境空气影响分析</w:t>
      </w:r>
      <w:bookmarkEnd w:id="161"/>
    </w:p>
    <w:p w14:paraId="38BFA460">
      <w:pPr>
        <w:pStyle w:val="9"/>
        <w:numPr>
          <w:ilvl w:val="2"/>
          <w:numId w:val="45"/>
        </w:numPr>
      </w:pPr>
      <w:bookmarkStart w:id="162" w:name="_Toc204062626"/>
      <w:r>
        <w:rPr>
          <w:rFonts w:hint="eastAsia"/>
        </w:rPr>
        <w:t>大气环境影响预测</w:t>
      </w:r>
      <w:bookmarkEnd w:id="162"/>
    </w:p>
    <w:p w14:paraId="7BBFA530">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项目大气环境影响评价等级为二级，根据《环境影响评价技术导则  大气环境》（HJ2.2-2018），二级评价项目不进行进一步预测与评价，只对污染物排放量进行核算，因此本次评价不再进行进一步预测，只根据估算模式计算结果进行影响分析。项目废气污染物环境影响估算结果详见表5.2-1~表5.2-8。</w:t>
      </w:r>
    </w:p>
    <w:p w14:paraId="6E12A0BF">
      <w:pPr>
        <w:pStyle w:val="11"/>
      </w:pPr>
      <w:r>
        <w:rPr>
          <w:rFonts w:hint="eastAsia"/>
        </w:rPr>
        <w:t xml:space="preserve"> DA001估算结果一览表</w:t>
      </w:r>
    </w:p>
    <w:tbl>
      <w:tblPr>
        <w:tblStyle w:val="30"/>
        <w:tblW w:w="5000" w:type="pct"/>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22"/>
        <w:gridCol w:w="1194"/>
        <w:gridCol w:w="952"/>
        <w:gridCol w:w="1174"/>
        <w:gridCol w:w="887"/>
        <w:gridCol w:w="1174"/>
        <w:gridCol w:w="885"/>
        <w:gridCol w:w="1174"/>
        <w:gridCol w:w="880"/>
      </w:tblGrid>
      <w:tr w14:paraId="5CF9A42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blHeader/>
          <w:jc w:val="center"/>
        </w:trPr>
        <w:tc>
          <w:tcPr>
            <w:tcW w:w="499" w:type="pct"/>
            <w:vMerge w:val="restart"/>
            <w:vAlign w:val="center"/>
          </w:tcPr>
          <w:p w14:paraId="5767A53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下风向距离</w:t>
            </w:r>
          </w:p>
        </w:tc>
        <w:tc>
          <w:tcPr>
            <w:tcW w:w="4501" w:type="pct"/>
            <w:gridSpan w:val="8"/>
            <w:vAlign w:val="center"/>
          </w:tcPr>
          <w:p w14:paraId="053027E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DA001</w:t>
            </w:r>
          </w:p>
        </w:tc>
      </w:tr>
      <w:tr w14:paraId="48FDCA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blHeader/>
          <w:jc w:val="center"/>
        </w:trPr>
        <w:tc>
          <w:tcPr>
            <w:tcW w:w="499" w:type="pct"/>
            <w:vMerge w:val="continue"/>
            <w:vAlign w:val="center"/>
          </w:tcPr>
          <w:p w14:paraId="701BB0E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646" w:type="pct"/>
            <w:vAlign w:val="center"/>
          </w:tcPr>
          <w:p w14:paraId="456E2BC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NMHC</w:t>
            </w:r>
          </w:p>
          <w:p w14:paraId="6B20433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浓度</w:t>
            </w:r>
          </w:p>
          <w:p w14:paraId="715F73D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μg/m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15" w:type="pct"/>
            <w:vAlign w:val="center"/>
          </w:tcPr>
          <w:p w14:paraId="54FE20F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NMHC占标率</w:t>
            </w:r>
          </w:p>
          <w:p w14:paraId="75EC407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635" w:type="pct"/>
            <w:vAlign w:val="center"/>
          </w:tcPr>
          <w:p w14:paraId="56B2E28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甲醇浓度</w:t>
            </w:r>
          </w:p>
          <w:p w14:paraId="03731AF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μg/m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480" w:type="pct"/>
            <w:vAlign w:val="center"/>
          </w:tcPr>
          <w:p w14:paraId="7A648E6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甲醇占标率</w:t>
            </w:r>
          </w:p>
          <w:p w14:paraId="71DD11B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635" w:type="pct"/>
            <w:vAlign w:val="center"/>
          </w:tcPr>
          <w:p w14:paraId="5B0C754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NH</w:t>
            </w:r>
            <w:r>
              <w:rPr>
                <w:color w:val="0D0D0D" w:themeColor="text1" w:themeTint="F2"/>
                <w:sz w:val="21"/>
                <w:szCs w:val="21"/>
                <w:u w:val="single"/>
                <w:vertAlign w:val="subscript"/>
                <w14:textFill>
                  <w14:solidFill>
                    <w14:schemeClr w14:val="tx1">
                      <w14:lumMod w14:val="95000"/>
                      <w14:lumOff w14:val="5000"/>
                    </w14:schemeClr>
                  </w14:solidFill>
                </w14:textFill>
              </w:rPr>
              <w:t>3</w:t>
            </w:r>
            <w:r>
              <w:rPr>
                <w:color w:val="0D0D0D" w:themeColor="text1" w:themeTint="F2"/>
                <w:sz w:val="21"/>
                <w:szCs w:val="21"/>
                <w:u w:val="single"/>
                <w14:textFill>
                  <w14:solidFill>
                    <w14:schemeClr w14:val="tx1">
                      <w14:lumMod w14:val="95000"/>
                      <w14:lumOff w14:val="5000"/>
                    </w14:schemeClr>
                  </w14:solidFill>
                </w14:textFill>
              </w:rPr>
              <w:t>浓度</w:t>
            </w:r>
          </w:p>
          <w:p w14:paraId="767C842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μg/m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479" w:type="pct"/>
            <w:vAlign w:val="center"/>
          </w:tcPr>
          <w:p w14:paraId="6CB4585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NH</w:t>
            </w:r>
            <w:r>
              <w:rPr>
                <w:color w:val="0D0D0D" w:themeColor="text1" w:themeTint="F2"/>
                <w:sz w:val="21"/>
                <w:szCs w:val="21"/>
                <w:u w:val="single"/>
                <w:vertAlign w:val="subscript"/>
                <w14:textFill>
                  <w14:solidFill>
                    <w14:schemeClr w14:val="tx1">
                      <w14:lumMod w14:val="95000"/>
                      <w14:lumOff w14:val="5000"/>
                    </w14:schemeClr>
                  </w14:solidFill>
                </w14:textFill>
              </w:rPr>
              <w:t>3</w:t>
            </w:r>
            <w:r>
              <w:rPr>
                <w:color w:val="0D0D0D" w:themeColor="text1" w:themeTint="F2"/>
                <w:sz w:val="21"/>
                <w:szCs w:val="21"/>
                <w:u w:val="single"/>
                <w14:textFill>
                  <w14:solidFill>
                    <w14:schemeClr w14:val="tx1">
                      <w14:lumMod w14:val="95000"/>
                      <w14:lumOff w14:val="5000"/>
                    </w14:schemeClr>
                  </w14:solidFill>
                </w14:textFill>
              </w:rPr>
              <w:t>占标率</w:t>
            </w:r>
          </w:p>
          <w:p w14:paraId="5DE946C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635" w:type="pct"/>
            <w:vAlign w:val="center"/>
          </w:tcPr>
          <w:p w14:paraId="217E309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H</w:t>
            </w:r>
            <w:r>
              <w:rPr>
                <w:color w:val="0D0D0D" w:themeColor="text1" w:themeTint="F2"/>
                <w:sz w:val="21"/>
                <w:szCs w:val="21"/>
                <w:u w:val="single"/>
                <w:vertAlign w:val="subscript"/>
                <w14:textFill>
                  <w14:solidFill>
                    <w14:schemeClr w14:val="tx1">
                      <w14:lumMod w14:val="95000"/>
                      <w14:lumOff w14:val="5000"/>
                    </w14:schemeClr>
                  </w14:solidFill>
                </w14:textFill>
              </w:rPr>
              <w:t>2</w:t>
            </w:r>
            <w:r>
              <w:rPr>
                <w:color w:val="0D0D0D" w:themeColor="text1" w:themeTint="F2"/>
                <w:sz w:val="21"/>
                <w:szCs w:val="21"/>
                <w:u w:val="single"/>
                <w14:textFill>
                  <w14:solidFill>
                    <w14:schemeClr w14:val="tx1">
                      <w14:lumMod w14:val="95000"/>
                      <w14:lumOff w14:val="5000"/>
                    </w14:schemeClr>
                  </w14:solidFill>
                </w14:textFill>
              </w:rPr>
              <w:t>S浓度</w:t>
            </w:r>
          </w:p>
          <w:p w14:paraId="13C2432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μg/m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478" w:type="pct"/>
            <w:vAlign w:val="center"/>
          </w:tcPr>
          <w:p w14:paraId="7298C26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H</w:t>
            </w:r>
            <w:r>
              <w:rPr>
                <w:color w:val="0D0D0D" w:themeColor="text1" w:themeTint="F2"/>
                <w:sz w:val="21"/>
                <w:szCs w:val="21"/>
                <w:u w:val="single"/>
                <w:vertAlign w:val="subscript"/>
                <w14:textFill>
                  <w14:solidFill>
                    <w14:schemeClr w14:val="tx1">
                      <w14:lumMod w14:val="95000"/>
                      <w14:lumOff w14:val="5000"/>
                    </w14:schemeClr>
                  </w14:solidFill>
                </w14:textFill>
              </w:rPr>
              <w:t>2</w:t>
            </w:r>
            <w:r>
              <w:rPr>
                <w:color w:val="0D0D0D" w:themeColor="text1" w:themeTint="F2"/>
                <w:sz w:val="21"/>
                <w:szCs w:val="21"/>
                <w:u w:val="single"/>
                <w14:textFill>
                  <w14:solidFill>
                    <w14:schemeClr w14:val="tx1">
                      <w14:lumMod w14:val="95000"/>
                      <w14:lumOff w14:val="5000"/>
                    </w14:schemeClr>
                  </w14:solidFill>
                </w14:textFill>
              </w:rPr>
              <w:t>S占标率</w:t>
            </w:r>
          </w:p>
          <w:p w14:paraId="1CC2F03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w:t>
            </w:r>
            <w:r>
              <w:rPr>
                <w:rFonts w:hint="eastAsia"/>
                <w:color w:val="0D0D0D" w:themeColor="text1" w:themeTint="F2"/>
                <w:sz w:val="21"/>
                <w:szCs w:val="21"/>
                <w:u w:val="single"/>
                <w14:textFill>
                  <w14:solidFill>
                    <w14:schemeClr w14:val="tx1">
                      <w14:lumMod w14:val="95000"/>
                      <w14:lumOff w14:val="5000"/>
                    </w14:schemeClr>
                  </w14:solidFill>
                </w14:textFill>
              </w:rPr>
              <w:t>）</w:t>
            </w:r>
          </w:p>
        </w:tc>
      </w:tr>
      <w:tr w14:paraId="2CFB5E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jc w:val="center"/>
        </w:trPr>
        <w:tc>
          <w:tcPr>
            <w:tcW w:w="499" w:type="pct"/>
            <w:vAlign w:val="center"/>
          </w:tcPr>
          <w:p w14:paraId="4B472C5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50.0</w:t>
            </w:r>
          </w:p>
        </w:tc>
        <w:tc>
          <w:tcPr>
            <w:tcW w:w="646" w:type="pct"/>
            <w:vAlign w:val="center"/>
          </w:tcPr>
          <w:p w14:paraId="047BDD5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10.5210</w:t>
            </w:r>
          </w:p>
        </w:tc>
        <w:tc>
          <w:tcPr>
            <w:tcW w:w="515" w:type="pct"/>
            <w:vAlign w:val="center"/>
          </w:tcPr>
          <w:p w14:paraId="1EE6479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0.53</w:t>
            </w:r>
          </w:p>
        </w:tc>
        <w:tc>
          <w:tcPr>
            <w:tcW w:w="635" w:type="pct"/>
            <w:vAlign w:val="center"/>
          </w:tcPr>
          <w:p w14:paraId="03562E0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10.5210</w:t>
            </w:r>
          </w:p>
        </w:tc>
        <w:tc>
          <w:tcPr>
            <w:tcW w:w="480" w:type="pct"/>
            <w:vAlign w:val="center"/>
          </w:tcPr>
          <w:p w14:paraId="1C315E4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0.19</w:t>
            </w:r>
          </w:p>
        </w:tc>
        <w:tc>
          <w:tcPr>
            <w:tcW w:w="635" w:type="pct"/>
            <w:vAlign w:val="center"/>
          </w:tcPr>
          <w:p w14:paraId="5196F2F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0.7157</w:t>
            </w:r>
          </w:p>
        </w:tc>
        <w:tc>
          <w:tcPr>
            <w:tcW w:w="479" w:type="pct"/>
            <w:vAlign w:val="center"/>
          </w:tcPr>
          <w:p w14:paraId="000FA39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0.36</w:t>
            </w:r>
          </w:p>
        </w:tc>
        <w:tc>
          <w:tcPr>
            <w:tcW w:w="635" w:type="pct"/>
            <w:vAlign w:val="center"/>
          </w:tcPr>
          <w:p w14:paraId="3CB2FE5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0.0119</w:t>
            </w:r>
          </w:p>
        </w:tc>
        <w:tc>
          <w:tcPr>
            <w:tcW w:w="478" w:type="pct"/>
            <w:vAlign w:val="center"/>
          </w:tcPr>
          <w:p w14:paraId="2EC6F2F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0.12</w:t>
            </w:r>
          </w:p>
        </w:tc>
      </w:tr>
      <w:tr w14:paraId="5FA7646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jc w:val="center"/>
        </w:trPr>
        <w:tc>
          <w:tcPr>
            <w:tcW w:w="499" w:type="pct"/>
            <w:vAlign w:val="center"/>
          </w:tcPr>
          <w:p w14:paraId="42682CD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100.0</w:t>
            </w:r>
          </w:p>
        </w:tc>
        <w:tc>
          <w:tcPr>
            <w:tcW w:w="646" w:type="pct"/>
            <w:vAlign w:val="center"/>
          </w:tcPr>
          <w:p w14:paraId="318DA64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8.9403</w:t>
            </w:r>
          </w:p>
        </w:tc>
        <w:tc>
          <w:tcPr>
            <w:tcW w:w="515" w:type="pct"/>
            <w:vAlign w:val="center"/>
          </w:tcPr>
          <w:p w14:paraId="2230A7A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0.45</w:t>
            </w:r>
          </w:p>
        </w:tc>
        <w:tc>
          <w:tcPr>
            <w:tcW w:w="635" w:type="pct"/>
            <w:vAlign w:val="center"/>
          </w:tcPr>
          <w:p w14:paraId="3F9D159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8.9403</w:t>
            </w:r>
          </w:p>
        </w:tc>
        <w:tc>
          <w:tcPr>
            <w:tcW w:w="480" w:type="pct"/>
            <w:vAlign w:val="center"/>
          </w:tcPr>
          <w:p w14:paraId="08527D8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0.16</w:t>
            </w:r>
          </w:p>
        </w:tc>
        <w:tc>
          <w:tcPr>
            <w:tcW w:w="635" w:type="pct"/>
            <w:vAlign w:val="center"/>
          </w:tcPr>
          <w:p w14:paraId="475CFFF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0.6082</w:t>
            </w:r>
          </w:p>
        </w:tc>
        <w:tc>
          <w:tcPr>
            <w:tcW w:w="479" w:type="pct"/>
            <w:vAlign w:val="center"/>
          </w:tcPr>
          <w:p w14:paraId="6276849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0.30</w:t>
            </w:r>
          </w:p>
        </w:tc>
        <w:tc>
          <w:tcPr>
            <w:tcW w:w="635" w:type="pct"/>
            <w:vAlign w:val="center"/>
          </w:tcPr>
          <w:p w14:paraId="244DE41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0.0101</w:t>
            </w:r>
          </w:p>
        </w:tc>
        <w:tc>
          <w:tcPr>
            <w:tcW w:w="478" w:type="pct"/>
            <w:vAlign w:val="center"/>
          </w:tcPr>
          <w:p w14:paraId="2E986E5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0.10</w:t>
            </w:r>
          </w:p>
        </w:tc>
      </w:tr>
      <w:tr w14:paraId="28308E9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jc w:val="center"/>
        </w:trPr>
        <w:tc>
          <w:tcPr>
            <w:tcW w:w="499" w:type="pct"/>
            <w:vAlign w:val="center"/>
          </w:tcPr>
          <w:p w14:paraId="33C4EAD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200.0</w:t>
            </w:r>
          </w:p>
        </w:tc>
        <w:tc>
          <w:tcPr>
            <w:tcW w:w="646" w:type="pct"/>
            <w:vAlign w:val="center"/>
          </w:tcPr>
          <w:p w14:paraId="2471FEE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6.4903</w:t>
            </w:r>
          </w:p>
        </w:tc>
        <w:tc>
          <w:tcPr>
            <w:tcW w:w="515" w:type="pct"/>
            <w:vAlign w:val="center"/>
          </w:tcPr>
          <w:p w14:paraId="444C40E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0.32</w:t>
            </w:r>
          </w:p>
        </w:tc>
        <w:tc>
          <w:tcPr>
            <w:tcW w:w="635" w:type="pct"/>
            <w:vAlign w:val="center"/>
          </w:tcPr>
          <w:p w14:paraId="3C63A49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6.4903</w:t>
            </w:r>
          </w:p>
        </w:tc>
        <w:tc>
          <w:tcPr>
            <w:tcW w:w="480" w:type="pct"/>
            <w:vAlign w:val="center"/>
          </w:tcPr>
          <w:p w14:paraId="55AEA65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0.12</w:t>
            </w:r>
          </w:p>
        </w:tc>
        <w:tc>
          <w:tcPr>
            <w:tcW w:w="635" w:type="pct"/>
            <w:vAlign w:val="center"/>
          </w:tcPr>
          <w:p w14:paraId="5793ED5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0.4415</w:t>
            </w:r>
          </w:p>
        </w:tc>
        <w:tc>
          <w:tcPr>
            <w:tcW w:w="479" w:type="pct"/>
            <w:vAlign w:val="center"/>
          </w:tcPr>
          <w:p w14:paraId="03978C2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0.22</w:t>
            </w:r>
          </w:p>
        </w:tc>
        <w:tc>
          <w:tcPr>
            <w:tcW w:w="635" w:type="pct"/>
            <w:vAlign w:val="center"/>
          </w:tcPr>
          <w:p w14:paraId="1454FDD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0.0074</w:t>
            </w:r>
          </w:p>
        </w:tc>
        <w:tc>
          <w:tcPr>
            <w:tcW w:w="478" w:type="pct"/>
            <w:vAlign w:val="center"/>
          </w:tcPr>
          <w:p w14:paraId="0EE7A39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0.07</w:t>
            </w:r>
          </w:p>
        </w:tc>
      </w:tr>
      <w:tr w14:paraId="66AF7C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jc w:val="center"/>
        </w:trPr>
        <w:tc>
          <w:tcPr>
            <w:tcW w:w="499" w:type="pct"/>
            <w:vAlign w:val="center"/>
          </w:tcPr>
          <w:p w14:paraId="69DAB35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300.0</w:t>
            </w:r>
          </w:p>
        </w:tc>
        <w:tc>
          <w:tcPr>
            <w:tcW w:w="646" w:type="pct"/>
            <w:vAlign w:val="center"/>
          </w:tcPr>
          <w:p w14:paraId="061EAF7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5.2287</w:t>
            </w:r>
          </w:p>
        </w:tc>
        <w:tc>
          <w:tcPr>
            <w:tcW w:w="515" w:type="pct"/>
            <w:vAlign w:val="center"/>
          </w:tcPr>
          <w:p w14:paraId="623EAED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0.26</w:t>
            </w:r>
          </w:p>
        </w:tc>
        <w:tc>
          <w:tcPr>
            <w:tcW w:w="635" w:type="pct"/>
            <w:vAlign w:val="center"/>
          </w:tcPr>
          <w:p w14:paraId="19C7426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5.2287</w:t>
            </w:r>
          </w:p>
        </w:tc>
        <w:tc>
          <w:tcPr>
            <w:tcW w:w="480" w:type="pct"/>
            <w:vAlign w:val="center"/>
          </w:tcPr>
          <w:p w14:paraId="0C4C504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0.10</w:t>
            </w:r>
          </w:p>
        </w:tc>
        <w:tc>
          <w:tcPr>
            <w:tcW w:w="635" w:type="pct"/>
            <w:vAlign w:val="center"/>
          </w:tcPr>
          <w:p w14:paraId="1142590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0.3557</w:t>
            </w:r>
          </w:p>
        </w:tc>
        <w:tc>
          <w:tcPr>
            <w:tcW w:w="479" w:type="pct"/>
            <w:vAlign w:val="center"/>
          </w:tcPr>
          <w:p w14:paraId="41798F8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0.18</w:t>
            </w:r>
          </w:p>
        </w:tc>
        <w:tc>
          <w:tcPr>
            <w:tcW w:w="635" w:type="pct"/>
            <w:vAlign w:val="center"/>
          </w:tcPr>
          <w:p w14:paraId="33DC2C5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0.0059</w:t>
            </w:r>
          </w:p>
        </w:tc>
        <w:tc>
          <w:tcPr>
            <w:tcW w:w="478" w:type="pct"/>
            <w:vAlign w:val="center"/>
          </w:tcPr>
          <w:p w14:paraId="160DFE4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0.06</w:t>
            </w:r>
          </w:p>
        </w:tc>
      </w:tr>
      <w:tr w14:paraId="6D49AA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jc w:val="center"/>
        </w:trPr>
        <w:tc>
          <w:tcPr>
            <w:tcW w:w="499" w:type="pct"/>
            <w:vAlign w:val="center"/>
          </w:tcPr>
          <w:p w14:paraId="7543092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400.0</w:t>
            </w:r>
          </w:p>
        </w:tc>
        <w:tc>
          <w:tcPr>
            <w:tcW w:w="646" w:type="pct"/>
            <w:vAlign w:val="center"/>
          </w:tcPr>
          <w:p w14:paraId="27C3D3D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6.7364</w:t>
            </w:r>
          </w:p>
        </w:tc>
        <w:tc>
          <w:tcPr>
            <w:tcW w:w="515" w:type="pct"/>
            <w:vAlign w:val="center"/>
          </w:tcPr>
          <w:p w14:paraId="1EA1FC6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0.34</w:t>
            </w:r>
          </w:p>
        </w:tc>
        <w:tc>
          <w:tcPr>
            <w:tcW w:w="635" w:type="pct"/>
            <w:vAlign w:val="center"/>
          </w:tcPr>
          <w:p w14:paraId="475DB2F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6.7364</w:t>
            </w:r>
          </w:p>
        </w:tc>
        <w:tc>
          <w:tcPr>
            <w:tcW w:w="480" w:type="pct"/>
            <w:vAlign w:val="center"/>
          </w:tcPr>
          <w:p w14:paraId="70A7B7F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0.12</w:t>
            </w:r>
          </w:p>
        </w:tc>
        <w:tc>
          <w:tcPr>
            <w:tcW w:w="635" w:type="pct"/>
            <w:vAlign w:val="center"/>
          </w:tcPr>
          <w:p w14:paraId="122FBC2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0.4583</w:t>
            </w:r>
          </w:p>
        </w:tc>
        <w:tc>
          <w:tcPr>
            <w:tcW w:w="479" w:type="pct"/>
            <w:vAlign w:val="center"/>
          </w:tcPr>
          <w:p w14:paraId="1C36B16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0.23</w:t>
            </w:r>
          </w:p>
        </w:tc>
        <w:tc>
          <w:tcPr>
            <w:tcW w:w="635" w:type="pct"/>
            <w:vAlign w:val="center"/>
          </w:tcPr>
          <w:p w14:paraId="495CD7E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0.0076</w:t>
            </w:r>
          </w:p>
        </w:tc>
        <w:tc>
          <w:tcPr>
            <w:tcW w:w="478" w:type="pct"/>
            <w:vAlign w:val="center"/>
          </w:tcPr>
          <w:p w14:paraId="79CB7CE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0.08</w:t>
            </w:r>
          </w:p>
        </w:tc>
      </w:tr>
      <w:tr w14:paraId="65B38E1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jc w:val="center"/>
        </w:trPr>
        <w:tc>
          <w:tcPr>
            <w:tcW w:w="499" w:type="pct"/>
            <w:vAlign w:val="center"/>
          </w:tcPr>
          <w:p w14:paraId="3E11FDE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500.0</w:t>
            </w:r>
          </w:p>
        </w:tc>
        <w:tc>
          <w:tcPr>
            <w:tcW w:w="646" w:type="pct"/>
            <w:vAlign w:val="center"/>
          </w:tcPr>
          <w:p w14:paraId="5345548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7.1931</w:t>
            </w:r>
          </w:p>
        </w:tc>
        <w:tc>
          <w:tcPr>
            <w:tcW w:w="515" w:type="pct"/>
            <w:vAlign w:val="center"/>
          </w:tcPr>
          <w:p w14:paraId="25C8132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0.36</w:t>
            </w:r>
          </w:p>
        </w:tc>
        <w:tc>
          <w:tcPr>
            <w:tcW w:w="635" w:type="pct"/>
            <w:vAlign w:val="center"/>
          </w:tcPr>
          <w:p w14:paraId="0792EEA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7.1931</w:t>
            </w:r>
          </w:p>
        </w:tc>
        <w:tc>
          <w:tcPr>
            <w:tcW w:w="480" w:type="pct"/>
            <w:vAlign w:val="center"/>
          </w:tcPr>
          <w:p w14:paraId="2AD9197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0.13</w:t>
            </w:r>
          </w:p>
        </w:tc>
        <w:tc>
          <w:tcPr>
            <w:tcW w:w="635" w:type="pct"/>
            <w:vAlign w:val="center"/>
          </w:tcPr>
          <w:p w14:paraId="5FBDFE2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0.4893</w:t>
            </w:r>
          </w:p>
        </w:tc>
        <w:tc>
          <w:tcPr>
            <w:tcW w:w="479" w:type="pct"/>
            <w:vAlign w:val="center"/>
          </w:tcPr>
          <w:p w14:paraId="4F276BF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0.24</w:t>
            </w:r>
          </w:p>
        </w:tc>
        <w:tc>
          <w:tcPr>
            <w:tcW w:w="635" w:type="pct"/>
            <w:vAlign w:val="center"/>
          </w:tcPr>
          <w:p w14:paraId="41066F9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0.0082</w:t>
            </w:r>
          </w:p>
        </w:tc>
        <w:tc>
          <w:tcPr>
            <w:tcW w:w="478" w:type="pct"/>
            <w:vAlign w:val="center"/>
          </w:tcPr>
          <w:p w14:paraId="086DF31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0.08</w:t>
            </w:r>
          </w:p>
        </w:tc>
      </w:tr>
      <w:tr w14:paraId="41786E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jc w:val="center"/>
        </w:trPr>
        <w:tc>
          <w:tcPr>
            <w:tcW w:w="499" w:type="pct"/>
            <w:vAlign w:val="center"/>
          </w:tcPr>
          <w:p w14:paraId="345E5B8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600.0</w:t>
            </w:r>
          </w:p>
        </w:tc>
        <w:tc>
          <w:tcPr>
            <w:tcW w:w="646" w:type="pct"/>
            <w:vAlign w:val="center"/>
          </w:tcPr>
          <w:p w14:paraId="22EAF23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7.1426</w:t>
            </w:r>
          </w:p>
        </w:tc>
        <w:tc>
          <w:tcPr>
            <w:tcW w:w="515" w:type="pct"/>
            <w:vAlign w:val="center"/>
          </w:tcPr>
          <w:p w14:paraId="2A5BC29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0.36</w:t>
            </w:r>
          </w:p>
        </w:tc>
        <w:tc>
          <w:tcPr>
            <w:tcW w:w="635" w:type="pct"/>
            <w:vAlign w:val="center"/>
          </w:tcPr>
          <w:p w14:paraId="1D45BA3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7.1426</w:t>
            </w:r>
          </w:p>
        </w:tc>
        <w:tc>
          <w:tcPr>
            <w:tcW w:w="480" w:type="pct"/>
            <w:vAlign w:val="center"/>
          </w:tcPr>
          <w:p w14:paraId="17054D7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0.13</w:t>
            </w:r>
          </w:p>
        </w:tc>
        <w:tc>
          <w:tcPr>
            <w:tcW w:w="635" w:type="pct"/>
            <w:vAlign w:val="center"/>
          </w:tcPr>
          <w:p w14:paraId="341FA15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0.4859</w:t>
            </w:r>
          </w:p>
        </w:tc>
        <w:tc>
          <w:tcPr>
            <w:tcW w:w="479" w:type="pct"/>
            <w:vAlign w:val="center"/>
          </w:tcPr>
          <w:p w14:paraId="7E8333B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0.24</w:t>
            </w:r>
          </w:p>
        </w:tc>
        <w:tc>
          <w:tcPr>
            <w:tcW w:w="635" w:type="pct"/>
            <w:vAlign w:val="center"/>
          </w:tcPr>
          <w:p w14:paraId="3CC189E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0.0081</w:t>
            </w:r>
          </w:p>
        </w:tc>
        <w:tc>
          <w:tcPr>
            <w:tcW w:w="478" w:type="pct"/>
            <w:vAlign w:val="center"/>
          </w:tcPr>
          <w:p w14:paraId="0CB0AF1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0.08</w:t>
            </w:r>
          </w:p>
        </w:tc>
      </w:tr>
      <w:tr w14:paraId="014F0B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jc w:val="center"/>
        </w:trPr>
        <w:tc>
          <w:tcPr>
            <w:tcW w:w="499" w:type="pct"/>
            <w:vAlign w:val="center"/>
          </w:tcPr>
          <w:p w14:paraId="4430E99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700.0</w:t>
            </w:r>
          </w:p>
        </w:tc>
        <w:tc>
          <w:tcPr>
            <w:tcW w:w="646" w:type="pct"/>
            <w:vAlign w:val="center"/>
          </w:tcPr>
          <w:p w14:paraId="237D52B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6.7346</w:t>
            </w:r>
          </w:p>
        </w:tc>
        <w:tc>
          <w:tcPr>
            <w:tcW w:w="515" w:type="pct"/>
            <w:vAlign w:val="center"/>
          </w:tcPr>
          <w:p w14:paraId="19DA232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0.34</w:t>
            </w:r>
          </w:p>
        </w:tc>
        <w:tc>
          <w:tcPr>
            <w:tcW w:w="635" w:type="pct"/>
            <w:vAlign w:val="center"/>
          </w:tcPr>
          <w:p w14:paraId="608424C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6.7346</w:t>
            </w:r>
          </w:p>
        </w:tc>
        <w:tc>
          <w:tcPr>
            <w:tcW w:w="480" w:type="pct"/>
            <w:vAlign w:val="center"/>
          </w:tcPr>
          <w:p w14:paraId="4883BF4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0.12</w:t>
            </w:r>
          </w:p>
        </w:tc>
        <w:tc>
          <w:tcPr>
            <w:tcW w:w="635" w:type="pct"/>
            <w:vAlign w:val="center"/>
          </w:tcPr>
          <w:p w14:paraId="4C582B2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0.4582</w:t>
            </w:r>
          </w:p>
        </w:tc>
        <w:tc>
          <w:tcPr>
            <w:tcW w:w="479" w:type="pct"/>
            <w:vAlign w:val="center"/>
          </w:tcPr>
          <w:p w14:paraId="1EB7B02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0.23</w:t>
            </w:r>
          </w:p>
        </w:tc>
        <w:tc>
          <w:tcPr>
            <w:tcW w:w="635" w:type="pct"/>
            <w:vAlign w:val="center"/>
          </w:tcPr>
          <w:p w14:paraId="60ED1D3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0.0076</w:t>
            </w:r>
          </w:p>
        </w:tc>
        <w:tc>
          <w:tcPr>
            <w:tcW w:w="478" w:type="pct"/>
            <w:vAlign w:val="center"/>
          </w:tcPr>
          <w:p w14:paraId="33878B2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0.08</w:t>
            </w:r>
          </w:p>
        </w:tc>
      </w:tr>
      <w:tr w14:paraId="253F58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jc w:val="center"/>
        </w:trPr>
        <w:tc>
          <w:tcPr>
            <w:tcW w:w="499" w:type="pct"/>
            <w:vAlign w:val="center"/>
          </w:tcPr>
          <w:p w14:paraId="5076F4C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800.0</w:t>
            </w:r>
          </w:p>
        </w:tc>
        <w:tc>
          <w:tcPr>
            <w:tcW w:w="646" w:type="pct"/>
            <w:vAlign w:val="center"/>
          </w:tcPr>
          <w:p w14:paraId="7E991A0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6.3864</w:t>
            </w:r>
          </w:p>
        </w:tc>
        <w:tc>
          <w:tcPr>
            <w:tcW w:w="515" w:type="pct"/>
            <w:vAlign w:val="center"/>
          </w:tcPr>
          <w:p w14:paraId="5288A2D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0.32</w:t>
            </w:r>
          </w:p>
        </w:tc>
        <w:tc>
          <w:tcPr>
            <w:tcW w:w="635" w:type="pct"/>
            <w:vAlign w:val="center"/>
          </w:tcPr>
          <w:p w14:paraId="5EDCB8C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6.3864</w:t>
            </w:r>
          </w:p>
        </w:tc>
        <w:tc>
          <w:tcPr>
            <w:tcW w:w="480" w:type="pct"/>
            <w:vAlign w:val="center"/>
          </w:tcPr>
          <w:p w14:paraId="54AA530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0.12</w:t>
            </w:r>
          </w:p>
        </w:tc>
        <w:tc>
          <w:tcPr>
            <w:tcW w:w="635" w:type="pct"/>
            <w:vAlign w:val="center"/>
          </w:tcPr>
          <w:p w14:paraId="47308D2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0.4345</w:t>
            </w:r>
          </w:p>
        </w:tc>
        <w:tc>
          <w:tcPr>
            <w:tcW w:w="479" w:type="pct"/>
            <w:vAlign w:val="center"/>
          </w:tcPr>
          <w:p w14:paraId="2338BFC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0.22</w:t>
            </w:r>
          </w:p>
        </w:tc>
        <w:tc>
          <w:tcPr>
            <w:tcW w:w="635" w:type="pct"/>
            <w:vAlign w:val="center"/>
          </w:tcPr>
          <w:p w14:paraId="7B53E1B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0.0072</w:t>
            </w:r>
          </w:p>
        </w:tc>
        <w:tc>
          <w:tcPr>
            <w:tcW w:w="478" w:type="pct"/>
            <w:vAlign w:val="center"/>
          </w:tcPr>
          <w:p w14:paraId="136BF98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0.07</w:t>
            </w:r>
          </w:p>
        </w:tc>
      </w:tr>
      <w:tr w14:paraId="2AAE82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jc w:val="center"/>
        </w:trPr>
        <w:tc>
          <w:tcPr>
            <w:tcW w:w="499" w:type="pct"/>
            <w:vAlign w:val="center"/>
          </w:tcPr>
          <w:p w14:paraId="0A4471B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900.0</w:t>
            </w:r>
          </w:p>
        </w:tc>
        <w:tc>
          <w:tcPr>
            <w:tcW w:w="646" w:type="pct"/>
            <w:vAlign w:val="center"/>
          </w:tcPr>
          <w:p w14:paraId="7ECA601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5.9717</w:t>
            </w:r>
          </w:p>
        </w:tc>
        <w:tc>
          <w:tcPr>
            <w:tcW w:w="515" w:type="pct"/>
            <w:vAlign w:val="center"/>
          </w:tcPr>
          <w:p w14:paraId="34D5A64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0.30</w:t>
            </w:r>
          </w:p>
        </w:tc>
        <w:tc>
          <w:tcPr>
            <w:tcW w:w="635" w:type="pct"/>
            <w:vAlign w:val="center"/>
          </w:tcPr>
          <w:p w14:paraId="0357D92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5.9717</w:t>
            </w:r>
          </w:p>
        </w:tc>
        <w:tc>
          <w:tcPr>
            <w:tcW w:w="480" w:type="pct"/>
            <w:vAlign w:val="center"/>
          </w:tcPr>
          <w:p w14:paraId="5C32FA0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0.11</w:t>
            </w:r>
          </w:p>
        </w:tc>
        <w:tc>
          <w:tcPr>
            <w:tcW w:w="635" w:type="pct"/>
            <w:vAlign w:val="center"/>
          </w:tcPr>
          <w:p w14:paraId="57A152D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0.4063</w:t>
            </w:r>
          </w:p>
        </w:tc>
        <w:tc>
          <w:tcPr>
            <w:tcW w:w="479" w:type="pct"/>
            <w:vAlign w:val="center"/>
          </w:tcPr>
          <w:p w14:paraId="769E522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0.20</w:t>
            </w:r>
          </w:p>
        </w:tc>
        <w:tc>
          <w:tcPr>
            <w:tcW w:w="635" w:type="pct"/>
            <w:vAlign w:val="center"/>
          </w:tcPr>
          <w:p w14:paraId="2D1B926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0.0068</w:t>
            </w:r>
          </w:p>
        </w:tc>
        <w:tc>
          <w:tcPr>
            <w:tcW w:w="478" w:type="pct"/>
            <w:vAlign w:val="center"/>
          </w:tcPr>
          <w:p w14:paraId="1B6D844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0.07</w:t>
            </w:r>
          </w:p>
        </w:tc>
      </w:tr>
      <w:tr w14:paraId="67BCBB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jc w:val="center"/>
        </w:trPr>
        <w:tc>
          <w:tcPr>
            <w:tcW w:w="499" w:type="pct"/>
            <w:vAlign w:val="center"/>
          </w:tcPr>
          <w:p w14:paraId="03DFF59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1000.0</w:t>
            </w:r>
          </w:p>
        </w:tc>
        <w:tc>
          <w:tcPr>
            <w:tcW w:w="646" w:type="pct"/>
            <w:vAlign w:val="center"/>
          </w:tcPr>
          <w:p w14:paraId="41DE55E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5.5770</w:t>
            </w:r>
          </w:p>
        </w:tc>
        <w:tc>
          <w:tcPr>
            <w:tcW w:w="515" w:type="pct"/>
            <w:vAlign w:val="center"/>
          </w:tcPr>
          <w:p w14:paraId="0991B4B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0.28</w:t>
            </w:r>
          </w:p>
        </w:tc>
        <w:tc>
          <w:tcPr>
            <w:tcW w:w="635" w:type="pct"/>
            <w:vAlign w:val="center"/>
          </w:tcPr>
          <w:p w14:paraId="35CF973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5.5770</w:t>
            </w:r>
          </w:p>
        </w:tc>
        <w:tc>
          <w:tcPr>
            <w:tcW w:w="480" w:type="pct"/>
            <w:vAlign w:val="center"/>
          </w:tcPr>
          <w:p w14:paraId="77EA048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0.10</w:t>
            </w:r>
          </w:p>
        </w:tc>
        <w:tc>
          <w:tcPr>
            <w:tcW w:w="635" w:type="pct"/>
            <w:vAlign w:val="center"/>
          </w:tcPr>
          <w:p w14:paraId="4DDFC81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0.3794</w:t>
            </w:r>
          </w:p>
        </w:tc>
        <w:tc>
          <w:tcPr>
            <w:tcW w:w="479" w:type="pct"/>
            <w:vAlign w:val="center"/>
          </w:tcPr>
          <w:p w14:paraId="68981BD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0.19</w:t>
            </w:r>
          </w:p>
        </w:tc>
        <w:tc>
          <w:tcPr>
            <w:tcW w:w="635" w:type="pct"/>
            <w:vAlign w:val="center"/>
          </w:tcPr>
          <w:p w14:paraId="53EEC9D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0.0063</w:t>
            </w:r>
          </w:p>
        </w:tc>
        <w:tc>
          <w:tcPr>
            <w:tcW w:w="478" w:type="pct"/>
            <w:vAlign w:val="center"/>
          </w:tcPr>
          <w:p w14:paraId="64F8E4A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0.06</w:t>
            </w:r>
          </w:p>
        </w:tc>
      </w:tr>
      <w:tr w14:paraId="7D0FB1B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jc w:val="center"/>
        </w:trPr>
        <w:tc>
          <w:tcPr>
            <w:tcW w:w="499" w:type="pct"/>
            <w:vAlign w:val="center"/>
          </w:tcPr>
          <w:p w14:paraId="4E73406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1200.0</w:t>
            </w:r>
          </w:p>
        </w:tc>
        <w:tc>
          <w:tcPr>
            <w:tcW w:w="646" w:type="pct"/>
            <w:vAlign w:val="center"/>
          </w:tcPr>
          <w:p w14:paraId="367B5E4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4.8865</w:t>
            </w:r>
          </w:p>
        </w:tc>
        <w:tc>
          <w:tcPr>
            <w:tcW w:w="515" w:type="pct"/>
            <w:vAlign w:val="center"/>
          </w:tcPr>
          <w:p w14:paraId="35DCAAF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0.24</w:t>
            </w:r>
          </w:p>
        </w:tc>
        <w:tc>
          <w:tcPr>
            <w:tcW w:w="635" w:type="pct"/>
            <w:vAlign w:val="center"/>
          </w:tcPr>
          <w:p w14:paraId="6D9802D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4.8865</w:t>
            </w:r>
          </w:p>
        </w:tc>
        <w:tc>
          <w:tcPr>
            <w:tcW w:w="480" w:type="pct"/>
            <w:vAlign w:val="center"/>
          </w:tcPr>
          <w:p w14:paraId="7BB22A5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0.09</w:t>
            </w:r>
          </w:p>
        </w:tc>
        <w:tc>
          <w:tcPr>
            <w:tcW w:w="635" w:type="pct"/>
            <w:vAlign w:val="center"/>
          </w:tcPr>
          <w:p w14:paraId="7FEEACA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0.3324</w:t>
            </w:r>
          </w:p>
        </w:tc>
        <w:tc>
          <w:tcPr>
            <w:tcW w:w="479" w:type="pct"/>
            <w:vAlign w:val="center"/>
          </w:tcPr>
          <w:p w14:paraId="5542EC4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0.17</w:t>
            </w:r>
          </w:p>
        </w:tc>
        <w:tc>
          <w:tcPr>
            <w:tcW w:w="635" w:type="pct"/>
            <w:vAlign w:val="center"/>
          </w:tcPr>
          <w:p w14:paraId="6AA562D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0.0055</w:t>
            </w:r>
          </w:p>
        </w:tc>
        <w:tc>
          <w:tcPr>
            <w:tcW w:w="478" w:type="pct"/>
            <w:vAlign w:val="center"/>
          </w:tcPr>
          <w:p w14:paraId="66DA367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0.06</w:t>
            </w:r>
          </w:p>
        </w:tc>
      </w:tr>
      <w:tr w14:paraId="53B88BC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jc w:val="center"/>
        </w:trPr>
        <w:tc>
          <w:tcPr>
            <w:tcW w:w="499" w:type="pct"/>
            <w:vAlign w:val="center"/>
          </w:tcPr>
          <w:p w14:paraId="5E21661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1400.0</w:t>
            </w:r>
          </w:p>
        </w:tc>
        <w:tc>
          <w:tcPr>
            <w:tcW w:w="646" w:type="pct"/>
            <w:vAlign w:val="center"/>
          </w:tcPr>
          <w:p w14:paraId="425550A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4.2967</w:t>
            </w:r>
          </w:p>
        </w:tc>
        <w:tc>
          <w:tcPr>
            <w:tcW w:w="515" w:type="pct"/>
            <w:vAlign w:val="center"/>
          </w:tcPr>
          <w:p w14:paraId="5E03CC2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0.21</w:t>
            </w:r>
          </w:p>
        </w:tc>
        <w:tc>
          <w:tcPr>
            <w:tcW w:w="635" w:type="pct"/>
            <w:vAlign w:val="center"/>
          </w:tcPr>
          <w:p w14:paraId="52BC5B9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4.2967</w:t>
            </w:r>
          </w:p>
        </w:tc>
        <w:tc>
          <w:tcPr>
            <w:tcW w:w="480" w:type="pct"/>
            <w:vAlign w:val="center"/>
          </w:tcPr>
          <w:p w14:paraId="1F13BFF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0.08</w:t>
            </w:r>
          </w:p>
        </w:tc>
        <w:tc>
          <w:tcPr>
            <w:tcW w:w="635" w:type="pct"/>
            <w:vAlign w:val="center"/>
          </w:tcPr>
          <w:p w14:paraId="327888E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0.2923</w:t>
            </w:r>
          </w:p>
        </w:tc>
        <w:tc>
          <w:tcPr>
            <w:tcW w:w="479" w:type="pct"/>
            <w:vAlign w:val="center"/>
          </w:tcPr>
          <w:p w14:paraId="4BE8F27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0.15</w:t>
            </w:r>
          </w:p>
        </w:tc>
        <w:tc>
          <w:tcPr>
            <w:tcW w:w="635" w:type="pct"/>
            <w:vAlign w:val="center"/>
          </w:tcPr>
          <w:p w14:paraId="1B0B79F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0.0049</w:t>
            </w:r>
          </w:p>
        </w:tc>
        <w:tc>
          <w:tcPr>
            <w:tcW w:w="478" w:type="pct"/>
            <w:vAlign w:val="center"/>
          </w:tcPr>
          <w:p w14:paraId="1EBF2C2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0.05</w:t>
            </w:r>
          </w:p>
        </w:tc>
      </w:tr>
      <w:tr w14:paraId="268671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jc w:val="center"/>
        </w:trPr>
        <w:tc>
          <w:tcPr>
            <w:tcW w:w="499" w:type="pct"/>
            <w:vAlign w:val="center"/>
          </w:tcPr>
          <w:p w14:paraId="69D7F0D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1600.0</w:t>
            </w:r>
          </w:p>
        </w:tc>
        <w:tc>
          <w:tcPr>
            <w:tcW w:w="646" w:type="pct"/>
            <w:vAlign w:val="center"/>
          </w:tcPr>
          <w:p w14:paraId="1C4053B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3.8065</w:t>
            </w:r>
          </w:p>
        </w:tc>
        <w:tc>
          <w:tcPr>
            <w:tcW w:w="515" w:type="pct"/>
            <w:vAlign w:val="center"/>
          </w:tcPr>
          <w:p w14:paraId="6AD91A0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0.19</w:t>
            </w:r>
          </w:p>
        </w:tc>
        <w:tc>
          <w:tcPr>
            <w:tcW w:w="635" w:type="pct"/>
            <w:vAlign w:val="center"/>
          </w:tcPr>
          <w:p w14:paraId="25C86A5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3.8065</w:t>
            </w:r>
          </w:p>
        </w:tc>
        <w:tc>
          <w:tcPr>
            <w:tcW w:w="480" w:type="pct"/>
            <w:vAlign w:val="center"/>
          </w:tcPr>
          <w:p w14:paraId="14A55A5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0.07</w:t>
            </w:r>
          </w:p>
        </w:tc>
        <w:tc>
          <w:tcPr>
            <w:tcW w:w="635" w:type="pct"/>
            <w:vAlign w:val="center"/>
          </w:tcPr>
          <w:p w14:paraId="2A2EBC1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0.2590</w:t>
            </w:r>
          </w:p>
        </w:tc>
        <w:tc>
          <w:tcPr>
            <w:tcW w:w="479" w:type="pct"/>
            <w:vAlign w:val="center"/>
          </w:tcPr>
          <w:p w14:paraId="45E4C6F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0.13</w:t>
            </w:r>
          </w:p>
        </w:tc>
        <w:tc>
          <w:tcPr>
            <w:tcW w:w="635" w:type="pct"/>
            <w:vAlign w:val="center"/>
          </w:tcPr>
          <w:p w14:paraId="58D61CB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0.0043</w:t>
            </w:r>
          </w:p>
        </w:tc>
        <w:tc>
          <w:tcPr>
            <w:tcW w:w="478" w:type="pct"/>
            <w:vAlign w:val="center"/>
          </w:tcPr>
          <w:p w14:paraId="707DFEF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0.04</w:t>
            </w:r>
          </w:p>
        </w:tc>
      </w:tr>
      <w:tr w14:paraId="75D626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jc w:val="center"/>
        </w:trPr>
        <w:tc>
          <w:tcPr>
            <w:tcW w:w="499" w:type="pct"/>
            <w:vAlign w:val="center"/>
          </w:tcPr>
          <w:p w14:paraId="0EBB201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1800.0</w:t>
            </w:r>
          </w:p>
        </w:tc>
        <w:tc>
          <w:tcPr>
            <w:tcW w:w="646" w:type="pct"/>
            <w:vAlign w:val="center"/>
          </w:tcPr>
          <w:p w14:paraId="3BCA1D7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3.4540</w:t>
            </w:r>
          </w:p>
        </w:tc>
        <w:tc>
          <w:tcPr>
            <w:tcW w:w="515" w:type="pct"/>
            <w:vAlign w:val="center"/>
          </w:tcPr>
          <w:p w14:paraId="53D950A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0.17</w:t>
            </w:r>
          </w:p>
        </w:tc>
        <w:tc>
          <w:tcPr>
            <w:tcW w:w="635" w:type="pct"/>
            <w:vAlign w:val="center"/>
          </w:tcPr>
          <w:p w14:paraId="52F7B1C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3.4540</w:t>
            </w:r>
          </w:p>
        </w:tc>
        <w:tc>
          <w:tcPr>
            <w:tcW w:w="480" w:type="pct"/>
            <w:vAlign w:val="center"/>
          </w:tcPr>
          <w:p w14:paraId="036C892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0.06</w:t>
            </w:r>
          </w:p>
        </w:tc>
        <w:tc>
          <w:tcPr>
            <w:tcW w:w="635" w:type="pct"/>
            <w:vAlign w:val="center"/>
          </w:tcPr>
          <w:p w14:paraId="56A4B4E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0.2350</w:t>
            </w:r>
          </w:p>
        </w:tc>
        <w:tc>
          <w:tcPr>
            <w:tcW w:w="479" w:type="pct"/>
            <w:vAlign w:val="center"/>
          </w:tcPr>
          <w:p w14:paraId="4F633D7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0.12</w:t>
            </w:r>
          </w:p>
        </w:tc>
        <w:tc>
          <w:tcPr>
            <w:tcW w:w="635" w:type="pct"/>
            <w:vAlign w:val="center"/>
          </w:tcPr>
          <w:p w14:paraId="3C14541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0.0039</w:t>
            </w:r>
          </w:p>
        </w:tc>
        <w:tc>
          <w:tcPr>
            <w:tcW w:w="478" w:type="pct"/>
            <w:vAlign w:val="center"/>
          </w:tcPr>
          <w:p w14:paraId="5004490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0.04</w:t>
            </w:r>
          </w:p>
        </w:tc>
      </w:tr>
      <w:tr w14:paraId="658B0C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jc w:val="center"/>
        </w:trPr>
        <w:tc>
          <w:tcPr>
            <w:tcW w:w="499" w:type="pct"/>
            <w:vAlign w:val="center"/>
          </w:tcPr>
          <w:p w14:paraId="338E446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2000.0</w:t>
            </w:r>
          </w:p>
        </w:tc>
        <w:tc>
          <w:tcPr>
            <w:tcW w:w="646" w:type="pct"/>
            <w:vAlign w:val="center"/>
          </w:tcPr>
          <w:p w14:paraId="73E3CF0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3.1619</w:t>
            </w:r>
          </w:p>
        </w:tc>
        <w:tc>
          <w:tcPr>
            <w:tcW w:w="515" w:type="pct"/>
            <w:vAlign w:val="center"/>
          </w:tcPr>
          <w:p w14:paraId="058B348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0.16</w:t>
            </w:r>
          </w:p>
        </w:tc>
        <w:tc>
          <w:tcPr>
            <w:tcW w:w="635" w:type="pct"/>
            <w:vAlign w:val="center"/>
          </w:tcPr>
          <w:p w14:paraId="486B4DB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3.1619</w:t>
            </w:r>
          </w:p>
        </w:tc>
        <w:tc>
          <w:tcPr>
            <w:tcW w:w="480" w:type="pct"/>
            <w:vAlign w:val="center"/>
          </w:tcPr>
          <w:p w14:paraId="5790B56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0.06</w:t>
            </w:r>
          </w:p>
        </w:tc>
        <w:tc>
          <w:tcPr>
            <w:tcW w:w="635" w:type="pct"/>
            <w:vAlign w:val="center"/>
          </w:tcPr>
          <w:p w14:paraId="5FC953A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0.2151</w:t>
            </w:r>
          </w:p>
        </w:tc>
        <w:tc>
          <w:tcPr>
            <w:tcW w:w="479" w:type="pct"/>
            <w:vAlign w:val="center"/>
          </w:tcPr>
          <w:p w14:paraId="299A03A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0.11</w:t>
            </w:r>
          </w:p>
        </w:tc>
        <w:tc>
          <w:tcPr>
            <w:tcW w:w="635" w:type="pct"/>
            <w:vAlign w:val="center"/>
          </w:tcPr>
          <w:p w14:paraId="2A2CBF7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0.0036</w:t>
            </w:r>
          </w:p>
        </w:tc>
        <w:tc>
          <w:tcPr>
            <w:tcW w:w="478" w:type="pct"/>
            <w:vAlign w:val="center"/>
          </w:tcPr>
          <w:p w14:paraId="6503E7C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0.04</w:t>
            </w:r>
          </w:p>
        </w:tc>
      </w:tr>
      <w:tr w14:paraId="5AAA1D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jc w:val="center"/>
        </w:trPr>
        <w:tc>
          <w:tcPr>
            <w:tcW w:w="499" w:type="pct"/>
            <w:vAlign w:val="center"/>
          </w:tcPr>
          <w:p w14:paraId="226D4D8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2500.0</w:t>
            </w:r>
          </w:p>
        </w:tc>
        <w:tc>
          <w:tcPr>
            <w:tcW w:w="646" w:type="pct"/>
            <w:vAlign w:val="center"/>
          </w:tcPr>
          <w:p w14:paraId="5644C2E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2.6002</w:t>
            </w:r>
          </w:p>
        </w:tc>
        <w:tc>
          <w:tcPr>
            <w:tcW w:w="515" w:type="pct"/>
            <w:vAlign w:val="center"/>
          </w:tcPr>
          <w:p w14:paraId="26F6305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0.13</w:t>
            </w:r>
          </w:p>
        </w:tc>
        <w:tc>
          <w:tcPr>
            <w:tcW w:w="635" w:type="pct"/>
            <w:vAlign w:val="center"/>
          </w:tcPr>
          <w:p w14:paraId="4DA8A52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2.6002</w:t>
            </w:r>
          </w:p>
        </w:tc>
        <w:tc>
          <w:tcPr>
            <w:tcW w:w="480" w:type="pct"/>
            <w:vAlign w:val="center"/>
          </w:tcPr>
          <w:p w14:paraId="59D4FAE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0.05</w:t>
            </w:r>
          </w:p>
        </w:tc>
        <w:tc>
          <w:tcPr>
            <w:tcW w:w="635" w:type="pct"/>
            <w:vAlign w:val="center"/>
          </w:tcPr>
          <w:p w14:paraId="63F3366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0.1769</w:t>
            </w:r>
          </w:p>
        </w:tc>
        <w:tc>
          <w:tcPr>
            <w:tcW w:w="479" w:type="pct"/>
            <w:vAlign w:val="center"/>
          </w:tcPr>
          <w:p w14:paraId="59C680E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0.09</w:t>
            </w:r>
          </w:p>
        </w:tc>
        <w:tc>
          <w:tcPr>
            <w:tcW w:w="635" w:type="pct"/>
            <w:vAlign w:val="center"/>
          </w:tcPr>
          <w:p w14:paraId="416A045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0.0030</w:t>
            </w:r>
          </w:p>
        </w:tc>
        <w:tc>
          <w:tcPr>
            <w:tcW w:w="478" w:type="pct"/>
            <w:vAlign w:val="center"/>
          </w:tcPr>
          <w:p w14:paraId="320A2DE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0.03</w:t>
            </w:r>
          </w:p>
        </w:tc>
      </w:tr>
      <w:tr w14:paraId="3DCD322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jc w:val="center"/>
        </w:trPr>
        <w:tc>
          <w:tcPr>
            <w:tcW w:w="499" w:type="pct"/>
            <w:vAlign w:val="center"/>
          </w:tcPr>
          <w:p w14:paraId="0D42EE8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下风向最大浓度</w:t>
            </w:r>
          </w:p>
        </w:tc>
        <w:tc>
          <w:tcPr>
            <w:tcW w:w="646" w:type="pct"/>
            <w:vAlign w:val="center"/>
          </w:tcPr>
          <w:p w14:paraId="5BC4AE2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10.5789</w:t>
            </w:r>
          </w:p>
        </w:tc>
        <w:tc>
          <w:tcPr>
            <w:tcW w:w="515" w:type="pct"/>
            <w:vAlign w:val="center"/>
          </w:tcPr>
          <w:p w14:paraId="23598EC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0.53</w:t>
            </w:r>
          </w:p>
        </w:tc>
        <w:tc>
          <w:tcPr>
            <w:tcW w:w="635" w:type="pct"/>
            <w:vAlign w:val="center"/>
          </w:tcPr>
          <w:p w14:paraId="3DC6E06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10.5789</w:t>
            </w:r>
          </w:p>
        </w:tc>
        <w:tc>
          <w:tcPr>
            <w:tcW w:w="480" w:type="pct"/>
            <w:vAlign w:val="center"/>
          </w:tcPr>
          <w:p w14:paraId="119C8CA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0.21</w:t>
            </w:r>
          </w:p>
        </w:tc>
        <w:tc>
          <w:tcPr>
            <w:tcW w:w="635" w:type="pct"/>
            <w:vAlign w:val="center"/>
          </w:tcPr>
          <w:p w14:paraId="7D4E810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0.7197</w:t>
            </w:r>
          </w:p>
        </w:tc>
        <w:tc>
          <w:tcPr>
            <w:tcW w:w="479" w:type="pct"/>
            <w:vAlign w:val="center"/>
          </w:tcPr>
          <w:p w14:paraId="425F765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0.36</w:t>
            </w:r>
          </w:p>
        </w:tc>
        <w:tc>
          <w:tcPr>
            <w:tcW w:w="635" w:type="pct"/>
            <w:vAlign w:val="center"/>
          </w:tcPr>
          <w:p w14:paraId="07A5B71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0.0120</w:t>
            </w:r>
          </w:p>
        </w:tc>
        <w:tc>
          <w:tcPr>
            <w:tcW w:w="478" w:type="pct"/>
            <w:vAlign w:val="center"/>
          </w:tcPr>
          <w:p w14:paraId="0D66310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0.12</w:t>
            </w:r>
          </w:p>
        </w:tc>
      </w:tr>
      <w:tr w14:paraId="475457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jc w:val="center"/>
        </w:trPr>
        <w:tc>
          <w:tcPr>
            <w:tcW w:w="499" w:type="pct"/>
            <w:vAlign w:val="center"/>
          </w:tcPr>
          <w:p w14:paraId="067547E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下风向最大浓度</w:t>
            </w:r>
          </w:p>
          <w:p w14:paraId="04098DD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出现距离</w:t>
            </w:r>
          </w:p>
        </w:tc>
        <w:tc>
          <w:tcPr>
            <w:tcW w:w="646" w:type="pct"/>
            <w:vAlign w:val="center"/>
          </w:tcPr>
          <w:p w14:paraId="7D93F14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47.0</w:t>
            </w:r>
          </w:p>
        </w:tc>
        <w:tc>
          <w:tcPr>
            <w:tcW w:w="515" w:type="pct"/>
            <w:vAlign w:val="center"/>
          </w:tcPr>
          <w:p w14:paraId="2F9C587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47.0</w:t>
            </w:r>
          </w:p>
        </w:tc>
        <w:tc>
          <w:tcPr>
            <w:tcW w:w="635" w:type="pct"/>
            <w:vAlign w:val="center"/>
          </w:tcPr>
          <w:p w14:paraId="1BFB544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47.0</w:t>
            </w:r>
          </w:p>
        </w:tc>
        <w:tc>
          <w:tcPr>
            <w:tcW w:w="480" w:type="pct"/>
            <w:vAlign w:val="center"/>
          </w:tcPr>
          <w:p w14:paraId="13DE043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45.0</w:t>
            </w:r>
          </w:p>
        </w:tc>
        <w:tc>
          <w:tcPr>
            <w:tcW w:w="635" w:type="pct"/>
            <w:vAlign w:val="center"/>
          </w:tcPr>
          <w:p w14:paraId="38742D7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47.0</w:t>
            </w:r>
          </w:p>
        </w:tc>
        <w:tc>
          <w:tcPr>
            <w:tcW w:w="479" w:type="pct"/>
            <w:vAlign w:val="center"/>
          </w:tcPr>
          <w:p w14:paraId="18E2826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47.0</w:t>
            </w:r>
          </w:p>
        </w:tc>
        <w:tc>
          <w:tcPr>
            <w:tcW w:w="635" w:type="pct"/>
            <w:vAlign w:val="center"/>
          </w:tcPr>
          <w:p w14:paraId="13F9B91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47.0</w:t>
            </w:r>
          </w:p>
        </w:tc>
        <w:tc>
          <w:tcPr>
            <w:tcW w:w="478" w:type="pct"/>
            <w:vAlign w:val="center"/>
          </w:tcPr>
          <w:p w14:paraId="24DE416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47.0</w:t>
            </w:r>
          </w:p>
        </w:tc>
      </w:tr>
      <w:tr w14:paraId="4DE263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jc w:val="center"/>
        </w:trPr>
        <w:tc>
          <w:tcPr>
            <w:tcW w:w="499" w:type="pct"/>
            <w:vAlign w:val="center"/>
          </w:tcPr>
          <w:p w14:paraId="09A2E3C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D10%最远距离</w:t>
            </w:r>
          </w:p>
        </w:tc>
        <w:tc>
          <w:tcPr>
            <w:tcW w:w="646" w:type="pct"/>
            <w:vAlign w:val="center"/>
          </w:tcPr>
          <w:p w14:paraId="4907FF8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w:t>
            </w:r>
          </w:p>
        </w:tc>
        <w:tc>
          <w:tcPr>
            <w:tcW w:w="515" w:type="pct"/>
            <w:vAlign w:val="center"/>
          </w:tcPr>
          <w:p w14:paraId="52E2185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w:t>
            </w:r>
          </w:p>
        </w:tc>
        <w:tc>
          <w:tcPr>
            <w:tcW w:w="635" w:type="pct"/>
            <w:vAlign w:val="center"/>
          </w:tcPr>
          <w:p w14:paraId="46CD5E1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w:t>
            </w:r>
          </w:p>
        </w:tc>
        <w:tc>
          <w:tcPr>
            <w:tcW w:w="480" w:type="pct"/>
            <w:vAlign w:val="center"/>
          </w:tcPr>
          <w:p w14:paraId="4FA0261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w:t>
            </w:r>
          </w:p>
        </w:tc>
        <w:tc>
          <w:tcPr>
            <w:tcW w:w="635" w:type="pct"/>
            <w:vAlign w:val="center"/>
          </w:tcPr>
          <w:p w14:paraId="0C4C179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w:t>
            </w:r>
          </w:p>
        </w:tc>
        <w:tc>
          <w:tcPr>
            <w:tcW w:w="479" w:type="pct"/>
            <w:vAlign w:val="center"/>
          </w:tcPr>
          <w:p w14:paraId="6ACB783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w:t>
            </w:r>
          </w:p>
        </w:tc>
        <w:tc>
          <w:tcPr>
            <w:tcW w:w="635" w:type="pct"/>
            <w:vAlign w:val="center"/>
          </w:tcPr>
          <w:p w14:paraId="64C8A1B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w:t>
            </w:r>
          </w:p>
        </w:tc>
        <w:tc>
          <w:tcPr>
            <w:tcW w:w="478" w:type="pct"/>
            <w:vAlign w:val="center"/>
          </w:tcPr>
          <w:p w14:paraId="2293AF3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w:t>
            </w:r>
          </w:p>
        </w:tc>
      </w:tr>
    </w:tbl>
    <w:p w14:paraId="7C952791">
      <w:pPr>
        <w:pStyle w:val="11"/>
      </w:pPr>
      <w:r>
        <w:rPr>
          <w:rFonts w:hint="eastAsia"/>
        </w:rPr>
        <w:t xml:space="preserve"> DA002估算结果一览表</w:t>
      </w:r>
    </w:p>
    <w:tbl>
      <w:tblPr>
        <w:tblStyle w:val="30"/>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71"/>
        <w:gridCol w:w="1429"/>
        <w:gridCol w:w="1153"/>
        <w:gridCol w:w="1457"/>
        <w:gridCol w:w="1181"/>
        <w:gridCol w:w="1462"/>
        <w:gridCol w:w="1189"/>
      </w:tblGrid>
      <w:tr w14:paraId="40AB90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397" w:hRule="atLeast"/>
          <w:tblHeader/>
        </w:trPr>
        <w:tc>
          <w:tcPr>
            <w:tcW w:w="742" w:type="pct"/>
            <w:vMerge w:val="restart"/>
            <w:vAlign w:val="center"/>
          </w:tcPr>
          <w:p w14:paraId="21E8E71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下风向距离</w:t>
            </w:r>
          </w:p>
        </w:tc>
        <w:tc>
          <w:tcPr>
            <w:tcW w:w="4258" w:type="pct"/>
            <w:gridSpan w:val="6"/>
            <w:vAlign w:val="center"/>
          </w:tcPr>
          <w:p w14:paraId="7EF60F0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DA00</w:t>
            </w:r>
            <w:r>
              <w:rPr>
                <w:rFonts w:hint="eastAsia"/>
                <w:color w:val="0D0D0D" w:themeColor="text1" w:themeTint="F2"/>
                <w:sz w:val="21"/>
                <w:szCs w:val="21"/>
                <w:u w:val="single"/>
                <w14:textFill>
                  <w14:solidFill>
                    <w14:schemeClr w14:val="tx1">
                      <w14:lumMod w14:val="95000"/>
                      <w14:lumOff w14:val="5000"/>
                    </w14:schemeClr>
                  </w14:solidFill>
                </w14:textFill>
              </w:rPr>
              <w:t>2</w:t>
            </w:r>
          </w:p>
        </w:tc>
      </w:tr>
      <w:tr w14:paraId="04220F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blHeader/>
        </w:trPr>
        <w:tc>
          <w:tcPr>
            <w:tcW w:w="742" w:type="pct"/>
            <w:vMerge w:val="continue"/>
            <w:vAlign w:val="center"/>
          </w:tcPr>
          <w:p w14:paraId="10C617E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73" w:type="pct"/>
            <w:vAlign w:val="center"/>
          </w:tcPr>
          <w:p w14:paraId="1A8F32A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SO</w:t>
            </w:r>
            <w:r>
              <w:rPr>
                <w:color w:val="0D0D0D" w:themeColor="text1" w:themeTint="F2"/>
                <w:sz w:val="21"/>
                <w:szCs w:val="21"/>
                <w:u w:val="single"/>
                <w:vertAlign w:val="subscript"/>
                <w14:textFill>
                  <w14:solidFill>
                    <w14:schemeClr w14:val="tx1">
                      <w14:lumMod w14:val="95000"/>
                      <w14:lumOff w14:val="5000"/>
                    </w14:schemeClr>
                  </w14:solidFill>
                </w14:textFill>
              </w:rPr>
              <w:t>2</w:t>
            </w:r>
            <w:r>
              <w:rPr>
                <w:color w:val="0D0D0D" w:themeColor="text1" w:themeTint="F2"/>
                <w:sz w:val="21"/>
                <w:szCs w:val="21"/>
                <w:u w:val="single"/>
                <w14:textFill>
                  <w14:solidFill>
                    <w14:schemeClr w14:val="tx1">
                      <w14:lumMod w14:val="95000"/>
                      <w14:lumOff w14:val="5000"/>
                    </w14:schemeClr>
                  </w14:solidFill>
                </w14:textFill>
              </w:rPr>
              <w:t>浓度</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μg/m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624" w:type="pct"/>
            <w:vAlign w:val="center"/>
          </w:tcPr>
          <w:p w14:paraId="0296628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SO</w:t>
            </w:r>
            <w:r>
              <w:rPr>
                <w:color w:val="0D0D0D" w:themeColor="text1" w:themeTint="F2"/>
                <w:sz w:val="21"/>
                <w:szCs w:val="21"/>
                <w:u w:val="single"/>
                <w:vertAlign w:val="subscript"/>
                <w14:textFill>
                  <w14:solidFill>
                    <w14:schemeClr w14:val="tx1">
                      <w14:lumMod w14:val="95000"/>
                      <w14:lumOff w14:val="5000"/>
                    </w14:schemeClr>
                  </w14:solidFill>
                </w14:textFill>
              </w:rPr>
              <w:t>2</w:t>
            </w:r>
            <w:r>
              <w:rPr>
                <w:color w:val="0D0D0D" w:themeColor="text1" w:themeTint="F2"/>
                <w:sz w:val="21"/>
                <w:szCs w:val="21"/>
                <w:u w:val="single"/>
                <w14:textFill>
                  <w14:solidFill>
                    <w14:schemeClr w14:val="tx1">
                      <w14:lumMod w14:val="95000"/>
                      <w14:lumOff w14:val="5000"/>
                    </w14:schemeClr>
                  </w14:solidFill>
                </w14:textFill>
              </w:rPr>
              <w:t>占标率</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788" w:type="pct"/>
            <w:vAlign w:val="center"/>
          </w:tcPr>
          <w:p w14:paraId="5E4E50D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NOx浓度</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μg/m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639" w:type="pct"/>
            <w:vAlign w:val="center"/>
          </w:tcPr>
          <w:p w14:paraId="7D80681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NOx占标率</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791" w:type="pct"/>
            <w:vAlign w:val="center"/>
          </w:tcPr>
          <w:p w14:paraId="4225B08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PM</w:t>
            </w:r>
            <w:r>
              <w:rPr>
                <w:color w:val="0D0D0D" w:themeColor="text1" w:themeTint="F2"/>
                <w:sz w:val="21"/>
                <w:szCs w:val="21"/>
                <w:u w:val="single"/>
                <w:vertAlign w:val="subscript"/>
                <w14:textFill>
                  <w14:solidFill>
                    <w14:schemeClr w14:val="tx1">
                      <w14:lumMod w14:val="95000"/>
                      <w14:lumOff w14:val="5000"/>
                    </w14:schemeClr>
                  </w14:solidFill>
                </w14:textFill>
              </w:rPr>
              <w:t>10</w:t>
            </w:r>
            <w:r>
              <w:rPr>
                <w:color w:val="0D0D0D" w:themeColor="text1" w:themeTint="F2"/>
                <w:sz w:val="21"/>
                <w:szCs w:val="21"/>
                <w:u w:val="single"/>
                <w14:textFill>
                  <w14:solidFill>
                    <w14:schemeClr w14:val="tx1">
                      <w14:lumMod w14:val="95000"/>
                      <w14:lumOff w14:val="5000"/>
                    </w14:schemeClr>
                  </w14:solidFill>
                </w14:textFill>
              </w:rPr>
              <w:t>浓度</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μg/m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643" w:type="pct"/>
            <w:vAlign w:val="center"/>
          </w:tcPr>
          <w:p w14:paraId="3AF27FE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PM</w:t>
            </w:r>
            <w:r>
              <w:rPr>
                <w:color w:val="0D0D0D" w:themeColor="text1" w:themeTint="F2"/>
                <w:sz w:val="21"/>
                <w:szCs w:val="21"/>
                <w:u w:val="single"/>
                <w:vertAlign w:val="subscript"/>
                <w14:textFill>
                  <w14:solidFill>
                    <w14:schemeClr w14:val="tx1">
                      <w14:lumMod w14:val="95000"/>
                      <w14:lumOff w14:val="5000"/>
                    </w14:schemeClr>
                  </w14:solidFill>
                </w14:textFill>
              </w:rPr>
              <w:t>10</w:t>
            </w:r>
            <w:r>
              <w:rPr>
                <w:color w:val="0D0D0D" w:themeColor="text1" w:themeTint="F2"/>
                <w:sz w:val="21"/>
                <w:szCs w:val="21"/>
                <w:u w:val="single"/>
                <w14:textFill>
                  <w14:solidFill>
                    <w14:schemeClr w14:val="tx1">
                      <w14:lumMod w14:val="95000"/>
                      <w14:lumOff w14:val="5000"/>
                    </w14:schemeClr>
                  </w14:solidFill>
                </w14:textFill>
              </w:rPr>
              <w:t>占标率</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w:t>
            </w:r>
            <w:r>
              <w:rPr>
                <w:rFonts w:hint="eastAsia"/>
                <w:color w:val="0D0D0D" w:themeColor="text1" w:themeTint="F2"/>
                <w:sz w:val="21"/>
                <w:szCs w:val="21"/>
                <w:u w:val="single"/>
                <w14:textFill>
                  <w14:solidFill>
                    <w14:schemeClr w14:val="tx1">
                      <w14:lumMod w14:val="95000"/>
                      <w14:lumOff w14:val="5000"/>
                    </w14:schemeClr>
                  </w14:solidFill>
                </w14:textFill>
              </w:rPr>
              <w:t>）</w:t>
            </w:r>
          </w:p>
        </w:tc>
      </w:tr>
      <w:tr w14:paraId="5A346B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42" w:type="pct"/>
            <w:vAlign w:val="center"/>
          </w:tcPr>
          <w:p w14:paraId="29B66CC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50.0</w:t>
            </w:r>
          </w:p>
        </w:tc>
        <w:tc>
          <w:tcPr>
            <w:tcW w:w="773" w:type="pct"/>
            <w:vAlign w:val="center"/>
          </w:tcPr>
          <w:p w14:paraId="567850F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0.8958</w:t>
            </w:r>
          </w:p>
        </w:tc>
        <w:tc>
          <w:tcPr>
            <w:tcW w:w="624" w:type="pct"/>
            <w:vAlign w:val="center"/>
          </w:tcPr>
          <w:p w14:paraId="60C69D1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0.18</w:t>
            </w:r>
          </w:p>
        </w:tc>
        <w:tc>
          <w:tcPr>
            <w:tcW w:w="788" w:type="pct"/>
            <w:vAlign w:val="center"/>
          </w:tcPr>
          <w:p w14:paraId="3E85969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20.0186</w:t>
            </w:r>
          </w:p>
        </w:tc>
        <w:tc>
          <w:tcPr>
            <w:tcW w:w="639" w:type="pct"/>
            <w:vAlign w:val="center"/>
          </w:tcPr>
          <w:p w14:paraId="25EF9FF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8.01</w:t>
            </w:r>
          </w:p>
        </w:tc>
        <w:tc>
          <w:tcPr>
            <w:tcW w:w="791" w:type="pct"/>
            <w:vAlign w:val="center"/>
          </w:tcPr>
          <w:p w14:paraId="74D775A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1.0351</w:t>
            </w:r>
          </w:p>
        </w:tc>
        <w:tc>
          <w:tcPr>
            <w:tcW w:w="643" w:type="pct"/>
            <w:vAlign w:val="center"/>
          </w:tcPr>
          <w:p w14:paraId="08CA769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0.23</w:t>
            </w:r>
          </w:p>
        </w:tc>
      </w:tr>
      <w:tr w14:paraId="63DABD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42" w:type="pct"/>
            <w:vAlign w:val="center"/>
          </w:tcPr>
          <w:p w14:paraId="2815957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100.0</w:t>
            </w:r>
          </w:p>
        </w:tc>
        <w:tc>
          <w:tcPr>
            <w:tcW w:w="773" w:type="pct"/>
            <w:vAlign w:val="center"/>
          </w:tcPr>
          <w:p w14:paraId="5F14AAD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0.6075</w:t>
            </w:r>
          </w:p>
        </w:tc>
        <w:tc>
          <w:tcPr>
            <w:tcW w:w="624" w:type="pct"/>
            <w:vAlign w:val="center"/>
          </w:tcPr>
          <w:p w14:paraId="36EB9A9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0.12</w:t>
            </w:r>
          </w:p>
        </w:tc>
        <w:tc>
          <w:tcPr>
            <w:tcW w:w="788" w:type="pct"/>
            <w:vAlign w:val="center"/>
          </w:tcPr>
          <w:p w14:paraId="079605B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13.5771</w:t>
            </w:r>
          </w:p>
        </w:tc>
        <w:tc>
          <w:tcPr>
            <w:tcW w:w="639" w:type="pct"/>
            <w:vAlign w:val="center"/>
          </w:tcPr>
          <w:p w14:paraId="21672C0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5.43</w:t>
            </w:r>
          </w:p>
        </w:tc>
        <w:tc>
          <w:tcPr>
            <w:tcW w:w="791" w:type="pct"/>
            <w:vAlign w:val="center"/>
          </w:tcPr>
          <w:p w14:paraId="0E10F8D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0.7020</w:t>
            </w:r>
          </w:p>
        </w:tc>
        <w:tc>
          <w:tcPr>
            <w:tcW w:w="643" w:type="pct"/>
            <w:vAlign w:val="center"/>
          </w:tcPr>
          <w:p w14:paraId="3C27F47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0.16</w:t>
            </w:r>
          </w:p>
        </w:tc>
      </w:tr>
      <w:tr w14:paraId="10CF78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42" w:type="pct"/>
            <w:vAlign w:val="center"/>
          </w:tcPr>
          <w:p w14:paraId="5992345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200.0</w:t>
            </w:r>
          </w:p>
        </w:tc>
        <w:tc>
          <w:tcPr>
            <w:tcW w:w="773" w:type="pct"/>
            <w:vAlign w:val="center"/>
          </w:tcPr>
          <w:p w14:paraId="58EEF16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0.5513</w:t>
            </w:r>
          </w:p>
        </w:tc>
        <w:tc>
          <w:tcPr>
            <w:tcW w:w="624" w:type="pct"/>
            <w:vAlign w:val="center"/>
          </w:tcPr>
          <w:p w14:paraId="61AFE9A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0.11</w:t>
            </w:r>
          </w:p>
        </w:tc>
        <w:tc>
          <w:tcPr>
            <w:tcW w:w="788" w:type="pct"/>
            <w:vAlign w:val="center"/>
          </w:tcPr>
          <w:p w14:paraId="34A3F22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12.3200</w:t>
            </w:r>
          </w:p>
        </w:tc>
        <w:tc>
          <w:tcPr>
            <w:tcW w:w="639" w:type="pct"/>
            <w:vAlign w:val="center"/>
          </w:tcPr>
          <w:p w14:paraId="108DA26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4.93</w:t>
            </w:r>
          </w:p>
        </w:tc>
        <w:tc>
          <w:tcPr>
            <w:tcW w:w="791" w:type="pct"/>
            <w:vAlign w:val="center"/>
          </w:tcPr>
          <w:p w14:paraId="249B1F6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0.6370</w:t>
            </w:r>
          </w:p>
        </w:tc>
        <w:tc>
          <w:tcPr>
            <w:tcW w:w="643" w:type="pct"/>
            <w:vAlign w:val="center"/>
          </w:tcPr>
          <w:p w14:paraId="6E10AD2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0.14</w:t>
            </w:r>
          </w:p>
        </w:tc>
      </w:tr>
      <w:tr w14:paraId="65B078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42" w:type="pct"/>
            <w:vAlign w:val="center"/>
          </w:tcPr>
          <w:p w14:paraId="025CFCC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300.0</w:t>
            </w:r>
          </w:p>
        </w:tc>
        <w:tc>
          <w:tcPr>
            <w:tcW w:w="773" w:type="pct"/>
            <w:vAlign w:val="center"/>
          </w:tcPr>
          <w:p w14:paraId="4459F1C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0.4124</w:t>
            </w:r>
          </w:p>
        </w:tc>
        <w:tc>
          <w:tcPr>
            <w:tcW w:w="624" w:type="pct"/>
            <w:vAlign w:val="center"/>
          </w:tcPr>
          <w:p w14:paraId="499D1B7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0.08</w:t>
            </w:r>
          </w:p>
        </w:tc>
        <w:tc>
          <w:tcPr>
            <w:tcW w:w="788" w:type="pct"/>
            <w:vAlign w:val="center"/>
          </w:tcPr>
          <w:p w14:paraId="2B33693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9.2165</w:t>
            </w:r>
          </w:p>
        </w:tc>
        <w:tc>
          <w:tcPr>
            <w:tcW w:w="639" w:type="pct"/>
            <w:vAlign w:val="center"/>
          </w:tcPr>
          <w:p w14:paraId="6E592E2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3.69</w:t>
            </w:r>
          </w:p>
        </w:tc>
        <w:tc>
          <w:tcPr>
            <w:tcW w:w="791" w:type="pct"/>
            <w:vAlign w:val="center"/>
          </w:tcPr>
          <w:p w14:paraId="6E4CD56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0.4766</w:t>
            </w:r>
          </w:p>
        </w:tc>
        <w:tc>
          <w:tcPr>
            <w:tcW w:w="643" w:type="pct"/>
            <w:vAlign w:val="center"/>
          </w:tcPr>
          <w:p w14:paraId="14A3A9A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0.11</w:t>
            </w:r>
          </w:p>
        </w:tc>
      </w:tr>
      <w:tr w14:paraId="1CF428E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42" w:type="pct"/>
            <w:vAlign w:val="center"/>
          </w:tcPr>
          <w:p w14:paraId="3E15857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400.0</w:t>
            </w:r>
          </w:p>
        </w:tc>
        <w:tc>
          <w:tcPr>
            <w:tcW w:w="773" w:type="pct"/>
            <w:vAlign w:val="center"/>
          </w:tcPr>
          <w:p w14:paraId="5AAD072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0.5564</w:t>
            </w:r>
          </w:p>
        </w:tc>
        <w:tc>
          <w:tcPr>
            <w:tcW w:w="624" w:type="pct"/>
            <w:vAlign w:val="center"/>
          </w:tcPr>
          <w:p w14:paraId="3AF871D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0.11</w:t>
            </w:r>
          </w:p>
        </w:tc>
        <w:tc>
          <w:tcPr>
            <w:tcW w:w="788" w:type="pct"/>
            <w:vAlign w:val="center"/>
          </w:tcPr>
          <w:p w14:paraId="6833CC3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12.4341</w:t>
            </w:r>
          </w:p>
        </w:tc>
        <w:tc>
          <w:tcPr>
            <w:tcW w:w="639" w:type="pct"/>
            <w:vAlign w:val="center"/>
          </w:tcPr>
          <w:p w14:paraId="262E8A5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4.97</w:t>
            </w:r>
          </w:p>
        </w:tc>
        <w:tc>
          <w:tcPr>
            <w:tcW w:w="791" w:type="pct"/>
            <w:vAlign w:val="center"/>
          </w:tcPr>
          <w:p w14:paraId="627EDB9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0.6429</w:t>
            </w:r>
          </w:p>
        </w:tc>
        <w:tc>
          <w:tcPr>
            <w:tcW w:w="643" w:type="pct"/>
            <w:vAlign w:val="center"/>
          </w:tcPr>
          <w:p w14:paraId="37BB067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0.14</w:t>
            </w:r>
          </w:p>
        </w:tc>
      </w:tr>
      <w:tr w14:paraId="6B25CE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42" w:type="pct"/>
            <w:vAlign w:val="center"/>
          </w:tcPr>
          <w:p w14:paraId="5DD1CA5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500.0</w:t>
            </w:r>
          </w:p>
        </w:tc>
        <w:tc>
          <w:tcPr>
            <w:tcW w:w="773" w:type="pct"/>
            <w:vAlign w:val="center"/>
          </w:tcPr>
          <w:p w14:paraId="544C035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0.6134</w:t>
            </w:r>
          </w:p>
        </w:tc>
        <w:tc>
          <w:tcPr>
            <w:tcW w:w="624" w:type="pct"/>
            <w:vAlign w:val="center"/>
          </w:tcPr>
          <w:p w14:paraId="0329AA2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0.12</w:t>
            </w:r>
          </w:p>
        </w:tc>
        <w:tc>
          <w:tcPr>
            <w:tcW w:w="788" w:type="pct"/>
            <w:vAlign w:val="center"/>
          </w:tcPr>
          <w:p w14:paraId="707169D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13.7076</w:t>
            </w:r>
          </w:p>
        </w:tc>
        <w:tc>
          <w:tcPr>
            <w:tcW w:w="639" w:type="pct"/>
            <w:vAlign w:val="center"/>
          </w:tcPr>
          <w:p w14:paraId="49F553F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5.48</w:t>
            </w:r>
          </w:p>
        </w:tc>
        <w:tc>
          <w:tcPr>
            <w:tcW w:w="791" w:type="pct"/>
            <w:vAlign w:val="center"/>
          </w:tcPr>
          <w:p w14:paraId="63A3F26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0.7088</w:t>
            </w:r>
          </w:p>
        </w:tc>
        <w:tc>
          <w:tcPr>
            <w:tcW w:w="643" w:type="pct"/>
            <w:vAlign w:val="center"/>
          </w:tcPr>
          <w:p w14:paraId="2396CC3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0.16</w:t>
            </w:r>
          </w:p>
        </w:tc>
      </w:tr>
      <w:tr w14:paraId="0951CA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42" w:type="pct"/>
            <w:vAlign w:val="center"/>
          </w:tcPr>
          <w:p w14:paraId="246EC60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600.0</w:t>
            </w:r>
          </w:p>
        </w:tc>
        <w:tc>
          <w:tcPr>
            <w:tcW w:w="773" w:type="pct"/>
            <w:vAlign w:val="center"/>
          </w:tcPr>
          <w:p w14:paraId="48B0053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0.6223</w:t>
            </w:r>
          </w:p>
        </w:tc>
        <w:tc>
          <w:tcPr>
            <w:tcW w:w="624" w:type="pct"/>
            <w:vAlign w:val="center"/>
          </w:tcPr>
          <w:p w14:paraId="23C5B0F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0.12</w:t>
            </w:r>
          </w:p>
        </w:tc>
        <w:tc>
          <w:tcPr>
            <w:tcW w:w="788" w:type="pct"/>
            <w:vAlign w:val="center"/>
          </w:tcPr>
          <w:p w14:paraId="7222588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13.9076</w:t>
            </w:r>
          </w:p>
        </w:tc>
        <w:tc>
          <w:tcPr>
            <w:tcW w:w="639" w:type="pct"/>
            <w:vAlign w:val="center"/>
          </w:tcPr>
          <w:p w14:paraId="2AAB35B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5.56</w:t>
            </w:r>
          </w:p>
        </w:tc>
        <w:tc>
          <w:tcPr>
            <w:tcW w:w="791" w:type="pct"/>
            <w:vAlign w:val="center"/>
          </w:tcPr>
          <w:p w14:paraId="0538A54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0.7191</w:t>
            </w:r>
          </w:p>
        </w:tc>
        <w:tc>
          <w:tcPr>
            <w:tcW w:w="643" w:type="pct"/>
            <w:vAlign w:val="center"/>
          </w:tcPr>
          <w:p w14:paraId="6929F2B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0.16</w:t>
            </w:r>
          </w:p>
        </w:tc>
      </w:tr>
      <w:tr w14:paraId="6030B41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42" w:type="pct"/>
            <w:vAlign w:val="center"/>
          </w:tcPr>
          <w:p w14:paraId="21D3414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700.0</w:t>
            </w:r>
          </w:p>
        </w:tc>
        <w:tc>
          <w:tcPr>
            <w:tcW w:w="773" w:type="pct"/>
            <w:vAlign w:val="center"/>
          </w:tcPr>
          <w:p w14:paraId="407D4A3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0.6026</w:t>
            </w:r>
          </w:p>
        </w:tc>
        <w:tc>
          <w:tcPr>
            <w:tcW w:w="624" w:type="pct"/>
            <w:vAlign w:val="center"/>
          </w:tcPr>
          <w:p w14:paraId="2195FE7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0.12</w:t>
            </w:r>
          </w:p>
        </w:tc>
        <w:tc>
          <w:tcPr>
            <w:tcW w:w="788" w:type="pct"/>
            <w:vAlign w:val="center"/>
          </w:tcPr>
          <w:p w14:paraId="12511D0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13.4661</w:t>
            </w:r>
          </w:p>
        </w:tc>
        <w:tc>
          <w:tcPr>
            <w:tcW w:w="639" w:type="pct"/>
            <w:vAlign w:val="center"/>
          </w:tcPr>
          <w:p w14:paraId="4CD3C66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5.39</w:t>
            </w:r>
          </w:p>
        </w:tc>
        <w:tc>
          <w:tcPr>
            <w:tcW w:w="791" w:type="pct"/>
            <w:vAlign w:val="center"/>
          </w:tcPr>
          <w:p w14:paraId="736E1E2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0.6963</w:t>
            </w:r>
          </w:p>
        </w:tc>
        <w:tc>
          <w:tcPr>
            <w:tcW w:w="643" w:type="pct"/>
            <w:vAlign w:val="center"/>
          </w:tcPr>
          <w:p w14:paraId="628695E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0.15</w:t>
            </w:r>
          </w:p>
        </w:tc>
      </w:tr>
      <w:tr w14:paraId="6C0DE7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42" w:type="pct"/>
            <w:vAlign w:val="center"/>
          </w:tcPr>
          <w:p w14:paraId="477926D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800.0</w:t>
            </w:r>
          </w:p>
        </w:tc>
        <w:tc>
          <w:tcPr>
            <w:tcW w:w="773" w:type="pct"/>
            <w:vAlign w:val="center"/>
          </w:tcPr>
          <w:p w14:paraId="0DD44CE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0.5727</w:t>
            </w:r>
          </w:p>
        </w:tc>
        <w:tc>
          <w:tcPr>
            <w:tcW w:w="624" w:type="pct"/>
            <w:vAlign w:val="center"/>
          </w:tcPr>
          <w:p w14:paraId="24969C8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0.11</w:t>
            </w:r>
          </w:p>
        </w:tc>
        <w:tc>
          <w:tcPr>
            <w:tcW w:w="788" w:type="pct"/>
            <w:vAlign w:val="center"/>
          </w:tcPr>
          <w:p w14:paraId="410078E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12.7983</w:t>
            </w:r>
          </w:p>
        </w:tc>
        <w:tc>
          <w:tcPr>
            <w:tcW w:w="639" w:type="pct"/>
            <w:vAlign w:val="center"/>
          </w:tcPr>
          <w:p w14:paraId="4A2B322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5.12</w:t>
            </w:r>
          </w:p>
        </w:tc>
        <w:tc>
          <w:tcPr>
            <w:tcW w:w="791" w:type="pct"/>
            <w:vAlign w:val="center"/>
          </w:tcPr>
          <w:p w14:paraId="762FBBC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0.6618</w:t>
            </w:r>
          </w:p>
        </w:tc>
        <w:tc>
          <w:tcPr>
            <w:tcW w:w="643" w:type="pct"/>
            <w:vAlign w:val="center"/>
          </w:tcPr>
          <w:p w14:paraId="2044020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0.15</w:t>
            </w:r>
          </w:p>
        </w:tc>
      </w:tr>
      <w:tr w14:paraId="403B87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42" w:type="pct"/>
            <w:vAlign w:val="center"/>
          </w:tcPr>
          <w:p w14:paraId="6C75607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900.0</w:t>
            </w:r>
          </w:p>
        </w:tc>
        <w:tc>
          <w:tcPr>
            <w:tcW w:w="773" w:type="pct"/>
            <w:vAlign w:val="center"/>
          </w:tcPr>
          <w:p w14:paraId="6E01F9C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0.5426</w:t>
            </w:r>
          </w:p>
        </w:tc>
        <w:tc>
          <w:tcPr>
            <w:tcW w:w="624" w:type="pct"/>
            <w:vAlign w:val="center"/>
          </w:tcPr>
          <w:p w14:paraId="5CD978E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0.11</w:t>
            </w:r>
          </w:p>
        </w:tc>
        <w:tc>
          <w:tcPr>
            <w:tcW w:w="788" w:type="pct"/>
            <w:vAlign w:val="center"/>
          </w:tcPr>
          <w:p w14:paraId="1E0015C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12.1264</w:t>
            </w:r>
          </w:p>
        </w:tc>
        <w:tc>
          <w:tcPr>
            <w:tcW w:w="639" w:type="pct"/>
            <w:vAlign w:val="center"/>
          </w:tcPr>
          <w:p w14:paraId="044F4CC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4.85</w:t>
            </w:r>
          </w:p>
        </w:tc>
        <w:tc>
          <w:tcPr>
            <w:tcW w:w="791" w:type="pct"/>
            <w:vAlign w:val="center"/>
          </w:tcPr>
          <w:p w14:paraId="71423D7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0.6270</w:t>
            </w:r>
          </w:p>
        </w:tc>
        <w:tc>
          <w:tcPr>
            <w:tcW w:w="643" w:type="pct"/>
            <w:vAlign w:val="center"/>
          </w:tcPr>
          <w:p w14:paraId="153C2A9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0.14</w:t>
            </w:r>
          </w:p>
        </w:tc>
      </w:tr>
      <w:tr w14:paraId="1D4F48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42" w:type="pct"/>
            <w:vAlign w:val="center"/>
          </w:tcPr>
          <w:p w14:paraId="46CDEC1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1000.0</w:t>
            </w:r>
          </w:p>
        </w:tc>
        <w:tc>
          <w:tcPr>
            <w:tcW w:w="773" w:type="pct"/>
            <w:vAlign w:val="center"/>
          </w:tcPr>
          <w:p w14:paraId="64E83E8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0.5095</w:t>
            </w:r>
          </w:p>
        </w:tc>
        <w:tc>
          <w:tcPr>
            <w:tcW w:w="624" w:type="pct"/>
            <w:vAlign w:val="center"/>
          </w:tcPr>
          <w:p w14:paraId="3CB4602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0.10</w:t>
            </w:r>
          </w:p>
        </w:tc>
        <w:tc>
          <w:tcPr>
            <w:tcW w:w="788" w:type="pct"/>
            <w:vAlign w:val="center"/>
          </w:tcPr>
          <w:p w14:paraId="6EDA2D4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11.3874</w:t>
            </w:r>
          </w:p>
        </w:tc>
        <w:tc>
          <w:tcPr>
            <w:tcW w:w="639" w:type="pct"/>
            <w:vAlign w:val="center"/>
          </w:tcPr>
          <w:p w14:paraId="43071C6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4.55</w:t>
            </w:r>
          </w:p>
        </w:tc>
        <w:tc>
          <w:tcPr>
            <w:tcW w:w="791" w:type="pct"/>
            <w:vAlign w:val="center"/>
          </w:tcPr>
          <w:p w14:paraId="02DAB80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0.5888</w:t>
            </w:r>
          </w:p>
        </w:tc>
        <w:tc>
          <w:tcPr>
            <w:tcW w:w="643" w:type="pct"/>
            <w:vAlign w:val="center"/>
          </w:tcPr>
          <w:p w14:paraId="1BD3898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0.13</w:t>
            </w:r>
          </w:p>
        </w:tc>
      </w:tr>
      <w:tr w14:paraId="75D7ED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42" w:type="pct"/>
            <w:vAlign w:val="center"/>
          </w:tcPr>
          <w:p w14:paraId="05A3D66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1200.0</w:t>
            </w:r>
          </w:p>
        </w:tc>
        <w:tc>
          <w:tcPr>
            <w:tcW w:w="773" w:type="pct"/>
            <w:vAlign w:val="center"/>
          </w:tcPr>
          <w:p w14:paraId="7965518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0.4494</w:t>
            </w:r>
          </w:p>
        </w:tc>
        <w:tc>
          <w:tcPr>
            <w:tcW w:w="624" w:type="pct"/>
            <w:vAlign w:val="center"/>
          </w:tcPr>
          <w:p w14:paraId="3EF4E07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0.09</w:t>
            </w:r>
          </w:p>
        </w:tc>
        <w:tc>
          <w:tcPr>
            <w:tcW w:w="788" w:type="pct"/>
            <w:vAlign w:val="center"/>
          </w:tcPr>
          <w:p w14:paraId="5354E36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10.0437</w:t>
            </w:r>
          </w:p>
        </w:tc>
        <w:tc>
          <w:tcPr>
            <w:tcW w:w="639" w:type="pct"/>
            <w:vAlign w:val="center"/>
          </w:tcPr>
          <w:p w14:paraId="7AA548B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4.02</w:t>
            </w:r>
          </w:p>
        </w:tc>
        <w:tc>
          <w:tcPr>
            <w:tcW w:w="791" w:type="pct"/>
            <w:vAlign w:val="center"/>
          </w:tcPr>
          <w:p w14:paraId="31E2EA2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0.5193</w:t>
            </w:r>
          </w:p>
        </w:tc>
        <w:tc>
          <w:tcPr>
            <w:tcW w:w="643" w:type="pct"/>
            <w:vAlign w:val="center"/>
          </w:tcPr>
          <w:p w14:paraId="693D75A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0.12</w:t>
            </w:r>
          </w:p>
        </w:tc>
      </w:tr>
      <w:tr w14:paraId="1CD8E1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42" w:type="pct"/>
            <w:vAlign w:val="center"/>
          </w:tcPr>
          <w:p w14:paraId="77D2376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1400.0</w:t>
            </w:r>
          </w:p>
        </w:tc>
        <w:tc>
          <w:tcPr>
            <w:tcW w:w="773" w:type="pct"/>
            <w:vAlign w:val="center"/>
          </w:tcPr>
          <w:p w14:paraId="56A4A70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0.3973</w:t>
            </w:r>
          </w:p>
        </w:tc>
        <w:tc>
          <w:tcPr>
            <w:tcW w:w="624" w:type="pct"/>
            <w:vAlign w:val="center"/>
          </w:tcPr>
          <w:p w14:paraId="05A7FF4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0.08</w:t>
            </w:r>
          </w:p>
        </w:tc>
        <w:tc>
          <w:tcPr>
            <w:tcW w:w="788" w:type="pct"/>
            <w:vAlign w:val="center"/>
          </w:tcPr>
          <w:p w14:paraId="18F8EA7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8.8787</w:t>
            </w:r>
          </w:p>
        </w:tc>
        <w:tc>
          <w:tcPr>
            <w:tcW w:w="639" w:type="pct"/>
            <w:vAlign w:val="center"/>
          </w:tcPr>
          <w:p w14:paraId="2047760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3.55</w:t>
            </w:r>
          </w:p>
        </w:tc>
        <w:tc>
          <w:tcPr>
            <w:tcW w:w="791" w:type="pct"/>
            <w:vAlign w:val="center"/>
          </w:tcPr>
          <w:p w14:paraId="7087B71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0.4591</w:t>
            </w:r>
          </w:p>
        </w:tc>
        <w:tc>
          <w:tcPr>
            <w:tcW w:w="643" w:type="pct"/>
            <w:vAlign w:val="center"/>
          </w:tcPr>
          <w:p w14:paraId="2188EC2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0.10</w:t>
            </w:r>
          </w:p>
        </w:tc>
      </w:tr>
      <w:tr w14:paraId="09C838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42" w:type="pct"/>
            <w:vAlign w:val="center"/>
          </w:tcPr>
          <w:p w14:paraId="47460D7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1600.0</w:t>
            </w:r>
          </w:p>
        </w:tc>
        <w:tc>
          <w:tcPr>
            <w:tcW w:w="773" w:type="pct"/>
            <w:vAlign w:val="center"/>
          </w:tcPr>
          <w:p w14:paraId="6580924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0.3533</w:t>
            </w:r>
          </w:p>
        </w:tc>
        <w:tc>
          <w:tcPr>
            <w:tcW w:w="624" w:type="pct"/>
            <w:vAlign w:val="center"/>
          </w:tcPr>
          <w:p w14:paraId="1078C97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0.07</w:t>
            </w:r>
          </w:p>
        </w:tc>
        <w:tc>
          <w:tcPr>
            <w:tcW w:w="788" w:type="pct"/>
            <w:vAlign w:val="center"/>
          </w:tcPr>
          <w:p w14:paraId="04D6D1D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7.8958</w:t>
            </w:r>
          </w:p>
        </w:tc>
        <w:tc>
          <w:tcPr>
            <w:tcW w:w="639" w:type="pct"/>
            <w:vAlign w:val="center"/>
          </w:tcPr>
          <w:p w14:paraId="403D3AF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3.16</w:t>
            </w:r>
          </w:p>
        </w:tc>
        <w:tc>
          <w:tcPr>
            <w:tcW w:w="791" w:type="pct"/>
            <w:vAlign w:val="center"/>
          </w:tcPr>
          <w:p w14:paraId="080BD40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0.4083</w:t>
            </w:r>
          </w:p>
        </w:tc>
        <w:tc>
          <w:tcPr>
            <w:tcW w:w="643" w:type="pct"/>
            <w:vAlign w:val="center"/>
          </w:tcPr>
          <w:p w14:paraId="48D0B54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0.09</w:t>
            </w:r>
          </w:p>
        </w:tc>
      </w:tr>
      <w:tr w14:paraId="40D311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42" w:type="pct"/>
            <w:vAlign w:val="center"/>
          </w:tcPr>
          <w:p w14:paraId="6135AED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1800.0</w:t>
            </w:r>
          </w:p>
        </w:tc>
        <w:tc>
          <w:tcPr>
            <w:tcW w:w="773" w:type="pct"/>
            <w:vAlign w:val="center"/>
          </w:tcPr>
          <w:p w14:paraId="63810B1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0.3162</w:t>
            </w:r>
          </w:p>
        </w:tc>
        <w:tc>
          <w:tcPr>
            <w:tcW w:w="624" w:type="pct"/>
            <w:vAlign w:val="center"/>
          </w:tcPr>
          <w:p w14:paraId="6893C99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0.06</w:t>
            </w:r>
          </w:p>
        </w:tc>
        <w:tc>
          <w:tcPr>
            <w:tcW w:w="788" w:type="pct"/>
            <w:vAlign w:val="center"/>
          </w:tcPr>
          <w:p w14:paraId="08A9D4A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7.0673</w:t>
            </w:r>
          </w:p>
        </w:tc>
        <w:tc>
          <w:tcPr>
            <w:tcW w:w="639" w:type="pct"/>
            <w:vAlign w:val="center"/>
          </w:tcPr>
          <w:p w14:paraId="76504EA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2.83</w:t>
            </w:r>
          </w:p>
        </w:tc>
        <w:tc>
          <w:tcPr>
            <w:tcW w:w="791" w:type="pct"/>
            <w:vAlign w:val="center"/>
          </w:tcPr>
          <w:p w14:paraId="01E749A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0.3654</w:t>
            </w:r>
          </w:p>
        </w:tc>
        <w:tc>
          <w:tcPr>
            <w:tcW w:w="643" w:type="pct"/>
            <w:vAlign w:val="center"/>
          </w:tcPr>
          <w:p w14:paraId="2101101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0.08</w:t>
            </w:r>
          </w:p>
        </w:tc>
      </w:tr>
      <w:tr w14:paraId="226F33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42" w:type="pct"/>
            <w:vAlign w:val="center"/>
          </w:tcPr>
          <w:p w14:paraId="7C4CC59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2000.0</w:t>
            </w:r>
          </w:p>
        </w:tc>
        <w:tc>
          <w:tcPr>
            <w:tcW w:w="773" w:type="pct"/>
            <w:vAlign w:val="center"/>
          </w:tcPr>
          <w:p w14:paraId="2845184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0.2852</w:t>
            </w:r>
          </w:p>
        </w:tc>
        <w:tc>
          <w:tcPr>
            <w:tcW w:w="624" w:type="pct"/>
            <w:vAlign w:val="center"/>
          </w:tcPr>
          <w:p w14:paraId="7DC167A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0.06</w:t>
            </w:r>
          </w:p>
        </w:tc>
        <w:tc>
          <w:tcPr>
            <w:tcW w:w="788" w:type="pct"/>
            <w:vAlign w:val="center"/>
          </w:tcPr>
          <w:p w14:paraId="7FB3832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6.3730</w:t>
            </w:r>
          </w:p>
        </w:tc>
        <w:tc>
          <w:tcPr>
            <w:tcW w:w="639" w:type="pct"/>
            <w:vAlign w:val="center"/>
          </w:tcPr>
          <w:p w14:paraId="24BA922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2.55</w:t>
            </w:r>
          </w:p>
        </w:tc>
        <w:tc>
          <w:tcPr>
            <w:tcW w:w="791" w:type="pct"/>
            <w:vAlign w:val="center"/>
          </w:tcPr>
          <w:p w14:paraId="2486DF0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0.3295</w:t>
            </w:r>
          </w:p>
        </w:tc>
        <w:tc>
          <w:tcPr>
            <w:tcW w:w="643" w:type="pct"/>
            <w:vAlign w:val="center"/>
          </w:tcPr>
          <w:p w14:paraId="6526F41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0.07</w:t>
            </w:r>
          </w:p>
        </w:tc>
      </w:tr>
      <w:tr w14:paraId="0BB1DFD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42" w:type="pct"/>
            <w:vAlign w:val="center"/>
          </w:tcPr>
          <w:p w14:paraId="1F224B3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2500.0</w:t>
            </w:r>
          </w:p>
        </w:tc>
        <w:tc>
          <w:tcPr>
            <w:tcW w:w="773" w:type="pct"/>
            <w:vAlign w:val="center"/>
          </w:tcPr>
          <w:p w14:paraId="01AB278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0.2367</w:t>
            </w:r>
          </w:p>
        </w:tc>
        <w:tc>
          <w:tcPr>
            <w:tcW w:w="624" w:type="pct"/>
            <w:vAlign w:val="center"/>
          </w:tcPr>
          <w:p w14:paraId="1E17937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0.05</w:t>
            </w:r>
          </w:p>
        </w:tc>
        <w:tc>
          <w:tcPr>
            <w:tcW w:w="788" w:type="pct"/>
            <w:vAlign w:val="center"/>
          </w:tcPr>
          <w:p w14:paraId="09815C5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5.2888</w:t>
            </w:r>
          </w:p>
        </w:tc>
        <w:tc>
          <w:tcPr>
            <w:tcW w:w="639" w:type="pct"/>
            <w:vAlign w:val="center"/>
          </w:tcPr>
          <w:p w14:paraId="42C0DFE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2.12</w:t>
            </w:r>
          </w:p>
        </w:tc>
        <w:tc>
          <w:tcPr>
            <w:tcW w:w="791" w:type="pct"/>
            <w:vAlign w:val="center"/>
          </w:tcPr>
          <w:p w14:paraId="7C5AA0B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0.2735</w:t>
            </w:r>
          </w:p>
        </w:tc>
        <w:tc>
          <w:tcPr>
            <w:tcW w:w="643" w:type="pct"/>
            <w:vAlign w:val="center"/>
          </w:tcPr>
          <w:p w14:paraId="3BD5949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0.06</w:t>
            </w:r>
          </w:p>
        </w:tc>
      </w:tr>
      <w:tr w14:paraId="0C83F6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42" w:type="pct"/>
            <w:vAlign w:val="center"/>
          </w:tcPr>
          <w:p w14:paraId="41E4E81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下风向最大浓度</w:t>
            </w:r>
          </w:p>
        </w:tc>
        <w:tc>
          <w:tcPr>
            <w:tcW w:w="773" w:type="pct"/>
            <w:vAlign w:val="center"/>
          </w:tcPr>
          <w:p w14:paraId="05A7870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0.8992</w:t>
            </w:r>
          </w:p>
        </w:tc>
        <w:tc>
          <w:tcPr>
            <w:tcW w:w="624" w:type="pct"/>
            <w:vAlign w:val="center"/>
          </w:tcPr>
          <w:p w14:paraId="06F4E46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0.18</w:t>
            </w:r>
          </w:p>
        </w:tc>
        <w:tc>
          <w:tcPr>
            <w:tcW w:w="788" w:type="pct"/>
            <w:vAlign w:val="center"/>
          </w:tcPr>
          <w:p w14:paraId="7BEA0AD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20.0959</w:t>
            </w:r>
          </w:p>
        </w:tc>
        <w:tc>
          <w:tcPr>
            <w:tcW w:w="639" w:type="pct"/>
            <w:vAlign w:val="center"/>
          </w:tcPr>
          <w:p w14:paraId="5CAFD83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1.0391</w:t>
            </w:r>
          </w:p>
        </w:tc>
        <w:tc>
          <w:tcPr>
            <w:tcW w:w="791" w:type="pct"/>
            <w:vAlign w:val="center"/>
          </w:tcPr>
          <w:p w14:paraId="6107841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0.23</w:t>
            </w:r>
          </w:p>
        </w:tc>
        <w:tc>
          <w:tcPr>
            <w:tcW w:w="643" w:type="pct"/>
            <w:vAlign w:val="center"/>
          </w:tcPr>
          <w:p w14:paraId="7863175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1.0391</w:t>
            </w:r>
          </w:p>
        </w:tc>
      </w:tr>
      <w:tr w14:paraId="6C66E2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42" w:type="pct"/>
            <w:vAlign w:val="center"/>
          </w:tcPr>
          <w:p w14:paraId="3D8D6FC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下风向最大浓度出现距离</w:t>
            </w:r>
          </w:p>
        </w:tc>
        <w:tc>
          <w:tcPr>
            <w:tcW w:w="773" w:type="pct"/>
            <w:vAlign w:val="center"/>
          </w:tcPr>
          <w:p w14:paraId="7606ADF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52.0</w:t>
            </w:r>
          </w:p>
        </w:tc>
        <w:tc>
          <w:tcPr>
            <w:tcW w:w="624" w:type="pct"/>
            <w:vAlign w:val="center"/>
          </w:tcPr>
          <w:p w14:paraId="794BBF4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52.0</w:t>
            </w:r>
          </w:p>
        </w:tc>
        <w:tc>
          <w:tcPr>
            <w:tcW w:w="788" w:type="pct"/>
            <w:vAlign w:val="center"/>
          </w:tcPr>
          <w:p w14:paraId="69F6FB8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52.0</w:t>
            </w:r>
          </w:p>
        </w:tc>
        <w:tc>
          <w:tcPr>
            <w:tcW w:w="639" w:type="pct"/>
            <w:vAlign w:val="center"/>
          </w:tcPr>
          <w:p w14:paraId="431D904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52.0</w:t>
            </w:r>
          </w:p>
        </w:tc>
        <w:tc>
          <w:tcPr>
            <w:tcW w:w="791" w:type="pct"/>
            <w:vAlign w:val="center"/>
          </w:tcPr>
          <w:p w14:paraId="6034491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52.0</w:t>
            </w:r>
          </w:p>
        </w:tc>
        <w:tc>
          <w:tcPr>
            <w:tcW w:w="643" w:type="pct"/>
            <w:vAlign w:val="center"/>
          </w:tcPr>
          <w:p w14:paraId="50E4964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52.0</w:t>
            </w:r>
          </w:p>
        </w:tc>
      </w:tr>
      <w:tr w14:paraId="70EF1C9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42" w:type="pct"/>
            <w:vAlign w:val="center"/>
          </w:tcPr>
          <w:p w14:paraId="420B991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D10%最远距离</w:t>
            </w:r>
          </w:p>
        </w:tc>
        <w:tc>
          <w:tcPr>
            <w:tcW w:w="773" w:type="pct"/>
            <w:vAlign w:val="center"/>
          </w:tcPr>
          <w:p w14:paraId="51FC224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w:t>
            </w:r>
          </w:p>
        </w:tc>
        <w:tc>
          <w:tcPr>
            <w:tcW w:w="624" w:type="pct"/>
            <w:vAlign w:val="center"/>
          </w:tcPr>
          <w:p w14:paraId="50BBD65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w:t>
            </w:r>
          </w:p>
        </w:tc>
        <w:tc>
          <w:tcPr>
            <w:tcW w:w="788" w:type="pct"/>
            <w:vAlign w:val="center"/>
          </w:tcPr>
          <w:p w14:paraId="511B55B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w:t>
            </w:r>
          </w:p>
        </w:tc>
        <w:tc>
          <w:tcPr>
            <w:tcW w:w="639" w:type="pct"/>
            <w:vAlign w:val="center"/>
          </w:tcPr>
          <w:p w14:paraId="20B46CE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w:t>
            </w:r>
          </w:p>
        </w:tc>
        <w:tc>
          <w:tcPr>
            <w:tcW w:w="791" w:type="pct"/>
            <w:vAlign w:val="center"/>
          </w:tcPr>
          <w:p w14:paraId="44C3AE5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w:t>
            </w:r>
          </w:p>
        </w:tc>
        <w:tc>
          <w:tcPr>
            <w:tcW w:w="643" w:type="pct"/>
            <w:vAlign w:val="center"/>
          </w:tcPr>
          <w:p w14:paraId="22033AA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w:t>
            </w:r>
          </w:p>
        </w:tc>
      </w:tr>
    </w:tbl>
    <w:p w14:paraId="011BDA32">
      <w:pPr>
        <w:pStyle w:val="11"/>
      </w:pPr>
      <w:r>
        <w:rPr>
          <w:rFonts w:hint="eastAsia"/>
        </w:rPr>
        <w:t xml:space="preserve"> 生物柴油车间估算结果一览表</w:t>
      </w:r>
    </w:p>
    <w:tbl>
      <w:tblPr>
        <w:tblStyle w:val="30"/>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998"/>
        <w:gridCol w:w="1360"/>
        <w:gridCol w:w="1503"/>
        <w:gridCol w:w="1566"/>
        <w:gridCol w:w="1815"/>
      </w:tblGrid>
      <w:tr w14:paraId="026932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blHeader/>
        </w:trPr>
        <w:tc>
          <w:tcPr>
            <w:tcW w:w="1622" w:type="pct"/>
            <w:vMerge w:val="restart"/>
            <w:vAlign w:val="center"/>
          </w:tcPr>
          <w:p w14:paraId="25D10C7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下风向距离</w:t>
            </w:r>
          </w:p>
        </w:tc>
        <w:tc>
          <w:tcPr>
            <w:tcW w:w="3378" w:type="pct"/>
            <w:gridSpan w:val="4"/>
            <w:vAlign w:val="center"/>
          </w:tcPr>
          <w:p w14:paraId="5FD8275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工业级混合油车间</w:t>
            </w:r>
          </w:p>
        </w:tc>
      </w:tr>
      <w:tr w14:paraId="1A0D31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blHeader/>
        </w:trPr>
        <w:tc>
          <w:tcPr>
            <w:tcW w:w="1622" w:type="pct"/>
            <w:vMerge w:val="continue"/>
            <w:vAlign w:val="center"/>
          </w:tcPr>
          <w:p w14:paraId="18C178C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36" w:type="pct"/>
            <w:vAlign w:val="center"/>
          </w:tcPr>
          <w:p w14:paraId="6E61C00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甲醇浓度</w:t>
            </w:r>
          </w:p>
          <w:p w14:paraId="51439F6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μg/m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813" w:type="pct"/>
            <w:vAlign w:val="center"/>
          </w:tcPr>
          <w:p w14:paraId="558C82B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甲醇占标率</w:t>
            </w:r>
          </w:p>
          <w:p w14:paraId="2A46D78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847" w:type="pct"/>
            <w:vAlign w:val="center"/>
          </w:tcPr>
          <w:p w14:paraId="7AC66CB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NMHC浓度</w:t>
            </w:r>
          </w:p>
          <w:p w14:paraId="2944B3A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μg/m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982" w:type="pct"/>
            <w:vAlign w:val="center"/>
          </w:tcPr>
          <w:p w14:paraId="4BAD7A3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NMHC占标率</w:t>
            </w:r>
          </w:p>
          <w:p w14:paraId="59367AA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w:t>
            </w:r>
            <w:r>
              <w:rPr>
                <w:rFonts w:hint="eastAsia"/>
                <w:color w:val="0D0D0D" w:themeColor="text1" w:themeTint="F2"/>
                <w:sz w:val="21"/>
                <w:szCs w:val="21"/>
                <w:u w:val="single"/>
                <w14:textFill>
                  <w14:solidFill>
                    <w14:schemeClr w14:val="tx1">
                      <w14:lumMod w14:val="95000"/>
                      <w14:lumOff w14:val="5000"/>
                    </w14:schemeClr>
                  </w14:solidFill>
                </w14:textFill>
              </w:rPr>
              <w:t>）</w:t>
            </w:r>
          </w:p>
        </w:tc>
      </w:tr>
      <w:tr w14:paraId="79D5B0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2" w:type="pct"/>
            <w:vAlign w:val="center"/>
          </w:tcPr>
          <w:p w14:paraId="073EBE2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50.0</w:t>
            </w:r>
          </w:p>
        </w:tc>
        <w:tc>
          <w:tcPr>
            <w:tcW w:w="736" w:type="pct"/>
            <w:vAlign w:val="center"/>
          </w:tcPr>
          <w:p w14:paraId="0D11DA5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73.3584</w:t>
            </w:r>
          </w:p>
        </w:tc>
        <w:tc>
          <w:tcPr>
            <w:tcW w:w="813" w:type="pct"/>
            <w:vAlign w:val="center"/>
          </w:tcPr>
          <w:p w14:paraId="00F17B2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2.45</w:t>
            </w:r>
          </w:p>
        </w:tc>
        <w:tc>
          <w:tcPr>
            <w:tcW w:w="847" w:type="pct"/>
            <w:vAlign w:val="center"/>
          </w:tcPr>
          <w:p w14:paraId="4B0EF25E">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97.5260</w:t>
            </w:r>
          </w:p>
        </w:tc>
        <w:tc>
          <w:tcPr>
            <w:tcW w:w="982" w:type="pct"/>
            <w:vAlign w:val="center"/>
          </w:tcPr>
          <w:p w14:paraId="1774E083">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4.88</w:t>
            </w:r>
          </w:p>
        </w:tc>
      </w:tr>
      <w:tr w14:paraId="71A975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2" w:type="pct"/>
            <w:vAlign w:val="center"/>
          </w:tcPr>
          <w:p w14:paraId="15EC463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100.0</w:t>
            </w:r>
          </w:p>
        </w:tc>
        <w:tc>
          <w:tcPr>
            <w:tcW w:w="736" w:type="pct"/>
            <w:vAlign w:val="center"/>
          </w:tcPr>
          <w:p w14:paraId="244EB08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52.9980</w:t>
            </w:r>
          </w:p>
        </w:tc>
        <w:tc>
          <w:tcPr>
            <w:tcW w:w="813" w:type="pct"/>
            <w:vAlign w:val="center"/>
          </w:tcPr>
          <w:p w14:paraId="79D7113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1.77</w:t>
            </w:r>
          </w:p>
        </w:tc>
        <w:tc>
          <w:tcPr>
            <w:tcW w:w="847" w:type="pct"/>
            <w:vAlign w:val="center"/>
          </w:tcPr>
          <w:p w14:paraId="4ABD6E6F">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70.4580</w:t>
            </w:r>
          </w:p>
        </w:tc>
        <w:tc>
          <w:tcPr>
            <w:tcW w:w="982" w:type="pct"/>
            <w:vAlign w:val="center"/>
          </w:tcPr>
          <w:p w14:paraId="60427C5A">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3.52</w:t>
            </w:r>
          </w:p>
        </w:tc>
      </w:tr>
      <w:tr w14:paraId="769335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2" w:type="pct"/>
            <w:vAlign w:val="center"/>
          </w:tcPr>
          <w:p w14:paraId="0D0772F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200.0</w:t>
            </w:r>
          </w:p>
        </w:tc>
        <w:tc>
          <w:tcPr>
            <w:tcW w:w="736" w:type="pct"/>
            <w:vAlign w:val="center"/>
          </w:tcPr>
          <w:p w14:paraId="71D2E21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33.5779</w:t>
            </w:r>
          </w:p>
        </w:tc>
        <w:tc>
          <w:tcPr>
            <w:tcW w:w="813" w:type="pct"/>
            <w:vAlign w:val="center"/>
          </w:tcPr>
          <w:p w14:paraId="4237B30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1.12</w:t>
            </w:r>
          </w:p>
        </w:tc>
        <w:tc>
          <w:tcPr>
            <w:tcW w:w="847" w:type="pct"/>
            <w:vAlign w:val="center"/>
          </w:tcPr>
          <w:p w14:paraId="6DDC730D">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44.6400</w:t>
            </w:r>
          </w:p>
        </w:tc>
        <w:tc>
          <w:tcPr>
            <w:tcW w:w="982" w:type="pct"/>
            <w:vAlign w:val="center"/>
          </w:tcPr>
          <w:p w14:paraId="3D36B38E">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2.23</w:t>
            </w:r>
          </w:p>
        </w:tc>
      </w:tr>
      <w:tr w14:paraId="4584556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2" w:type="pct"/>
            <w:vAlign w:val="center"/>
          </w:tcPr>
          <w:p w14:paraId="088817F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300.0</w:t>
            </w:r>
          </w:p>
        </w:tc>
        <w:tc>
          <w:tcPr>
            <w:tcW w:w="736" w:type="pct"/>
            <w:vAlign w:val="center"/>
          </w:tcPr>
          <w:p w14:paraId="680D37E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22.8983</w:t>
            </w:r>
          </w:p>
        </w:tc>
        <w:tc>
          <w:tcPr>
            <w:tcW w:w="813" w:type="pct"/>
            <w:vAlign w:val="center"/>
          </w:tcPr>
          <w:p w14:paraId="5E2751F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0.76</w:t>
            </w:r>
          </w:p>
        </w:tc>
        <w:tc>
          <w:tcPr>
            <w:tcW w:w="847" w:type="pct"/>
            <w:vAlign w:val="center"/>
          </w:tcPr>
          <w:p w14:paraId="25806CE3">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30.4420</w:t>
            </w:r>
          </w:p>
        </w:tc>
        <w:tc>
          <w:tcPr>
            <w:tcW w:w="982" w:type="pct"/>
            <w:vAlign w:val="center"/>
          </w:tcPr>
          <w:p w14:paraId="4ADE197B">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1.52</w:t>
            </w:r>
          </w:p>
        </w:tc>
      </w:tr>
      <w:tr w14:paraId="0F5FFF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2" w:type="pct"/>
            <w:vAlign w:val="center"/>
          </w:tcPr>
          <w:p w14:paraId="00CE3D5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400.0</w:t>
            </w:r>
          </w:p>
        </w:tc>
        <w:tc>
          <w:tcPr>
            <w:tcW w:w="736" w:type="pct"/>
            <w:vAlign w:val="center"/>
          </w:tcPr>
          <w:p w14:paraId="03133CE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16.8356</w:t>
            </w:r>
          </w:p>
        </w:tc>
        <w:tc>
          <w:tcPr>
            <w:tcW w:w="813" w:type="pct"/>
            <w:vAlign w:val="center"/>
          </w:tcPr>
          <w:p w14:paraId="1413E95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0.56</w:t>
            </w:r>
          </w:p>
        </w:tc>
        <w:tc>
          <w:tcPr>
            <w:tcW w:w="847" w:type="pct"/>
            <w:vAlign w:val="center"/>
          </w:tcPr>
          <w:p w14:paraId="5AEAC2BE">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22.3820</w:t>
            </w:r>
          </w:p>
        </w:tc>
        <w:tc>
          <w:tcPr>
            <w:tcW w:w="982" w:type="pct"/>
            <w:vAlign w:val="center"/>
          </w:tcPr>
          <w:p w14:paraId="7B3DDD4E">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1.12</w:t>
            </w:r>
          </w:p>
        </w:tc>
      </w:tr>
      <w:tr w14:paraId="3BCDF3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2" w:type="pct"/>
            <w:vAlign w:val="center"/>
          </w:tcPr>
          <w:p w14:paraId="70DDCA5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500.0</w:t>
            </w:r>
          </w:p>
        </w:tc>
        <w:tc>
          <w:tcPr>
            <w:tcW w:w="736" w:type="pct"/>
            <w:vAlign w:val="center"/>
          </w:tcPr>
          <w:p w14:paraId="07A7DD5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13.0355</w:t>
            </w:r>
          </w:p>
        </w:tc>
        <w:tc>
          <w:tcPr>
            <w:tcW w:w="813" w:type="pct"/>
            <w:vAlign w:val="center"/>
          </w:tcPr>
          <w:p w14:paraId="4DE44BD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0.43</w:t>
            </w:r>
          </w:p>
        </w:tc>
        <w:tc>
          <w:tcPr>
            <w:tcW w:w="847" w:type="pct"/>
            <w:vAlign w:val="center"/>
          </w:tcPr>
          <w:p w14:paraId="4A3F72FE">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17.3300</w:t>
            </w:r>
          </w:p>
        </w:tc>
        <w:tc>
          <w:tcPr>
            <w:tcW w:w="982" w:type="pct"/>
            <w:vAlign w:val="center"/>
          </w:tcPr>
          <w:p w14:paraId="7F2B50F6">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0.87</w:t>
            </w:r>
          </w:p>
        </w:tc>
      </w:tr>
      <w:tr w14:paraId="0A60A8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2" w:type="pct"/>
            <w:vAlign w:val="center"/>
          </w:tcPr>
          <w:p w14:paraId="6708A13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600.0</w:t>
            </w:r>
          </w:p>
        </w:tc>
        <w:tc>
          <w:tcPr>
            <w:tcW w:w="736" w:type="pct"/>
            <w:vAlign w:val="center"/>
          </w:tcPr>
          <w:p w14:paraId="511E5FA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10.4908</w:t>
            </w:r>
          </w:p>
        </w:tc>
        <w:tc>
          <w:tcPr>
            <w:tcW w:w="813" w:type="pct"/>
            <w:vAlign w:val="center"/>
          </w:tcPr>
          <w:p w14:paraId="15484FE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0.35</w:t>
            </w:r>
          </w:p>
        </w:tc>
        <w:tc>
          <w:tcPr>
            <w:tcW w:w="847" w:type="pct"/>
            <w:vAlign w:val="center"/>
          </w:tcPr>
          <w:p w14:paraId="122D25C9">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13.9470</w:t>
            </w:r>
          </w:p>
        </w:tc>
        <w:tc>
          <w:tcPr>
            <w:tcW w:w="982" w:type="pct"/>
            <w:vAlign w:val="center"/>
          </w:tcPr>
          <w:p w14:paraId="690F4897">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0.70</w:t>
            </w:r>
          </w:p>
        </w:tc>
      </w:tr>
      <w:tr w14:paraId="34AED6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2" w:type="pct"/>
            <w:vAlign w:val="center"/>
          </w:tcPr>
          <w:p w14:paraId="391A6F2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700.0</w:t>
            </w:r>
          </w:p>
        </w:tc>
        <w:tc>
          <w:tcPr>
            <w:tcW w:w="736" w:type="pct"/>
            <w:vAlign w:val="center"/>
          </w:tcPr>
          <w:p w14:paraId="462712D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8.6916</w:t>
            </w:r>
          </w:p>
        </w:tc>
        <w:tc>
          <w:tcPr>
            <w:tcW w:w="813" w:type="pct"/>
            <w:vAlign w:val="center"/>
          </w:tcPr>
          <w:p w14:paraId="640BB77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0.29</w:t>
            </w:r>
          </w:p>
        </w:tc>
        <w:tc>
          <w:tcPr>
            <w:tcW w:w="847" w:type="pct"/>
            <w:vAlign w:val="center"/>
          </w:tcPr>
          <w:p w14:paraId="308A7B38">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11.5550</w:t>
            </w:r>
          </w:p>
        </w:tc>
        <w:tc>
          <w:tcPr>
            <w:tcW w:w="982" w:type="pct"/>
            <w:vAlign w:val="center"/>
          </w:tcPr>
          <w:p w14:paraId="4BA5DA27">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0.58</w:t>
            </w:r>
          </w:p>
        </w:tc>
      </w:tr>
      <w:tr w14:paraId="67B090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2" w:type="pct"/>
            <w:vAlign w:val="center"/>
          </w:tcPr>
          <w:p w14:paraId="326B698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800.0</w:t>
            </w:r>
          </w:p>
        </w:tc>
        <w:tc>
          <w:tcPr>
            <w:tcW w:w="736" w:type="pct"/>
            <w:vAlign w:val="center"/>
          </w:tcPr>
          <w:p w14:paraId="5DBD020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7.3630</w:t>
            </w:r>
          </w:p>
        </w:tc>
        <w:tc>
          <w:tcPr>
            <w:tcW w:w="813" w:type="pct"/>
            <w:vAlign w:val="center"/>
          </w:tcPr>
          <w:p w14:paraId="37032B5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0.25</w:t>
            </w:r>
          </w:p>
        </w:tc>
        <w:tc>
          <w:tcPr>
            <w:tcW w:w="847" w:type="pct"/>
            <w:vAlign w:val="center"/>
          </w:tcPr>
          <w:p w14:paraId="0FA2AB49">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9.7887</w:t>
            </w:r>
          </w:p>
        </w:tc>
        <w:tc>
          <w:tcPr>
            <w:tcW w:w="982" w:type="pct"/>
            <w:vAlign w:val="center"/>
          </w:tcPr>
          <w:p w14:paraId="6E91BA9A">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0.49</w:t>
            </w:r>
          </w:p>
        </w:tc>
      </w:tr>
      <w:tr w14:paraId="7E1B5C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2" w:type="pct"/>
            <w:vAlign w:val="center"/>
          </w:tcPr>
          <w:p w14:paraId="7BAF967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900.0</w:t>
            </w:r>
          </w:p>
        </w:tc>
        <w:tc>
          <w:tcPr>
            <w:tcW w:w="736" w:type="pct"/>
            <w:vAlign w:val="center"/>
          </w:tcPr>
          <w:p w14:paraId="1A2CEB9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6.3493</w:t>
            </w:r>
          </w:p>
        </w:tc>
        <w:tc>
          <w:tcPr>
            <w:tcW w:w="813" w:type="pct"/>
            <w:vAlign w:val="center"/>
          </w:tcPr>
          <w:p w14:paraId="4857B47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0.21</w:t>
            </w:r>
          </w:p>
        </w:tc>
        <w:tc>
          <w:tcPr>
            <w:tcW w:w="847" w:type="pct"/>
            <w:vAlign w:val="center"/>
          </w:tcPr>
          <w:p w14:paraId="67B3D9B4">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8.4410</w:t>
            </w:r>
          </w:p>
        </w:tc>
        <w:tc>
          <w:tcPr>
            <w:tcW w:w="982" w:type="pct"/>
            <w:vAlign w:val="center"/>
          </w:tcPr>
          <w:p w14:paraId="79B3B45D">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0.42</w:t>
            </w:r>
          </w:p>
        </w:tc>
      </w:tr>
      <w:tr w14:paraId="60EFC45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2" w:type="pct"/>
            <w:vAlign w:val="center"/>
          </w:tcPr>
          <w:p w14:paraId="7AAB347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1000.0</w:t>
            </w:r>
          </w:p>
        </w:tc>
        <w:tc>
          <w:tcPr>
            <w:tcW w:w="736" w:type="pct"/>
            <w:vAlign w:val="center"/>
          </w:tcPr>
          <w:p w14:paraId="15095DA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5.5542</w:t>
            </w:r>
          </w:p>
        </w:tc>
        <w:tc>
          <w:tcPr>
            <w:tcW w:w="813" w:type="pct"/>
            <w:vAlign w:val="center"/>
          </w:tcPr>
          <w:p w14:paraId="235B8D9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0.19</w:t>
            </w:r>
          </w:p>
        </w:tc>
        <w:tc>
          <w:tcPr>
            <w:tcW w:w="847" w:type="pct"/>
            <w:vAlign w:val="center"/>
          </w:tcPr>
          <w:p w14:paraId="0A53A83C">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7.3840</w:t>
            </w:r>
          </w:p>
        </w:tc>
        <w:tc>
          <w:tcPr>
            <w:tcW w:w="982" w:type="pct"/>
            <w:vAlign w:val="center"/>
          </w:tcPr>
          <w:p w14:paraId="4669B91F">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0.37</w:t>
            </w:r>
          </w:p>
        </w:tc>
      </w:tr>
      <w:tr w14:paraId="03A9A0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2" w:type="pct"/>
            <w:vAlign w:val="center"/>
          </w:tcPr>
          <w:p w14:paraId="694CDF0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1200.0</w:t>
            </w:r>
          </w:p>
        </w:tc>
        <w:tc>
          <w:tcPr>
            <w:tcW w:w="736" w:type="pct"/>
            <w:vAlign w:val="center"/>
          </w:tcPr>
          <w:p w14:paraId="4515E99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4.3958</w:t>
            </w:r>
          </w:p>
        </w:tc>
        <w:tc>
          <w:tcPr>
            <w:tcW w:w="813" w:type="pct"/>
            <w:vAlign w:val="center"/>
          </w:tcPr>
          <w:p w14:paraId="74AE0C1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0.15</w:t>
            </w:r>
          </w:p>
        </w:tc>
        <w:tc>
          <w:tcPr>
            <w:tcW w:w="847" w:type="pct"/>
            <w:vAlign w:val="center"/>
          </w:tcPr>
          <w:p w14:paraId="54135CFF">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5.8440</w:t>
            </w:r>
          </w:p>
        </w:tc>
        <w:tc>
          <w:tcPr>
            <w:tcW w:w="982" w:type="pct"/>
            <w:vAlign w:val="center"/>
          </w:tcPr>
          <w:p w14:paraId="05E37FC7">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0.29</w:t>
            </w:r>
          </w:p>
        </w:tc>
      </w:tr>
      <w:tr w14:paraId="36B4C2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2" w:type="pct"/>
            <w:vAlign w:val="center"/>
          </w:tcPr>
          <w:p w14:paraId="1D778DD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1400.0</w:t>
            </w:r>
          </w:p>
        </w:tc>
        <w:tc>
          <w:tcPr>
            <w:tcW w:w="736" w:type="pct"/>
            <w:vAlign w:val="center"/>
          </w:tcPr>
          <w:p w14:paraId="0E89C2E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3.6001</w:t>
            </w:r>
          </w:p>
        </w:tc>
        <w:tc>
          <w:tcPr>
            <w:tcW w:w="813" w:type="pct"/>
            <w:vAlign w:val="center"/>
          </w:tcPr>
          <w:p w14:paraId="5607088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0.12</w:t>
            </w:r>
          </w:p>
        </w:tc>
        <w:tc>
          <w:tcPr>
            <w:tcW w:w="847" w:type="pct"/>
            <w:vAlign w:val="center"/>
          </w:tcPr>
          <w:p w14:paraId="66DF49D5">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4.7861</w:t>
            </w:r>
          </w:p>
        </w:tc>
        <w:tc>
          <w:tcPr>
            <w:tcW w:w="982" w:type="pct"/>
            <w:vAlign w:val="center"/>
          </w:tcPr>
          <w:p w14:paraId="1F2056F5">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0.24</w:t>
            </w:r>
          </w:p>
        </w:tc>
      </w:tr>
      <w:tr w14:paraId="4AE660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2" w:type="pct"/>
            <w:vAlign w:val="center"/>
          </w:tcPr>
          <w:p w14:paraId="4F847C4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1600.0</w:t>
            </w:r>
          </w:p>
        </w:tc>
        <w:tc>
          <w:tcPr>
            <w:tcW w:w="736" w:type="pct"/>
            <w:vAlign w:val="center"/>
          </w:tcPr>
          <w:p w14:paraId="289FB12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3.0252</w:t>
            </w:r>
          </w:p>
        </w:tc>
        <w:tc>
          <w:tcPr>
            <w:tcW w:w="813" w:type="pct"/>
            <w:vAlign w:val="center"/>
          </w:tcPr>
          <w:p w14:paraId="115C732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0.10</w:t>
            </w:r>
          </w:p>
        </w:tc>
        <w:tc>
          <w:tcPr>
            <w:tcW w:w="847" w:type="pct"/>
            <w:vAlign w:val="center"/>
          </w:tcPr>
          <w:p w14:paraId="22BA38F2">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4.0218</w:t>
            </w:r>
          </w:p>
        </w:tc>
        <w:tc>
          <w:tcPr>
            <w:tcW w:w="982" w:type="pct"/>
            <w:vAlign w:val="center"/>
          </w:tcPr>
          <w:p w14:paraId="5D2761F8">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0.20</w:t>
            </w:r>
          </w:p>
        </w:tc>
      </w:tr>
      <w:tr w14:paraId="4B4A0D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2" w:type="pct"/>
            <w:vAlign w:val="center"/>
          </w:tcPr>
          <w:p w14:paraId="03214B4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1800.0</w:t>
            </w:r>
          </w:p>
        </w:tc>
        <w:tc>
          <w:tcPr>
            <w:tcW w:w="736" w:type="pct"/>
            <w:vAlign w:val="center"/>
          </w:tcPr>
          <w:p w14:paraId="2F519AD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2.5942</w:t>
            </w:r>
          </w:p>
        </w:tc>
        <w:tc>
          <w:tcPr>
            <w:tcW w:w="813" w:type="pct"/>
            <w:vAlign w:val="center"/>
          </w:tcPr>
          <w:p w14:paraId="68ADFED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0.09</w:t>
            </w:r>
          </w:p>
        </w:tc>
        <w:tc>
          <w:tcPr>
            <w:tcW w:w="847" w:type="pct"/>
            <w:vAlign w:val="center"/>
          </w:tcPr>
          <w:p w14:paraId="7616CC61">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3.4488</w:t>
            </w:r>
          </w:p>
        </w:tc>
        <w:tc>
          <w:tcPr>
            <w:tcW w:w="982" w:type="pct"/>
            <w:vAlign w:val="center"/>
          </w:tcPr>
          <w:p w14:paraId="63ABA79D">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0.17</w:t>
            </w:r>
          </w:p>
        </w:tc>
      </w:tr>
      <w:tr w14:paraId="54A585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2" w:type="pct"/>
            <w:vAlign w:val="center"/>
          </w:tcPr>
          <w:p w14:paraId="7306DE6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2000.0</w:t>
            </w:r>
          </w:p>
        </w:tc>
        <w:tc>
          <w:tcPr>
            <w:tcW w:w="736" w:type="pct"/>
            <w:vAlign w:val="center"/>
          </w:tcPr>
          <w:p w14:paraId="698FD4A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2.2619</w:t>
            </w:r>
          </w:p>
        </w:tc>
        <w:tc>
          <w:tcPr>
            <w:tcW w:w="813" w:type="pct"/>
            <w:vAlign w:val="center"/>
          </w:tcPr>
          <w:p w14:paraId="4DDF3CB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0.08</w:t>
            </w:r>
          </w:p>
        </w:tc>
        <w:tc>
          <w:tcPr>
            <w:tcW w:w="847" w:type="pct"/>
            <w:vAlign w:val="center"/>
          </w:tcPr>
          <w:p w14:paraId="08298EC7">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3.0071</w:t>
            </w:r>
          </w:p>
        </w:tc>
        <w:tc>
          <w:tcPr>
            <w:tcW w:w="982" w:type="pct"/>
            <w:vAlign w:val="center"/>
          </w:tcPr>
          <w:p w14:paraId="3D572EA7">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0.15</w:t>
            </w:r>
          </w:p>
        </w:tc>
      </w:tr>
      <w:tr w14:paraId="04DBE2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2" w:type="pct"/>
            <w:vAlign w:val="center"/>
          </w:tcPr>
          <w:p w14:paraId="6D0507F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2500.0</w:t>
            </w:r>
          </w:p>
        </w:tc>
        <w:tc>
          <w:tcPr>
            <w:tcW w:w="736" w:type="pct"/>
            <w:vAlign w:val="center"/>
          </w:tcPr>
          <w:p w14:paraId="7510A18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1.7023</w:t>
            </w:r>
          </w:p>
        </w:tc>
        <w:tc>
          <w:tcPr>
            <w:tcW w:w="813" w:type="pct"/>
            <w:vAlign w:val="center"/>
          </w:tcPr>
          <w:p w14:paraId="1A123E8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0.06</w:t>
            </w:r>
          </w:p>
        </w:tc>
        <w:tc>
          <w:tcPr>
            <w:tcW w:w="847" w:type="pct"/>
            <w:vAlign w:val="center"/>
          </w:tcPr>
          <w:p w14:paraId="48F532E2">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2.2631</w:t>
            </w:r>
          </w:p>
        </w:tc>
        <w:tc>
          <w:tcPr>
            <w:tcW w:w="982" w:type="pct"/>
            <w:vAlign w:val="center"/>
          </w:tcPr>
          <w:p w14:paraId="01ADD548">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0.11</w:t>
            </w:r>
          </w:p>
        </w:tc>
      </w:tr>
      <w:tr w14:paraId="6CCAFF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2" w:type="pct"/>
            <w:vAlign w:val="center"/>
          </w:tcPr>
          <w:p w14:paraId="027CF89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下风向最大浓度</w:t>
            </w:r>
          </w:p>
        </w:tc>
        <w:tc>
          <w:tcPr>
            <w:tcW w:w="736" w:type="pct"/>
            <w:vAlign w:val="center"/>
          </w:tcPr>
          <w:p w14:paraId="0F59120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101.0496</w:t>
            </w:r>
          </w:p>
        </w:tc>
        <w:tc>
          <w:tcPr>
            <w:tcW w:w="813" w:type="pct"/>
            <w:vAlign w:val="center"/>
          </w:tcPr>
          <w:p w14:paraId="6715AA6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3.37</w:t>
            </w:r>
          </w:p>
        </w:tc>
        <w:tc>
          <w:tcPr>
            <w:tcW w:w="847" w:type="pct"/>
            <w:vAlign w:val="center"/>
          </w:tcPr>
          <w:p w14:paraId="4537381F">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134.3400</w:t>
            </w:r>
          </w:p>
        </w:tc>
        <w:tc>
          <w:tcPr>
            <w:tcW w:w="982" w:type="pct"/>
            <w:vAlign w:val="center"/>
          </w:tcPr>
          <w:p w14:paraId="7270CF3B">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6.72</w:t>
            </w:r>
          </w:p>
        </w:tc>
      </w:tr>
      <w:tr w14:paraId="4C2C05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2" w:type="pct"/>
            <w:vAlign w:val="center"/>
          </w:tcPr>
          <w:p w14:paraId="42C033D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下风向最大浓度出现距离</w:t>
            </w:r>
          </w:p>
        </w:tc>
        <w:tc>
          <w:tcPr>
            <w:tcW w:w="736" w:type="pct"/>
            <w:vAlign w:val="center"/>
          </w:tcPr>
          <w:p w14:paraId="6291B9C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25.0</w:t>
            </w:r>
          </w:p>
        </w:tc>
        <w:tc>
          <w:tcPr>
            <w:tcW w:w="813" w:type="pct"/>
            <w:vAlign w:val="center"/>
          </w:tcPr>
          <w:p w14:paraId="0B9054F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25.0</w:t>
            </w:r>
          </w:p>
        </w:tc>
        <w:tc>
          <w:tcPr>
            <w:tcW w:w="847" w:type="pct"/>
            <w:vAlign w:val="center"/>
          </w:tcPr>
          <w:p w14:paraId="3B1778FE">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25.0</w:t>
            </w:r>
          </w:p>
        </w:tc>
        <w:tc>
          <w:tcPr>
            <w:tcW w:w="982" w:type="pct"/>
            <w:vAlign w:val="center"/>
          </w:tcPr>
          <w:p w14:paraId="0E898124">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25.0</w:t>
            </w:r>
          </w:p>
        </w:tc>
      </w:tr>
      <w:tr w14:paraId="3A9FD8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2" w:type="pct"/>
            <w:vAlign w:val="center"/>
          </w:tcPr>
          <w:p w14:paraId="4FEABE1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D10%最远距离</w:t>
            </w:r>
          </w:p>
        </w:tc>
        <w:tc>
          <w:tcPr>
            <w:tcW w:w="736" w:type="pct"/>
            <w:vAlign w:val="center"/>
          </w:tcPr>
          <w:p w14:paraId="7B8A5B8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w:t>
            </w:r>
          </w:p>
        </w:tc>
        <w:tc>
          <w:tcPr>
            <w:tcW w:w="813" w:type="pct"/>
            <w:vAlign w:val="center"/>
          </w:tcPr>
          <w:p w14:paraId="05E6439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w:t>
            </w:r>
          </w:p>
        </w:tc>
        <w:tc>
          <w:tcPr>
            <w:tcW w:w="847" w:type="pct"/>
            <w:vAlign w:val="center"/>
          </w:tcPr>
          <w:p w14:paraId="6DBB503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w:t>
            </w:r>
          </w:p>
        </w:tc>
        <w:tc>
          <w:tcPr>
            <w:tcW w:w="982" w:type="pct"/>
            <w:vAlign w:val="center"/>
          </w:tcPr>
          <w:p w14:paraId="46014AD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w:t>
            </w:r>
          </w:p>
        </w:tc>
      </w:tr>
    </w:tbl>
    <w:p w14:paraId="427E6ECA">
      <w:pPr>
        <w:pStyle w:val="2"/>
        <w:ind w:firstLine="240"/>
      </w:pPr>
      <w:r>
        <w:br w:type="page"/>
      </w:r>
    </w:p>
    <w:p w14:paraId="560FE3DD">
      <w:pPr>
        <w:pStyle w:val="11"/>
      </w:pPr>
      <w:r>
        <w:rPr>
          <w:rFonts w:hint="eastAsia"/>
        </w:rPr>
        <w:t xml:space="preserve"> 污水处理站无组织估算结果一览表</w:t>
      </w:r>
    </w:p>
    <w:tbl>
      <w:tblPr>
        <w:tblStyle w:val="30"/>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469"/>
        <w:gridCol w:w="1486"/>
        <w:gridCol w:w="1224"/>
        <w:gridCol w:w="1481"/>
        <w:gridCol w:w="1218"/>
        <w:gridCol w:w="1238"/>
        <w:gridCol w:w="1126"/>
      </w:tblGrid>
      <w:tr w14:paraId="4F14D1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blHeader/>
        </w:trPr>
        <w:tc>
          <w:tcPr>
            <w:tcW w:w="795" w:type="pct"/>
            <w:vMerge w:val="restart"/>
            <w:vAlign w:val="center"/>
          </w:tcPr>
          <w:p w14:paraId="5BD6E7E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下风向距离</w:t>
            </w:r>
          </w:p>
        </w:tc>
        <w:tc>
          <w:tcPr>
            <w:tcW w:w="4205" w:type="pct"/>
            <w:gridSpan w:val="6"/>
            <w:vAlign w:val="center"/>
          </w:tcPr>
          <w:p w14:paraId="194FA71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污水处理站</w:t>
            </w:r>
          </w:p>
        </w:tc>
      </w:tr>
      <w:tr w14:paraId="0B7EA7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blHeader/>
        </w:trPr>
        <w:tc>
          <w:tcPr>
            <w:tcW w:w="795" w:type="pct"/>
            <w:vMerge w:val="continue"/>
            <w:vAlign w:val="center"/>
          </w:tcPr>
          <w:p w14:paraId="6CC69D0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804" w:type="pct"/>
            <w:vAlign w:val="center"/>
          </w:tcPr>
          <w:p w14:paraId="1A841D1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NH</w:t>
            </w:r>
            <w:r>
              <w:rPr>
                <w:color w:val="0D0D0D" w:themeColor="text1" w:themeTint="F2"/>
                <w:sz w:val="21"/>
                <w:szCs w:val="21"/>
                <w:u w:val="single"/>
                <w:vertAlign w:val="subscript"/>
                <w14:textFill>
                  <w14:solidFill>
                    <w14:schemeClr w14:val="tx1">
                      <w14:lumMod w14:val="95000"/>
                      <w14:lumOff w14:val="5000"/>
                    </w14:schemeClr>
                  </w14:solidFill>
                </w14:textFill>
              </w:rPr>
              <w:t>3</w:t>
            </w:r>
            <w:r>
              <w:rPr>
                <w:color w:val="0D0D0D" w:themeColor="text1" w:themeTint="F2"/>
                <w:sz w:val="21"/>
                <w:szCs w:val="21"/>
                <w:u w:val="single"/>
                <w14:textFill>
                  <w14:solidFill>
                    <w14:schemeClr w14:val="tx1">
                      <w14:lumMod w14:val="95000"/>
                      <w14:lumOff w14:val="5000"/>
                    </w14:schemeClr>
                  </w14:solidFill>
                </w14:textFill>
              </w:rPr>
              <w:t>浓度</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μg/m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662" w:type="pct"/>
            <w:vAlign w:val="center"/>
          </w:tcPr>
          <w:p w14:paraId="595DEBA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NH</w:t>
            </w:r>
            <w:r>
              <w:rPr>
                <w:color w:val="0D0D0D" w:themeColor="text1" w:themeTint="F2"/>
                <w:sz w:val="21"/>
                <w:szCs w:val="21"/>
                <w:u w:val="single"/>
                <w:vertAlign w:val="subscript"/>
                <w14:textFill>
                  <w14:solidFill>
                    <w14:schemeClr w14:val="tx1">
                      <w14:lumMod w14:val="95000"/>
                      <w14:lumOff w14:val="5000"/>
                    </w14:schemeClr>
                  </w14:solidFill>
                </w14:textFill>
              </w:rPr>
              <w:t>3</w:t>
            </w:r>
            <w:r>
              <w:rPr>
                <w:color w:val="0D0D0D" w:themeColor="text1" w:themeTint="F2"/>
                <w:sz w:val="21"/>
                <w:szCs w:val="21"/>
                <w:u w:val="single"/>
                <w14:textFill>
                  <w14:solidFill>
                    <w14:schemeClr w14:val="tx1">
                      <w14:lumMod w14:val="95000"/>
                      <w14:lumOff w14:val="5000"/>
                    </w14:schemeClr>
                  </w14:solidFill>
                </w14:textFill>
              </w:rPr>
              <w:t>占标率</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801" w:type="pct"/>
            <w:vAlign w:val="center"/>
          </w:tcPr>
          <w:p w14:paraId="0325504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H</w:t>
            </w:r>
            <w:r>
              <w:rPr>
                <w:color w:val="0D0D0D" w:themeColor="text1" w:themeTint="F2"/>
                <w:sz w:val="21"/>
                <w:szCs w:val="21"/>
                <w:u w:val="single"/>
                <w:vertAlign w:val="subscript"/>
                <w14:textFill>
                  <w14:solidFill>
                    <w14:schemeClr w14:val="tx1">
                      <w14:lumMod w14:val="95000"/>
                      <w14:lumOff w14:val="5000"/>
                    </w14:schemeClr>
                  </w14:solidFill>
                </w14:textFill>
              </w:rPr>
              <w:t>2</w:t>
            </w:r>
            <w:r>
              <w:rPr>
                <w:color w:val="0D0D0D" w:themeColor="text1" w:themeTint="F2"/>
                <w:sz w:val="21"/>
                <w:szCs w:val="21"/>
                <w:u w:val="single"/>
                <w14:textFill>
                  <w14:solidFill>
                    <w14:schemeClr w14:val="tx1">
                      <w14:lumMod w14:val="95000"/>
                      <w14:lumOff w14:val="5000"/>
                    </w14:schemeClr>
                  </w14:solidFill>
                </w14:textFill>
              </w:rPr>
              <w:t>S浓度</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μg/m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659" w:type="pct"/>
            <w:vAlign w:val="center"/>
          </w:tcPr>
          <w:p w14:paraId="4984ECD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H</w:t>
            </w:r>
            <w:r>
              <w:rPr>
                <w:color w:val="0D0D0D" w:themeColor="text1" w:themeTint="F2"/>
                <w:sz w:val="21"/>
                <w:szCs w:val="21"/>
                <w:u w:val="single"/>
                <w:vertAlign w:val="subscript"/>
                <w14:textFill>
                  <w14:solidFill>
                    <w14:schemeClr w14:val="tx1">
                      <w14:lumMod w14:val="95000"/>
                      <w14:lumOff w14:val="5000"/>
                    </w14:schemeClr>
                  </w14:solidFill>
                </w14:textFill>
              </w:rPr>
              <w:t>2</w:t>
            </w:r>
            <w:r>
              <w:rPr>
                <w:color w:val="0D0D0D" w:themeColor="text1" w:themeTint="F2"/>
                <w:sz w:val="21"/>
                <w:szCs w:val="21"/>
                <w:u w:val="single"/>
                <w14:textFill>
                  <w14:solidFill>
                    <w14:schemeClr w14:val="tx1">
                      <w14:lumMod w14:val="95000"/>
                      <w14:lumOff w14:val="5000"/>
                    </w14:schemeClr>
                  </w14:solidFill>
                </w14:textFill>
              </w:rPr>
              <w:t>S占标率</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670" w:type="pct"/>
            <w:vAlign w:val="center"/>
          </w:tcPr>
          <w:p w14:paraId="2DA1DC0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NMHC浓度</w:t>
            </w:r>
          </w:p>
          <w:p w14:paraId="66EFD99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μg/m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609" w:type="pct"/>
            <w:vAlign w:val="center"/>
          </w:tcPr>
          <w:p w14:paraId="0701B0A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NMHC占标率</w:t>
            </w:r>
          </w:p>
          <w:p w14:paraId="1E3D577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w:t>
            </w:r>
            <w:r>
              <w:rPr>
                <w:rFonts w:hint="eastAsia"/>
                <w:color w:val="0D0D0D" w:themeColor="text1" w:themeTint="F2"/>
                <w:sz w:val="21"/>
                <w:szCs w:val="21"/>
                <w:u w:val="single"/>
                <w14:textFill>
                  <w14:solidFill>
                    <w14:schemeClr w14:val="tx1">
                      <w14:lumMod w14:val="95000"/>
                      <w14:lumOff w14:val="5000"/>
                    </w14:schemeClr>
                  </w14:solidFill>
                </w14:textFill>
              </w:rPr>
              <w:t>）</w:t>
            </w:r>
          </w:p>
        </w:tc>
      </w:tr>
      <w:tr w14:paraId="74D471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95" w:type="pct"/>
            <w:vAlign w:val="center"/>
          </w:tcPr>
          <w:p w14:paraId="14DBC8B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50.0</w:t>
            </w:r>
          </w:p>
        </w:tc>
        <w:tc>
          <w:tcPr>
            <w:tcW w:w="804" w:type="pct"/>
            <w:vAlign w:val="center"/>
          </w:tcPr>
          <w:p w14:paraId="4EAFB4E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5.3935</w:t>
            </w:r>
          </w:p>
        </w:tc>
        <w:tc>
          <w:tcPr>
            <w:tcW w:w="662" w:type="pct"/>
            <w:vAlign w:val="center"/>
          </w:tcPr>
          <w:p w14:paraId="45BCB48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2.70</w:t>
            </w:r>
          </w:p>
        </w:tc>
        <w:tc>
          <w:tcPr>
            <w:tcW w:w="801" w:type="pct"/>
            <w:vAlign w:val="center"/>
          </w:tcPr>
          <w:p w14:paraId="73665D0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0.1226</w:t>
            </w:r>
          </w:p>
        </w:tc>
        <w:tc>
          <w:tcPr>
            <w:tcW w:w="659" w:type="pct"/>
            <w:vAlign w:val="center"/>
          </w:tcPr>
          <w:p w14:paraId="390AF7E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1.23</w:t>
            </w:r>
          </w:p>
        </w:tc>
        <w:tc>
          <w:tcPr>
            <w:tcW w:w="670" w:type="pct"/>
            <w:vAlign w:val="center"/>
          </w:tcPr>
          <w:p w14:paraId="7571035C">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1.7161</w:t>
            </w:r>
          </w:p>
        </w:tc>
        <w:tc>
          <w:tcPr>
            <w:tcW w:w="609" w:type="pct"/>
            <w:vAlign w:val="center"/>
          </w:tcPr>
          <w:p w14:paraId="629C099F">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0.09</w:t>
            </w:r>
          </w:p>
        </w:tc>
      </w:tr>
      <w:tr w14:paraId="787ABCC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95" w:type="pct"/>
            <w:vAlign w:val="center"/>
          </w:tcPr>
          <w:p w14:paraId="15055C5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100.0</w:t>
            </w:r>
          </w:p>
        </w:tc>
        <w:tc>
          <w:tcPr>
            <w:tcW w:w="804" w:type="pct"/>
            <w:vAlign w:val="center"/>
          </w:tcPr>
          <w:p w14:paraId="09B3CBE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2.0041</w:t>
            </w:r>
          </w:p>
        </w:tc>
        <w:tc>
          <w:tcPr>
            <w:tcW w:w="662" w:type="pct"/>
            <w:vAlign w:val="center"/>
          </w:tcPr>
          <w:p w14:paraId="51A0FD2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1.00</w:t>
            </w:r>
          </w:p>
        </w:tc>
        <w:tc>
          <w:tcPr>
            <w:tcW w:w="801" w:type="pct"/>
            <w:vAlign w:val="center"/>
          </w:tcPr>
          <w:p w14:paraId="281DBF6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0.0455</w:t>
            </w:r>
          </w:p>
        </w:tc>
        <w:tc>
          <w:tcPr>
            <w:tcW w:w="659" w:type="pct"/>
            <w:vAlign w:val="center"/>
          </w:tcPr>
          <w:p w14:paraId="1843B4C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0.46</w:t>
            </w:r>
          </w:p>
        </w:tc>
        <w:tc>
          <w:tcPr>
            <w:tcW w:w="670" w:type="pct"/>
            <w:vAlign w:val="center"/>
          </w:tcPr>
          <w:p w14:paraId="4C7210DC">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0.6377</w:t>
            </w:r>
          </w:p>
        </w:tc>
        <w:tc>
          <w:tcPr>
            <w:tcW w:w="609" w:type="pct"/>
            <w:vAlign w:val="center"/>
          </w:tcPr>
          <w:p w14:paraId="410A5B92">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0.03</w:t>
            </w:r>
          </w:p>
        </w:tc>
      </w:tr>
      <w:tr w14:paraId="2E4912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95" w:type="pct"/>
            <w:vAlign w:val="center"/>
          </w:tcPr>
          <w:p w14:paraId="17AA49D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200.0</w:t>
            </w:r>
          </w:p>
        </w:tc>
        <w:tc>
          <w:tcPr>
            <w:tcW w:w="804" w:type="pct"/>
            <w:vAlign w:val="center"/>
          </w:tcPr>
          <w:p w14:paraId="7ADF5B4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0.7578</w:t>
            </w:r>
          </w:p>
        </w:tc>
        <w:tc>
          <w:tcPr>
            <w:tcW w:w="662" w:type="pct"/>
            <w:vAlign w:val="center"/>
          </w:tcPr>
          <w:p w14:paraId="65BE7A8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0.38</w:t>
            </w:r>
          </w:p>
        </w:tc>
        <w:tc>
          <w:tcPr>
            <w:tcW w:w="801" w:type="pct"/>
            <w:vAlign w:val="center"/>
          </w:tcPr>
          <w:p w14:paraId="576F7A1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0.0172</w:t>
            </w:r>
          </w:p>
        </w:tc>
        <w:tc>
          <w:tcPr>
            <w:tcW w:w="659" w:type="pct"/>
            <w:vAlign w:val="center"/>
          </w:tcPr>
          <w:p w14:paraId="6AAA9CA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0.17</w:t>
            </w:r>
          </w:p>
        </w:tc>
        <w:tc>
          <w:tcPr>
            <w:tcW w:w="670" w:type="pct"/>
            <w:vAlign w:val="center"/>
          </w:tcPr>
          <w:p w14:paraId="72956E9F">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0.2411</w:t>
            </w:r>
          </w:p>
        </w:tc>
        <w:tc>
          <w:tcPr>
            <w:tcW w:w="609" w:type="pct"/>
            <w:vAlign w:val="center"/>
          </w:tcPr>
          <w:p w14:paraId="3BA9D80A">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0.01</w:t>
            </w:r>
          </w:p>
        </w:tc>
      </w:tr>
      <w:tr w14:paraId="45EDC89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95" w:type="pct"/>
            <w:vAlign w:val="center"/>
          </w:tcPr>
          <w:p w14:paraId="445101E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300.0</w:t>
            </w:r>
          </w:p>
        </w:tc>
        <w:tc>
          <w:tcPr>
            <w:tcW w:w="804" w:type="pct"/>
            <w:vAlign w:val="center"/>
          </w:tcPr>
          <w:p w14:paraId="72C399A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0.4315</w:t>
            </w:r>
          </w:p>
        </w:tc>
        <w:tc>
          <w:tcPr>
            <w:tcW w:w="662" w:type="pct"/>
            <w:vAlign w:val="center"/>
          </w:tcPr>
          <w:p w14:paraId="54EB144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0.22</w:t>
            </w:r>
          </w:p>
        </w:tc>
        <w:tc>
          <w:tcPr>
            <w:tcW w:w="801" w:type="pct"/>
            <w:vAlign w:val="center"/>
          </w:tcPr>
          <w:p w14:paraId="5975DC0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0.0098</w:t>
            </w:r>
          </w:p>
        </w:tc>
        <w:tc>
          <w:tcPr>
            <w:tcW w:w="659" w:type="pct"/>
            <w:vAlign w:val="center"/>
          </w:tcPr>
          <w:p w14:paraId="1986080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0.10</w:t>
            </w:r>
          </w:p>
        </w:tc>
        <w:tc>
          <w:tcPr>
            <w:tcW w:w="670" w:type="pct"/>
            <w:vAlign w:val="center"/>
          </w:tcPr>
          <w:p w14:paraId="49D58168">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0.1373</w:t>
            </w:r>
          </w:p>
        </w:tc>
        <w:tc>
          <w:tcPr>
            <w:tcW w:w="609" w:type="pct"/>
            <w:vAlign w:val="center"/>
          </w:tcPr>
          <w:p w14:paraId="71F12812">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0.01</w:t>
            </w:r>
          </w:p>
        </w:tc>
      </w:tr>
      <w:tr w14:paraId="7B8B14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95" w:type="pct"/>
            <w:vAlign w:val="center"/>
          </w:tcPr>
          <w:p w14:paraId="4E34DB2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400.0</w:t>
            </w:r>
          </w:p>
        </w:tc>
        <w:tc>
          <w:tcPr>
            <w:tcW w:w="804" w:type="pct"/>
            <w:vAlign w:val="center"/>
          </w:tcPr>
          <w:p w14:paraId="5CC7B3D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0.2903</w:t>
            </w:r>
          </w:p>
        </w:tc>
        <w:tc>
          <w:tcPr>
            <w:tcW w:w="662" w:type="pct"/>
            <w:vAlign w:val="center"/>
          </w:tcPr>
          <w:p w14:paraId="744B2F0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0.15</w:t>
            </w:r>
          </w:p>
        </w:tc>
        <w:tc>
          <w:tcPr>
            <w:tcW w:w="801" w:type="pct"/>
            <w:vAlign w:val="center"/>
          </w:tcPr>
          <w:p w14:paraId="0358C77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0.0066</w:t>
            </w:r>
          </w:p>
        </w:tc>
        <w:tc>
          <w:tcPr>
            <w:tcW w:w="659" w:type="pct"/>
            <w:vAlign w:val="center"/>
          </w:tcPr>
          <w:p w14:paraId="7FE7D2B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0.07</w:t>
            </w:r>
          </w:p>
        </w:tc>
        <w:tc>
          <w:tcPr>
            <w:tcW w:w="670" w:type="pct"/>
            <w:vAlign w:val="center"/>
          </w:tcPr>
          <w:p w14:paraId="05145E77">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0.0924</w:t>
            </w:r>
          </w:p>
        </w:tc>
        <w:tc>
          <w:tcPr>
            <w:tcW w:w="609" w:type="pct"/>
            <w:vAlign w:val="center"/>
          </w:tcPr>
          <w:p w14:paraId="1BBF2D11">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0.00</w:t>
            </w:r>
          </w:p>
        </w:tc>
      </w:tr>
      <w:tr w14:paraId="5B7857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95" w:type="pct"/>
            <w:vAlign w:val="center"/>
          </w:tcPr>
          <w:p w14:paraId="218BA20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500.0</w:t>
            </w:r>
          </w:p>
        </w:tc>
        <w:tc>
          <w:tcPr>
            <w:tcW w:w="804" w:type="pct"/>
            <w:vAlign w:val="center"/>
          </w:tcPr>
          <w:p w14:paraId="04D32EB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0.2135</w:t>
            </w:r>
          </w:p>
        </w:tc>
        <w:tc>
          <w:tcPr>
            <w:tcW w:w="662" w:type="pct"/>
            <w:vAlign w:val="center"/>
          </w:tcPr>
          <w:p w14:paraId="34B43CA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0.11</w:t>
            </w:r>
          </w:p>
        </w:tc>
        <w:tc>
          <w:tcPr>
            <w:tcW w:w="801" w:type="pct"/>
            <w:vAlign w:val="center"/>
          </w:tcPr>
          <w:p w14:paraId="0188D86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0.0049</w:t>
            </w:r>
          </w:p>
        </w:tc>
        <w:tc>
          <w:tcPr>
            <w:tcW w:w="659" w:type="pct"/>
            <w:vAlign w:val="center"/>
          </w:tcPr>
          <w:p w14:paraId="79E1835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0.05</w:t>
            </w:r>
          </w:p>
        </w:tc>
        <w:tc>
          <w:tcPr>
            <w:tcW w:w="670" w:type="pct"/>
            <w:vAlign w:val="center"/>
          </w:tcPr>
          <w:p w14:paraId="230D275F">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0.0679</w:t>
            </w:r>
          </w:p>
        </w:tc>
        <w:tc>
          <w:tcPr>
            <w:tcW w:w="609" w:type="pct"/>
            <w:vAlign w:val="center"/>
          </w:tcPr>
          <w:p w14:paraId="376AC1A7">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0.00</w:t>
            </w:r>
          </w:p>
        </w:tc>
      </w:tr>
      <w:tr w14:paraId="4748D7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95" w:type="pct"/>
            <w:vAlign w:val="center"/>
          </w:tcPr>
          <w:p w14:paraId="32BD013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600.0</w:t>
            </w:r>
          </w:p>
        </w:tc>
        <w:tc>
          <w:tcPr>
            <w:tcW w:w="804" w:type="pct"/>
            <w:vAlign w:val="center"/>
          </w:tcPr>
          <w:p w14:paraId="17E4D18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0.1661</w:t>
            </w:r>
          </w:p>
        </w:tc>
        <w:tc>
          <w:tcPr>
            <w:tcW w:w="662" w:type="pct"/>
            <w:vAlign w:val="center"/>
          </w:tcPr>
          <w:p w14:paraId="40462DF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0.08</w:t>
            </w:r>
          </w:p>
        </w:tc>
        <w:tc>
          <w:tcPr>
            <w:tcW w:w="801" w:type="pct"/>
            <w:vAlign w:val="center"/>
          </w:tcPr>
          <w:p w14:paraId="5F5EFA8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0.0038</w:t>
            </w:r>
          </w:p>
        </w:tc>
        <w:tc>
          <w:tcPr>
            <w:tcW w:w="659" w:type="pct"/>
            <w:vAlign w:val="center"/>
          </w:tcPr>
          <w:p w14:paraId="59BD1E8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0.04</w:t>
            </w:r>
          </w:p>
        </w:tc>
        <w:tc>
          <w:tcPr>
            <w:tcW w:w="670" w:type="pct"/>
            <w:vAlign w:val="center"/>
          </w:tcPr>
          <w:p w14:paraId="4A968AEC">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0.0528</w:t>
            </w:r>
          </w:p>
        </w:tc>
        <w:tc>
          <w:tcPr>
            <w:tcW w:w="609" w:type="pct"/>
            <w:vAlign w:val="center"/>
          </w:tcPr>
          <w:p w14:paraId="6AA4C80F">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0.00</w:t>
            </w:r>
          </w:p>
        </w:tc>
      </w:tr>
      <w:tr w14:paraId="6A079F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95" w:type="pct"/>
            <w:vAlign w:val="center"/>
          </w:tcPr>
          <w:p w14:paraId="50839EA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700.0</w:t>
            </w:r>
          </w:p>
        </w:tc>
        <w:tc>
          <w:tcPr>
            <w:tcW w:w="804" w:type="pct"/>
            <w:vAlign w:val="center"/>
          </w:tcPr>
          <w:p w14:paraId="646B8FD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0.1344</w:t>
            </w:r>
          </w:p>
        </w:tc>
        <w:tc>
          <w:tcPr>
            <w:tcW w:w="662" w:type="pct"/>
            <w:vAlign w:val="center"/>
          </w:tcPr>
          <w:p w14:paraId="0D79228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0.07</w:t>
            </w:r>
          </w:p>
        </w:tc>
        <w:tc>
          <w:tcPr>
            <w:tcW w:w="801" w:type="pct"/>
            <w:vAlign w:val="center"/>
          </w:tcPr>
          <w:p w14:paraId="7B2DD06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0.0031</w:t>
            </w:r>
          </w:p>
        </w:tc>
        <w:tc>
          <w:tcPr>
            <w:tcW w:w="659" w:type="pct"/>
            <w:vAlign w:val="center"/>
          </w:tcPr>
          <w:p w14:paraId="27A1174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0.03</w:t>
            </w:r>
          </w:p>
        </w:tc>
        <w:tc>
          <w:tcPr>
            <w:tcW w:w="670" w:type="pct"/>
            <w:vAlign w:val="center"/>
          </w:tcPr>
          <w:p w14:paraId="4F0A60E2">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0.0428</w:t>
            </w:r>
          </w:p>
        </w:tc>
        <w:tc>
          <w:tcPr>
            <w:tcW w:w="609" w:type="pct"/>
            <w:vAlign w:val="center"/>
          </w:tcPr>
          <w:p w14:paraId="4B2A44D6">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0.00</w:t>
            </w:r>
          </w:p>
        </w:tc>
      </w:tr>
      <w:tr w14:paraId="31F56A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95" w:type="pct"/>
            <w:vAlign w:val="center"/>
          </w:tcPr>
          <w:p w14:paraId="4184390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800.0</w:t>
            </w:r>
          </w:p>
        </w:tc>
        <w:tc>
          <w:tcPr>
            <w:tcW w:w="804" w:type="pct"/>
            <w:vAlign w:val="center"/>
          </w:tcPr>
          <w:p w14:paraId="088CDBA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0.1119</w:t>
            </w:r>
          </w:p>
        </w:tc>
        <w:tc>
          <w:tcPr>
            <w:tcW w:w="662" w:type="pct"/>
            <w:vAlign w:val="center"/>
          </w:tcPr>
          <w:p w14:paraId="1ED4215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0.06</w:t>
            </w:r>
          </w:p>
        </w:tc>
        <w:tc>
          <w:tcPr>
            <w:tcW w:w="801" w:type="pct"/>
            <w:vAlign w:val="center"/>
          </w:tcPr>
          <w:p w14:paraId="4B0ECD0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0.0025</w:t>
            </w:r>
          </w:p>
        </w:tc>
        <w:tc>
          <w:tcPr>
            <w:tcW w:w="659" w:type="pct"/>
            <w:vAlign w:val="center"/>
          </w:tcPr>
          <w:p w14:paraId="11DBA27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0.03</w:t>
            </w:r>
          </w:p>
        </w:tc>
        <w:tc>
          <w:tcPr>
            <w:tcW w:w="670" w:type="pct"/>
            <w:vAlign w:val="center"/>
          </w:tcPr>
          <w:p w14:paraId="4286C827">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0.0356</w:t>
            </w:r>
          </w:p>
        </w:tc>
        <w:tc>
          <w:tcPr>
            <w:tcW w:w="609" w:type="pct"/>
            <w:vAlign w:val="center"/>
          </w:tcPr>
          <w:p w14:paraId="18A31559">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0.00</w:t>
            </w:r>
          </w:p>
        </w:tc>
      </w:tr>
      <w:tr w14:paraId="08155B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95" w:type="pct"/>
            <w:vAlign w:val="center"/>
          </w:tcPr>
          <w:p w14:paraId="2EFC047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900.0</w:t>
            </w:r>
          </w:p>
        </w:tc>
        <w:tc>
          <w:tcPr>
            <w:tcW w:w="804" w:type="pct"/>
            <w:vAlign w:val="center"/>
          </w:tcPr>
          <w:p w14:paraId="1543D95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0.0952</w:t>
            </w:r>
          </w:p>
        </w:tc>
        <w:tc>
          <w:tcPr>
            <w:tcW w:w="662" w:type="pct"/>
            <w:vAlign w:val="center"/>
          </w:tcPr>
          <w:p w14:paraId="66F5BA7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0.05</w:t>
            </w:r>
          </w:p>
        </w:tc>
        <w:tc>
          <w:tcPr>
            <w:tcW w:w="801" w:type="pct"/>
            <w:vAlign w:val="center"/>
          </w:tcPr>
          <w:p w14:paraId="7BFF5B9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0.0022</w:t>
            </w:r>
          </w:p>
        </w:tc>
        <w:tc>
          <w:tcPr>
            <w:tcW w:w="659" w:type="pct"/>
            <w:vAlign w:val="center"/>
          </w:tcPr>
          <w:p w14:paraId="0E69B36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0.02</w:t>
            </w:r>
          </w:p>
        </w:tc>
        <w:tc>
          <w:tcPr>
            <w:tcW w:w="670" w:type="pct"/>
            <w:vAlign w:val="center"/>
          </w:tcPr>
          <w:p w14:paraId="2E4B7E8E">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0.0303</w:t>
            </w:r>
          </w:p>
        </w:tc>
        <w:tc>
          <w:tcPr>
            <w:tcW w:w="609" w:type="pct"/>
            <w:vAlign w:val="center"/>
          </w:tcPr>
          <w:p w14:paraId="3CDC5DD8">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0.00</w:t>
            </w:r>
          </w:p>
        </w:tc>
      </w:tr>
      <w:tr w14:paraId="4631A5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95" w:type="pct"/>
            <w:vAlign w:val="center"/>
          </w:tcPr>
          <w:p w14:paraId="365C78B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1000.0</w:t>
            </w:r>
          </w:p>
        </w:tc>
        <w:tc>
          <w:tcPr>
            <w:tcW w:w="804" w:type="pct"/>
            <w:vAlign w:val="center"/>
          </w:tcPr>
          <w:p w14:paraId="14907D0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0.0823</w:t>
            </w:r>
          </w:p>
        </w:tc>
        <w:tc>
          <w:tcPr>
            <w:tcW w:w="662" w:type="pct"/>
            <w:vAlign w:val="center"/>
          </w:tcPr>
          <w:p w14:paraId="0618EF8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0.04</w:t>
            </w:r>
          </w:p>
        </w:tc>
        <w:tc>
          <w:tcPr>
            <w:tcW w:w="801" w:type="pct"/>
            <w:vAlign w:val="center"/>
          </w:tcPr>
          <w:p w14:paraId="05AAB9A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0.0019</w:t>
            </w:r>
          </w:p>
        </w:tc>
        <w:tc>
          <w:tcPr>
            <w:tcW w:w="659" w:type="pct"/>
            <w:vAlign w:val="center"/>
          </w:tcPr>
          <w:p w14:paraId="01A230A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0.02</w:t>
            </w:r>
          </w:p>
        </w:tc>
        <w:tc>
          <w:tcPr>
            <w:tcW w:w="670" w:type="pct"/>
            <w:vAlign w:val="center"/>
          </w:tcPr>
          <w:p w14:paraId="19E6C9A0">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0.0262</w:t>
            </w:r>
          </w:p>
        </w:tc>
        <w:tc>
          <w:tcPr>
            <w:tcW w:w="609" w:type="pct"/>
            <w:vAlign w:val="center"/>
          </w:tcPr>
          <w:p w14:paraId="0ADAC406">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0.00</w:t>
            </w:r>
          </w:p>
        </w:tc>
      </w:tr>
      <w:tr w14:paraId="43506B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95" w:type="pct"/>
            <w:vAlign w:val="center"/>
          </w:tcPr>
          <w:p w14:paraId="799A8AC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1200.0</w:t>
            </w:r>
          </w:p>
        </w:tc>
        <w:tc>
          <w:tcPr>
            <w:tcW w:w="804" w:type="pct"/>
            <w:vAlign w:val="center"/>
          </w:tcPr>
          <w:p w14:paraId="38CA30D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0.0641</w:t>
            </w:r>
          </w:p>
        </w:tc>
        <w:tc>
          <w:tcPr>
            <w:tcW w:w="662" w:type="pct"/>
            <w:vAlign w:val="center"/>
          </w:tcPr>
          <w:p w14:paraId="3FC12F7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0.03</w:t>
            </w:r>
          </w:p>
        </w:tc>
        <w:tc>
          <w:tcPr>
            <w:tcW w:w="801" w:type="pct"/>
            <w:vAlign w:val="center"/>
          </w:tcPr>
          <w:p w14:paraId="7147471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0.0015</w:t>
            </w:r>
          </w:p>
        </w:tc>
        <w:tc>
          <w:tcPr>
            <w:tcW w:w="659" w:type="pct"/>
            <w:vAlign w:val="center"/>
          </w:tcPr>
          <w:p w14:paraId="567E38A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0.01</w:t>
            </w:r>
          </w:p>
        </w:tc>
        <w:tc>
          <w:tcPr>
            <w:tcW w:w="670" w:type="pct"/>
            <w:vAlign w:val="center"/>
          </w:tcPr>
          <w:p w14:paraId="1889D1F3">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0.0204</w:t>
            </w:r>
          </w:p>
        </w:tc>
        <w:tc>
          <w:tcPr>
            <w:tcW w:w="609" w:type="pct"/>
            <w:vAlign w:val="center"/>
          </w:tcPr>
          <w:p w14:paraId="3AD999F5">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0.00</w:t>
            </w:r>
          </w:p>
        </w:tc>
      </w:tr>
      <w:tr w14:paraId="5E50CF2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95" w:type="pct"/>
            <w:vAlign w:val="center"/>
          </w:tcPr>
          <w:p w14:paraId="7F260DB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1400.0</w:t>
            </w:r>
          </w:p>
        </w:tc>
        <w:tc>
          <w:tcPr>
            <w:tcW w:w="804" w:type="pct"/>
            <w:vAlign w:val="center"/>
          </w:tcPr>
          <w:p w14:paraId="71E9AF4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0.0519</w:t>
            </w:r>
          </w:p>
        </w:tc>
        <w:tc>
          <w:tcPr>
            <w:tcW w:w="662" w:type="pct"/>
            <w:vAlign w:val="center"/>
          </w:tcPr>
          <w:p w14:paraId="2CF50EE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0.03</w:t>
            </w:r>
          </w:p>
        </w:tc>
        <w:tc>
          <w:tcPr>
            <w:tcW w:w="801" w:type="pct"/>
            <w:vAlign w:val="center"/>
          </w:tcPr>
          <w:p w14:paraId="5048A57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0.0012</w:t>
            </w:r>
          </w:p>
        </w:tc>
        <w:tc>
          <w:tcPr>
            <w:tcW w:w="659" w:type="pct"/>
            <w:vAlign w:val="center"/>
          </w:tcPr>
          <w:p w14:paraId="0E012E1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0.01</w:t>
            </w:r>
          </w:p>
        </w:tc>
        <w:tc>
          <w:tcPr>
            <w:tcW w:w="670" w:type="pct"/>
            <w:vAlign w:val="center"/>
          </w:tcPr>
          <w:p w14:paraId="385E64F5">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0.0165</w:t>
            </w:r>
          </w:p>
        </w:tc>
        <w:tc>
          <w:tcPr>
            <w:tcW w:w="609" w:type="pct"/>
            <w:vAlign w:val="center"/>
          </w:tcPr>
          <w:p w14:paraId="5AFA8E84">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0.00</w:t>
            </w:r>
          </w:p>
        </w:tc>
      </w:tr>
      <w:tr w14:paraId="3D6BE6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95" w:type="pct"/>
            <w:vAlign w:val="center"/>
          </w:tcPr>
          <w:p w14:paraId="5D275BD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1600.0</w:t>
            </w:r>
          </w:p>
        </w:tc>
        <w:tc>
          <w:tcPr>
            <w:tcW w:w="804" w:type="pct"/>
            <w:vAlign w:val="center"/>
          </w:tcPr>
          <w:p w14:paraId="49FA1C3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0.0432</w:t>
            </w:r>
          </w:p>
        </w:tc>
        <w:tc>
          <w:tcPr>
            <w:tcW w:w="662" w:type="pct"/>
            <w:vAlign w:val="center"/>
          </w:tcPr>
          <w:p w14:paraId="1B1877A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0.02</w:t>
            </w:r>
          </w:p>
        </w:tc>
        <w:tc>
          <w:tcPr>
            <w:tcW w:w="801" w:type="pct"/>
            <w:vAlign w:val="center"/>
          </w:tcPr>
          <w:p w14:paraId="14B2A16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0.0010</w:t>
            </w:r>
          </w:p>
        </w:tc>
        <w:tc>
          <w:tcPr>
            <w:tcW w:w="659" w:type="pct"/>
            <w:vAlign w:val="center"/>
          </w:tcPr>
          <w:p w14:paraId="23E5AEB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0.01</w:t>
            </w:r>
          </w:p>
        </w:tc>
        <w:tc>
          <w:tcPr>
            <w:tcW w:w="670" w:type="pct"/>
            <w:vAlign w:val="center"/>
          </w:tcPr>
          <w:p w14:paraId="67287100">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0.0138</w:t>
            </w:r>
          </w:p>
        </w:tc>
        <w:tc>
          <w:tcPr>
            <w:tcW w:w="609" w:type="pct"/>
            <w:vAlign w:val="center"/>
          </w:tcPr>
          <w:p w14:paraId="2C77D605">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0.00</w:t>
            </w:r>
          </w:p>
        </w:tc>
      </w:tr>
      <w:tr w14:paraId="43E3E7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95" w:type="pct"/>
            <w:vAlign w:val="center"/>
          </w:tcPr>
          <w:p w14:paraId="6F69AAA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1800.0</w:t>
            </w:r>
          </w:p>
        </w:tc>
        <w:tc>
          <w:tcPr>
            <w:tcW w:w="804" w:type="pct"/>
            <w:vAlign w:val="center"/>
          </w:tcPr>
          <w:p w14:paraId="43C3C65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0.0368</w:t>
            </w:r>
          </w:p>
        </w:tc>
        <w:tc>
          <w:tcPr>
            <w:tcW w:w="662" w:type="pct"/>
            <w:vAlign w:val="center"/>
          </w:tcPr>
          <w:p w14:paraId="489DE2E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0.02</w:t>
            </w:r>
          </w:p>
        </w:tc>
        <w:tc>
          <w:tcPr>
            <w:tcW w:w="801" w:type="pct"/>
            <w:vAlign w:val="center"/>
          </w:tcPr>
          <w:p w14:paraId="6C17BC0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0.0008</w:t>
            </w:r>
          </w:p>
        </w:tc>
        <w:tc>
          <w:tcPr>
            <w:tcW w:w="659" w:type="pct"/>
            <w:vAlign w:val="center"/>
          </w:tcPr>
          <w:p w14:paraId="6595EE4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0.01</w:t>
            </w:r>
          </w:p>
        </w:tc>
        <w:tc>
          <w:tcPr>
            <w:tcW w:w="670" w:type="pct"/>
            <w:vAlign w:val="center"/>
          </w:tcPr>
          <w:p w14:paraId="00BFD1D5">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0.0117</w:t>
            </w:r>
          </w:p>
        </w:tc>
        <w:tc>
          <w:tcPr>
            <w:tcW w:w="609" w:type="pct"/>
            <w:vAlign w:val="center"/>
          </w:tcPr>
          <w:p w14:paraId="7D83407F">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0.00</w:t>
            </w:r>
          </w:p>
        </w:tc>
      </w:tr>
      <w:tr w14:paraId="756068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95" w:type="pct"/>
            <w:vAlign w:val="center"/>
          </w:tcPr>
          <w:p w14:paraId="1921BB7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2000.0</w:t>
            </w:r>
          </w:p>
        </w:tc>
        <w:tc>
          <w:tcPr>
            <w:tcW w:w="804" w:type="pct"/>
            <w:vAlign w:val="center"/>
          </w:tcPr>
          <w:p w14:paraId="3E21EDF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0.0319</w:t>
            </w:r>
          </w:p>
        </w:tc>
        <w:tc>
          <w:tcPr>
            <w:tcW w:w="662" w:type="pct"/>
            <w:vAlign w:val="center"/>
          </w:tcPr>
          <w:p w14:paraId="36B2205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0.02</w:t>
            </w:r>
          </w:p>
        </w:tc>
        <w:tc>
          <w:tcPr>
            <w:tcW w:w="801" w:type="pct"/>
            <w:vAlign w:val="center"/>
          </w:tcPr>
          <w:p w14:paraId="6A8FE27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0.0007</w:t>
            </w:r>
          </w:p>
        </w:tc>
        <w:tc>
          <w:tcPr>
            <w:tcW w:w="659" w:type="pct"/>
            <w:vAlign w:val="center"/>
          </w:tcPr>
          <w:p w14:paraId="2CEF5A1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0.01</w:t>
            </w:r>
          </w:p>
        </w:tc>
        <w:tc>
          <w:tcPr>
            <w:tcW w:w="670" w:type="pct"/>
            <w:vAlign w:val="center"/>
          </w:tcPr>
          <w:p w14:paraId="3D041F21">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0.0101</w:t>
            </w:r>
          </w:p>
        </w:tc>
        <w:tc>
          <w:tcPr>
            <w:tcW w:w="609" w:type="pct"/>
            <w:vAlign w:val="center"/>
          </w:tcPr>
          <w:p w14:paraId="6A763520">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0.00</w:t>
            </w:r>
          </w:p>
        </w:tc>
      </w:tr>
      <w:tr w14:paraId="35F8D6C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95" w:type="pct"/>
            <w:vAlign w:val="center"/>
          </w:tcPr>
          <w:p w14:paraId="0E9F1DF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2500.0</w:t>
            </w:r>
          </w:p>
        </w:tc>
        <w:tc>
          <w:tcPr>
            <w:tcW w:w="804" w:type="pct"/>
            <w:vAlign w:val="center"/>
          </w:tcPr>
          <w:p w14:paraId="094C3CA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0.0235</w:t>
            </w:r>
          </w:p>
        </w:tc>
        <w:tc>
          <w:tcPr>
            <w:tcW w:w="662" w:type="pct"/>
            <w:vAlign w:val="center"/>
          </w:tcPr>
          <w:p w14:paraId="4CBFC2E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0.01</w:t>
            </w:r>
          </w:p>
        </w:tc>
        <w:tc>
          <w:tcPr>
            <w:tcW w:w="801" w:type="pct"/>
            <w:vAlign w:val="center"/>
          </w:tcPr>
          <w:p w14:paraId="73A5423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0.0005</w:t>
            </w:r>
          </w:p>
        </w:tc>
        <w:tc>
          <w:tcPr>
            <w:tcW w:w="659" w:type="pct"/>
            <w:vAlign w:val="center"/>
          </w:tcPr>
          <w:p w14:paraId="25EAA64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0.01</w:t>
            </w:r>
          </w:p>
        </w:tc>
        <w:tc>
          <w:tcPr>
            <w:tcW w:w="670" w:type="pct"/>
            <w:vAlign w:val="center"/>
          </w:tcPr>
          <w:p w14:paraId="27385FF5">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0.0075</w:t>
            </w:r>
          </w:p>
        </w:tc>
        <w:tc>
          <w:tcPr>
            <w:tcW w:w="609" w:type="pct"/>
            <w:vAlign w:val="center"/>
          </w:tcPr>
          <w:p w14:paraId="77FE7D7E">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0.00</w:t>
            </w:r>
          </w:p>
        </w:tc>
      </w:tr>
      <w:tr w14:paraId="0EACEB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95" w:type="pct"/>
            <w:vAlign w:val="center"/>
          </w:tcPr>
          <w:p w14:paraId="34ECED5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下风向最大浓度</w:t>
            </w:r>
          </w:p>
        </w:tc>
        <w:tc>
          <w:tcPr>
            <w:tcW w:w="804" w:type="pct"/>
            <w:vAlign w:val="center"/>
          </w:tcPr>
          <w:p w14:paraId="0059773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13.2960</w:t>
            </w:r>
          </w:p>
        </w:tc>
        <w:tc>
          <w:tcPr>
            <w:tcW w:w="662" w:type="pct"/>
            <w:vAlign w:val="center"/>
          </w:tcPr>
          <w:p w14:paraId="033F990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6.65</w:t>
            </w:r>
          </w:p>
        </w:tc>
        <w:tc>
          <w:tcPr>
            <w:tcW w:w="801" w:type="pct"/>
            <w:vAlign w:val="center"/>
          </w:tcPr>
          <w:p w14:paraId="39DE7AC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0.3022</w:t>
            </w:r>
          </w:p>
        </w:tc>
        <w:tc>
          <w:tcPr>
            <w:tcW w:w="659" w:type="pct"/>
            <w:vAlign w:val="center"/>
          </w:tcPr>
          <w:p w14:paraId="27193FA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3.02</w:t>
            </w:r>
          </w:p>
        </w:tc>
        <w:tc>
          <w:tcPr>
            <w:tcW w:w="670" w:type="pct"/>
            <w:vAlign w:val="center"/>
          </w:tcPr>
          <w:p w14:paraId="21EB7788">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4.2305</w:t>
            </w:r>
          </w:p>
        </w:tc>
        <w:tc>
          <w:tcPr>
            <w:tcW w:w="609" w:type="pct"/>
            <w:vAlign w:val="center"/>
          </w:tcPr>
          <w:p w14:paraId="0AA868C7">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0.21</w:t>
            </w:r>
          </w:p>
        </w:tc>
      </w:tr>
      <w:tr w14:paraId="5591714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95" w:type="pct"/>
            <w:vAlign w:val="center"/>
          </w:tcPr>
          <w:p w14:paraId="1AE0C46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下风向最大浓度出现距离</w:t>
            </w:r>
          </w:p>
        </w:tc>
        <w:tc>
          <w:tcPr>
            <w:tcW w:w="804" w:type="pct"/>
            <w:vAlign w:val="center"/>
          </w:tcPr>
          <w:p w14:paraId="3BDBF58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21.0</w:t>
            </w:r>
          </w:p>
        </w:tc>
        <w:tc>
          <w:tcPr>
            <w:tcW w:w="662" w:type="pct"/>
            <w:vAlign w:val="center"/>
          </w:tcPr>
          <w:p w14:paraId="0066AF1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21.0</w:t>
            </w:r>
          </w:p>
        </w:tc>
        <w:tc>
          <w:tcPr>
            <w:tcW w:w="801" w:type="pct"/>
            <w:vAlign w:val="center"/>
          </w:tcPr>
          <w:p w14:paraId="7E57823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21.0</w:t>
            </w:r>
          </w:p>
        </w:tc>
        <w:tc>
          <w:tcPr>
            <w:tcW w:w="659" w:type="pct"/>
            <w:vAlign w:val="center"/>
          </w:tcPr>
          <w:p w14:paraId="7E2B135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21.0</w:t>
            </w:r>
          </w:p>
        </w:tc>
        <w:tc>
          <w:tcPr>
            <w:tcW w:w="670" w:type="pct"/>
            <w:vAlign w:val="center"/>
          </w:tcPr>
          <w:p w14:paraId="22AF6E36">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21.0</w:t>
            </w:r>
          </w:p>
        </w:tc>
        <w:tc>
          <w:tcPr>
            <w:tcW w:w="609" w:type="pct"/>
            <w:vAlign w:val="center"/>
          </w:tcPr>
          <w:p w14:paraId="168FB6E5">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21.0</w:t>
            </w:r>
          </w:p>
        </w:tc>
      </w:tr>
      <w:tr w14:paraId="26B778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795" w:type="pct"/>
            <w:vAlign w:val="center"/>
          </w:tcPr>
          <w:p w14:paraId="47B3A30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D10%最远距离</w:t>
            </w:r>
          </w:p>
        </w:tc>
        <w:tc>
          <w:tcPr>
            <w:tcW w:w="804" w:type="pct"/>
            <w:vAlign w:val="center"/>
          </w:tcPr>
          <w:p w14:paraId="5183505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w:t>
            </w:r>
          </w:p>
        </w:tc>
        <w:tc>
          <w:tcPr>
            <w:tcW w:w="662" w:type="pct"/>
            <w:vAlign w:val="center"/>
          </w:tcPr>
          <w:p w14:paraId="35AED86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w:t>
            </w:r>
          </w:p>
        </w:tc>
        <w:tc>
          <w:tcPr>
            <w:tcW w:w="801" w:type="pct"/>
            <w:vAlign w:val="center"/>
          </w:tcPr>
          <w:p w14:paraId="0FB1A2D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w:t>
            </w:r>
          </w:p>
        </w:tc>
        <w:tc>
          <w:tcPr>
            <w:tcW w:w="659" w:type="pct"/>
            <w:vAlign w:val="center"/>
          </w:tcPr>
          <w:p w14:paraId="2CC1ED4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w:t>
            </w:r>
          </w:p>
        </w:tc>
        <w:tc>
          <w:tcPr>
            <w:tcW w:w="670" w:type="pct"/>
            <w:vAlign w:val="center"/>
          </w:tcPr>
          <w:p w14:paraId="5EEC2B4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609" w:type="pct"/>
            <w:vAlign w:val="center"/>
          </w:tcPr>
          <w:p w14:paraId="0FAACFE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r>
    </w:tbl>
    <w:p w14:paraId="408BF3F1">
      <w:pPr>
        <w:pStyle w:val="11"/>
      </w:pPr>
      <w:r>
        <w:rPr>
          <w:rFonts w:hint="eastAsia"/>
        </w:rPr>
        <w:t xml:space="preserve"> 工业级混合油车间无组织估算结果一览表</w:t>
      </w:r>
    </w:p>
    <w:tbl>
      <w:tblPr>
        <w:tblStyle w:val="30"/>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000"/>
        <w:gridCol w:w="1360"/>
        <w:gridCol w:w="1497"/>
        <w:gridCol w:w="1567"/>
        <w:gridCol w:w="1818"/>
      </w:tblGrid>
      <w:tr w14:paraId="5E5B8A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blHeader/>
        </w:trPr>
        <w:tc>
          <w:tcPr>
            <w:tcW w:w="1623" w:type="pct"/>
            <w:vMerge w:val="restart"/>
            <w:vAlign w:val="center"/>
          </w:tcPr>
          <w:p w14:paraId="113C969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下风向距离</w:t>
            </w:r>
          </w:p>
        </w:tc>
        <w:tc>
          <w:tcPr>
            <w:tcW w:w="3377" w:type="pct"/>
            <w:gridSpan w:val="4"/>
            <w:vAlign w:val="center"/>
          </w:tcPr>
          <w:p w14:paraId="2986B9F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工业级混合油车间</w:t>
            </w:r>
          </w:p>
        </w:tc>
      </w:tr>
      <w:tr w14:paraId="7192B1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blHeader/>
        </w:trPr>
        <w:tc>
          <w:tcPr>
            <w:tcW w:w="1623" w:type="pct"/>
            <w:vMerge w:val="continue"/>
            <w:vAlign w:val="center"/>
          </w:tcPr>
          <w:p w14:paraId="78E5F50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36" w:type="pct"/>
            <w:vAlign w:val="center"/>
          </w:tcPr>
          <w:p w14:paraId="09DF64E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TSP浓度</w:t>
            </w:r>
          </w:p>
          <w:p w14:paraId="28F6309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μg/m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810" w:type="pct"/>
            <w:vAlign w:val="center"/>
          </w:tcPr>
          <w:p w14:paraId="4789880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TSP占标率</w:t>
            </w:r>
          </w:p>
          <w:p w14:paraId="07B2CDE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848" w:type="pct"/>
            <w:vAlign w:val="center"/>
          </w:tcPr>
          <w:p w14:paraId="2CF9189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NMHC浓度</w:t>
            </w:r>
          </w:p>
          <w:p w14:paraId="6D1F31C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μg/m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983" w:type="pct"/>
            <w:vAlign w:val="center"/>
          </w:tcPr>
          <w:p w14:paraId="4CEAB8A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NMHC占标率</w:t>
            </w:r>
          </w:p>
          <w:p w14:paraId="61CD83B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w:t>
            </w:r>
            <w:r>
              <w:rPr>
                <w:rFonts w:hint="eastAsia"/>
                <w:color w:val="0D0D0D" w:themeColor="text1" w:themeTint="F2"/>
                <w:sz w:val="21"/>
                <w:szCs w:val="21"/>
                <w:u w:val="single"/>
                <w14:textFill>
                  <w14:solidFill>
                    <w14:schemeClr w14:val="tx1">
                      <w14:lumMod w14:val="95000"/>
                      <w14:lumOff w14:val="5000"/>
                    </w14:schemeClr>
                  </w14:solidFill>
                </w14:textFill>
              </w:rPr>
              <w:t>）</w:t>
            </w:r>
          </w:p>
        </w:tc>
      </w:tr>
      <w:tr w14:paraId="6E3801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3" w:type="pct"/>
            <w:vAlign w:val="center"/>
          </w:tcPr>
          <w:p w14:paraId="23C3669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50.0</w:t>
            </w:r>
          </w:p>
        </w:tc>
        <w:tc>
          <w:tcPr>
            <w:tcW w:w="736" w:type="pct"/>
            <w:vAlign w:val="center"/>
          </w:tcPr>
          <w:p w14:paraId="1A44934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6.8401</w:t>
            </w:r>
          </w:p>
        </w:tc>
        <w:tc>
          <w:tcPr>
            <w:tcW w:w="810" w:type="pct"/>
            <w:vAlign w:val="center"/>
          </w:tcPr>
          <w:p w14:paraId="53D35A3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0.76</w:t>
            </w:r>
          </w:p>
        </w:tc>
        <w:tc>
          <w:tcPr>
            <w:tcW w:w="848" w:type="pct"/>
            <w:vAlign w:val="center"/>
          </w:tcPr>
          <w:p w14:paraId="307F18BF">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33.7119</w:t>
            </w:r>
          </w:p>
        </w:tc>
        <w:tc>
          <w:tcPr>
            <w:tcW w:w="983" w:type="pct"/>
            <w:vAlign w:val="center"/>
          </w:tcPr>
          <w:p w14:paraId="230C09F2">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1.69</w:t>
            </w:r>
          </w:p>
        </w:tc>
      </w:tr>
      <w:tr w14:paraId="76EC5A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3" w:type="pct"/>
            <w:vAlign w:val="center"/>
          </w:tcPr>
          <w:p w14:paraId="75A2A88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100.0</w:t>
            </w:r>
          </w:p>
        </w:tc>
        <w:tc>
          <w:tcPr>
            <w:tcW w:w="736" w:type="pct"/>
            <w:vAlign w:val="center"/>
          </w:tcPr>
          <w:p w14:paraId="7C27D10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5.2839</w:t>
            </w:r>
          </w:p>
        </w:tc>
        <w:tc>
          <w:tcPr>
            <w:tcW w:w="810" w:type="pct"/>
            <w:vAlign w:val="center"/>
          </w:tcPr>
          <w:p w14:paraId="1E8BDEB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0.59</w:t>
            </w:r>
          </w:p>
        </w:tc>
        <w:tc>
          <w:tcPr>
            <w:tcW w:w="848" w:type="pct"/>
            <w:vAlign w:val="center"/>
          </w:tcPr>
          <w:p w14:paraId="70D238EC">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26.0421</w:t>
            </w:r>
          </w:p>
        </w:tc>
        <w:tc>
          <w:tcPr>
            <w:tcW w:w="983" w:type="pct"/>
            <w:vAlign w:val="center"/>
          </w:tcPr>
          <w:p w14:paraId="5EC73893">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1.30</w:t>
            </w:r>
          </w:p>
        </w:tc>
      </w:tr>
      <w:tr w14:paraId="1A2BCC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3" w:type="pct"/>
            <w:vAlign w:val="center"/>
          </w:tcPr>
          <w:p w14:paraId="6468989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200.0</w:t>
            </w:r>
          </w:p>
        </w:tc>
        <w:tc>
          <w:tcPr>
            <w:tcW w:w="736" w:type="pct"/>
            <w:vAlign w:val="center"/>
          </w:tcPr>
          <w:p w14:paraId="1BB22A0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3.0733</w:t>
            </w:r>
          </w:p>
        </w:tc>
        <w:tc>
          <w:tcPr>
            <w:tcW w:w="810" w:type="pct"/>
            <w:vAlign w:val="center"/>
          </w:tcPr>
          <w:p w14:paraId="1D03143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0.34</w:t>
            </w:r>
          </w:p>
        </w:tc>
        <w:tc>
          <w:tcPr>
            <w:tcW w:w="848" w:type="pct"/>
            <w:vAlign w:val="center"/>
          </w:tcPr>
          <w:p w14:paraId="37C0437D">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15.1470</w:t>
            </w:r>
          </w:p>
        </w:tc>
        <w:tc>
          <w:tcPr>
            <w:tcW w:w="983" w:type="pct"/>
            <w:vAlign w:val="center"/>
          </w:tcPr>
          <w:p w14:paraId="6F8DFBC8">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0.76</w:t>
            </w:r>
          </w:p>
        </w:tc>
      </w:tr>
      <w:tr w14:paraId="4C1801E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3" w:type="pct"/>
            <w:vAlign w:val="center"/>
          </w:tcPr>
          <w:p w14:paraId="1D40573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300.0</w:t>
            </w:r>
          </w:p>
        </w:tc>
        <w:tc>
          <w:tcPr>
            <w:tcW w:w="736" w:type="pct"/>
            <w:vAlign w:val="center"/>
          </w:tcPr>
          <w:p w14:paraId="485F4EF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2.0101</w:t>
            </w:r>
          </w:p>
        </w:tc>
        <w:tc>
          <w:tcPr>
            <w:tcW w:w="810" w:type="pct"/>
            <w:vAlign w:val="center"/>
          </w:tcPr>
          <w:p w14:paraId="0B65667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0.22</w:t>
            </w:r>
          </w:p>
        </w:tc>
        <w:tc>
          <w:tcPr>
            <w:tcW w:w="848" w:type="pct"/>
            <w:vAlign w:val="center"/>
          </w:tcPr>
          <w:p w14:paraId="574D651F">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9.9069</w:t>
            </w:r>
          </w:p>
        </w:tc>
        <w:tc>
          <w:tcPr>
            <w:tcW w:w="983" w:type="pct"/>
            <w:vAlign w:val="center"/>
          </w:tcPr>
          <w:p w14:paraId="06382DB5">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0.50</w:t>
            </w:r>
          </w:p>
        </w:tc>
      </w:tr>
      <w:tr w14:paraId="626360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3" w:type="pct"/>
            <w:vAlign w:val="center"/>
          </w:tcPr>
          <w:p w14:paraId="500DB04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400.0</w:t>
            </w:r>
          </w:p>
        </w:tc>
        <w:tc>
          <w:tcPr>
            <w:tcW w:w="736" w:type="pct"/>
            <w:vAlign w:val="center"/>
          </w:tcPr>
          <w:p w14:paraId="3830072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1.4445</w:t>
            </w:r>
          </w:p>
        </w:tc>
        <w:tc>
          <w:tcPr>
            <w:tcW w:w="810" w:type="pct"/>
            <w:vAlign w:val="center"/>
          </w:tcPr>
          <w:p w14:paraId="258E627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0.16</w:t>
            </w:r>
          </w:p>
        </w:tc>
        <w:tc>
          <w:tcPr>
            <w:tcW w:w="848" w:type="pct"/>
            <w:vAlign w:val="center"/>
          </w:tcPr>
          <w:p w14:paraId="17D6D65D">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7.1193</w:t>
            </w:r>
          </w:p>
        </w:tc>
        <w:tc>
          <w:tcPr>
            <w:tcW w:w="983" w:type="pct"/>
            <w:vAlign w:val="center"/>
          </w:tcPr>
          <w:p w14:paraId="50AF3F8B">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0.36</w:t>
            </w:r>
          </w:p>
        </w:tc>
      </w:tr>
      <w:tr w14:paraId="57E889C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3" w:type="pct"/>
            <w:vAlign w:val="center"/>
          </w:tcPr>
          <w:p w14:paraId="197F5A6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500.0</w:t>
            </w:r>
          </w:p>
        </w:tc>
        <w:tc>
          <w:tcPr>
            <w:tcW w:w="736" w:type="pct"/>
            <w:vAlign w:val="center"/>
          </w:tcPr>
          <w:p w14:paraId="45BB1D2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1.1036</w:t>
            </w:r>
          </w:p>
        </w:tc>
        <w:tc>
          <w:tcPr>
            <w:tcW w:w="810" w:type="pct"/>
            <w:vAlign w:val="center"/>
          </w:tcPr>
          <w:p w14:paraId="365AE3F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0.12</w:t>
            </w:r>
          </w:p>
        </w:tc>
        <w:tc>
          <w:tcPr>
            <w:tcW w:w="848" w:type="pct"/>
            <w:vAlign w:val="center"/>
          </w:tcPr>
          <w:p w14:paraId="6873988C">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5.4392</w:t>
            </w:r>
          </w:p>
        </w:tc>
        <w:tc>
          <w:tcPr>
            <w:tcW w:w="983" w:type="pct"/>
            <w:vAlign w:val="center"/>
          </w:tcPr>
          <w:p w14:paraId="3464A979">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0.27</w:t>
            </w:r>
          </w:p>
        </w:tc>
      </w:tr>
      <w:tr w14:paraId="4C5D67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3" w:type="pct"/>
            <w:vAlign w:val="center"/>
          </w:tcPr>
          <w:p w14:paraId="0EFA1AE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600.0</w:t>
            </w:r>
          </w:p>
        </w:tc>
        <w:tc>
          <w:tcPr>
            <w:tcW w:w="736" w:type="pct"/>
            <w:vAlign w:val="center"/>
          </w:tcPr>
          <w:p w14:paraId="2BE66BE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0.8804</w:t>
            </w:r>
          </w:p>
        </w:tc>
        <w:tc>
          <w:tcPr>
            <w:tcW w:w="810" w:type="pct"/>
            <w:vAlign w:val="center"/>
          </w:tcPr>
          <w:p w14:paraId="41C5626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0.10</w:t>
            </w:r>
          </w:p>
        </w:tc>
        <w:tc>
          <w:tcPr>
            <w:tcW w:w="848" w:type="pct"/>
            <w:vAlign w:val="center"/>
          </w:tcPr>
          <w:p w14:paraId="43C91CCE">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4.3390</w:t>
            </w:r>
          </w:p>
        </w:tc>
        <w:tc>
          <w:tcPr>
            <w:tcW w:w="983" w:type="pct"/>
            <w:vAlign w:val="center"/>
          </w:tcPr>
          <w:p w14:paraId="17B0587A">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0.22</w:t>
            </w:r>
          </w:p>
        </w:tc>
      </w:tr>
      <w:tr w14:paraId="64EA78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3" w:type="pct"/>
            <w:vAlign w:val="center"/>
          </w:tcPr>
          <w:p w14:paraId="366707B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700.0</w:t>
            </w:r>
          </w:p>
        </w:tc>
        <w:tc>
          <w:tcPr>
            <w:tcW w:w="736" w:type="pct"/>
            <w:vAlign w:val="center"/>
          </w:tcPr>
          <w:p w14:paraId="29A0D82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0.7248</w:t>
            </w:r>
          </w:p>
        </w:tc>
        <w:tc>
          <w:tcPr>
            <w:tcW w:w="810" w:type="pct"/>
            <w:vAlign w:val="center"/>
          </w:tcPr>
          <w:p w14:paraId="1A91C2C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0.08</w:t>
            </w:r>
          </w:p>
        </w:tc>
        <w:tc>
          <w:tcPr>
            <w:tcW w:w="848" w:type="pct"/>
            <w:vAlign w:val="center"/>
          </w:tcPr>
          <w:p w14:paraId="0B92CD8D">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3.5722</w:t>
            </w:r>
          </w:p>
        </w:tc>
        <w:tc>
          <w:tcPr>
            <w:tcW w:w="983" w:type="pct"/>
            <w:vAlign w:val="center"/>
          </w:tcPr>
          <w:p w14:paraId="021E5F25">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0.18</w:t>
            </w:r>
          </w:p>
        </w:tc>
      </w:tr>
      <w:tr w14:paraId="467437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3" w:type="pct"/>
            <w:vAlign w:val="center"/>
          </w:tcPr>
          <w:p w14:paraId="1225698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800.0</w:t>
            </w:r>
          </w:p>
        </w:tc>
        <w:tc>
          <w:tcPr>
            <w:tcW w:w="736" w:type="pct"/>
            <w:vAlign w:val="center"/>
          </w:tcPr>
          <w:p w14:paraId="404D6B1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0.6111</w:t>
            </w:r>
          </w:p>
        </w:tc>
        <w:tc>
          <w:tcPr>
            <w:tcW w:w="810" w:type="pct"/>
            <w:vAlign w:val="center"/>
          </w:tcPr>
          <w:p w14:paraId="7511C9B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0.07</w:t>
            </w:r>
          </w:p>
        </w:tc>
        <w:tc>
          <w:tcPr>
            <w:tcW w:w="848" w:type="pct"/>
            <w:vAlign w:val="center"/>
          </w:tcPr>
          <w:p w14:paraId="690C6099">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3.0121</w:t>
            </w:r>
          </w:p>
        </w:tc>
        <w:tc>
          <w:tcPr>
            <w:tcW w:w="983" w:type="pct"/>
            <w:vAlign w:val="center"/>
          </w:tcPr>
          <w:p w14:paraId="1ED790D7">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0.15</w:t>
            </w:r>
          </w:p>
        </w:tc>
      </w:tr>
      <w:tr w14:paraId="387CF5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3" w:type="pct"/>
            <w:vAlign w:val="center"/>
          </w:tcPr>
          <w:p w14:paraId="73723D7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900.0</w:t>
            </w:r>
          </w:p>
        </w:tc>
        <w:tc>
          <w:tcPr>
            <w:tcW w:w="736" w:type="pct"/>
            <w:vAlign w:val="center"/>
          </w:tcPr>
          <w:p w14:paraId="00AC6BA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0.5251</w:t>
            </w:r>
          </w:p>
        </w:tc>
        <w:tc>
          <w:tcPr>
            <w:tcW w:w="810" w:type="pct"/>
            <w:vAlign w:val="center"/>
          </w:tcPr>
          <w:p w14:paraId="71AA975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0.06</w:t>
            </w:r>
          </w:p>
        </w:tc>
        <w:tc>
          <w:tcPr>
            <w:tcW w:w="848" w:type="pct"/>
            <w:vAlign w:val="center"/>
          </w:tcPr>
          <w:p w14:paraId="08F215B9">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2.5880</w:t>
            </w:r>
          </w:p>
        </w:tc>
        <w:tc>
          <w:tcPr>
            <w:tcW w:w="983" w:type="pct"/>
            <w:vAlign w:val="center"/>
          </w:tcPr>
          <w:p w14:paraId="71BB76BD">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0.13</w:t>
            </w:r>
          </w:p>
        </w:tc>
      </w:tr>
      <w:tr w14:paraId="0F3AE1C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3" w:type="pct"/>
            <w:vAlign w:val="center"/>
          </w:tcPr>
          <w:p w14:paraId="2CD83A1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1000.0</w:t>
            </w:r>
          </w:p>
        </w:tc>
        <w:tc>
          <w:tcPr>
            <w:tcW w:w="736" w:type="pct"/>
            <w:vAlign w:val="center"/>
          </w:tcPr>
          <w:p w14:paraId="7E39488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0.4580</w:t>
            </w:r>
          </w:p>
        </w:tc>
        <w:tc>
          <w:tcPr>
            <w:tcW w:w="810" w:type="pct"/>
            <w:vAlign w:val="center"/>
          </w:tcPr>
          <w:p w14:paraId="76A0BB3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0.05</w:t>
            </w:r>
          </w:p>
        </w:tc>
        <w:tc>
          <w:tcPr>
            <w:tcW w:w="848" w:type="pct"/>
            <w:vAlign w:val="center"/>
          </w:tcPr>
          <w:p w14:paraId="635225AB">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2.2574</w:t>
            </w:r>
          </w:p>
        </w:tc>
        <w:tc>
          <w:tcPr>
            <w:tcW w:w="983" w:type="pct"/>
            <w:vAlign w:val="center"/>
          </w:tcPr>
          <w:p w14:paraId="555D1A9E">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0.11</w:t>
            </w:r>
          </w:p>
        </w:tc>
      </w:tr>
      <w:tr w14:paraId="7B7016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3" w:type="pct"/>
            <w:vAlign w:val="center"/>
          </w:tcPr>
          <w:p w14:paraId="60F577E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1200.0</w:t>
            </w:r>
          </w:p>
        </w:tc>
        <w:tc>
          <w:tcPr>
            <w:tcW w:w="736" w:type="pct"/>
            <w:vAlign w:val="center"/>
          </w:tcPr>
          <w:p w14:paraId="44067BA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0.3609</w:t>
            </w:r>
          </w:p>
        </w:tc>
        <w:tc>
          <w:tcPr>
            <w:tcW w:w="810" w:type="pct"/>
            <w:vAlign w:val="center"/>
          </w:tcPr>
          <w:p w14:paraId="47C2136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0.04</w:t>
            </w:r>
          </w:p>
        </w:tc>
        <w:tc>
          <w:tcPr>
            <w:tcW w:w="848" w:type="pct"/>
            <w:vAlign w:val="center"/>
          </w:tcPr>
          <w:p w14:paraId="6AEBC5C9">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1.7790</w:t>
            </w:r>
          </w:p>
        </w:tc>
        <w:tc>
          <w:tcPr>
            <w:tcW w:w="983" w:type="pct"/>
            <w:vAlign w:val="center"/>
          </w:tcPr>
          <w:p w14:paraId="0DD57222">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0.09</w:t>
            </w:r>
          </w:p>
        </w:tc>
      </w:tr>
      <w:tr w14:paraId="52FFE52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3" w:type="pct"/>
            <w:vAlign w:val="center"/>
          </w:tcPr>
          <w:p w14:paraId="160B390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1400.0</w:t>
            </w:r>
          </w:p>
        </w:tc>
        <w:tc>
          <w:tcPr>
            <w:tcW w:w="736" w:type="pct"/>
            <w:vAlign w:val="center"/>
          </w:tcPr>
          <w:p w14:paraId="4796C96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0.2947</w:t>
            </w:r>
          </w:p>
        </w:tc>
        <w:tc>
          <w:tcPr>
            <w:tcW w:w="810" w:type="pct"/>
            <w:vAlign w:val="center"/>
          </w:tcPr>
          <w:p w14:paraId="7EBA7AA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0.03</w:t>
            </w:r>
          </w:p>
        </w:tc>
        <w:tc>
          <w:tcPr>
            <w:tcW w:w="848" w:type="pct"/>
            <w:vAlign w:val="center"/>
          </w:tcPr>
          <w:p w14:paraId="5CDA440B">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1.4526</w:t>
            </w:r>
          </w:p>
        </w:tc>
        <w:tc>
          <w:tcPr>
            <w:tcW w:w="983" w:type="pct"/>
            <w:vAlign w:val="center"/>
          </w:tcPr>
          <w:p w14:paraId="173D7865">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0.07</w:t>
            </w:r>
          </w:p>
        </w:tc>
      </w:tr>
      <w:tr w14:paraId="03F7F4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3" w:type="pct"/>
            <w:vAlign w:val="center"/>
          </w:tcPr>
          <w:p w14:paraId="3E07FC7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1600.0</w:t>
            </w:r>
          </w:p>
        </w:tc>
        <w:tc>
          <w:tcPr>
            <w:tcW w:w="736" w:type="pct"/>
            <w:vAlign w:val="center"/>
          </w:tcPr>
          <w:p w14:paraId="536C2FA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0.2472</w:t>
            </w:r>
          </w:p>
        </w:tc>
        <w:tc>
          <w:tcPr>
            <w:tcW w:w="810" w:type="pct"/>
            <w:vAlign w:val="center"/>
          </w:tcPr>
          <w:p w14:paraId="786CE0C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0.03</w:t>
            </w:r>
          </w:p>
        </w:tc>
        <w:tc>
          <w:tcPr>
            <w:tcW w:w="848" w:type="pct"/>
            <w:vAlign w:val="center"/>
          </w:tcPr>
          <w:p w14:paraId="6198BF7A">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1.2184</w:t>
            </w:r>
          </w:p>
        </w:tc>
        <w:tc>
          <w:tcPr>
            <w:tcW w:w="983" w:type="pct"/>
            <w:vAlign w:val="center"/>
          </w:tcPr>
          <w:p w14:paraId="3EC3B9D0">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0.06</w:t>
            </w:r>
          </w:p>
        </w:tc>
      </w:tr>
      <w:tr w14:paraId="2D8B85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3" w:type="pct"/>
            <w:vAlign w:val="center"/>
          </w:tcPr>
          <w:p w14:paraId="5A614F4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1800.0</w:t>
            </w:r>
          </w:p>
        </w:tc>
        <w:tc>
          <w:tcPr>
            <w:tcW w:w="736" w:type="pct"/>
            <w:vAlign w:val="center"/>
          </w:tcPr>
          <w:p w14:paraId="622B3A7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0.2118</w:t>
            </w:r>
          </w:p>
        </w:tc>
        <w:tc>
          <w:tcPr>
            <w:tcW w:w="810" w:type="pct"/>
            <w:vAlign w:val="center"/>
          </w:tcPr>
          <w:p w14:paraId="2F6E179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0.02</w:t>
            </w:r>
          </w:p>
        </w:tc>
        <w:tc>
          <w:tcPr>
            <w:tcW w:w="848" w:type="pct"/>
            <w:vAlign w:val="center"/>
          </w:tcPr>
          <w:p w14:paraId="7D3C7218">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1.0438</w:t>
            </w:r>
          </w:p>
        </w:tc>
        <w:tc>
          <w:tcPr>
            <w:tcW w:w="983" w:type="pct"/>
            <w:vAlign w:val="center"/>
          </w:tcPr>
          <w:p w14:paraId="4DC0B9A1">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0.05</w:t>
            </w:r>
          </w:p>
        </w:tc>
      </w:tr>
      <w:tr w14:paraId="3156BC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3" w:type="pct"/>
            <w:vAlign w:val="center"/>
          </w:tcPr>
          <w:p w14:paraId="5C96C95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2000.0</w:t>
            </w:r>
          </w:p>
        </w:tc>
        <w:tc>
          <w:tcPr>
            <w:tcW w:w="736" w:type="pct"/>
            <w:vAlign w:val="center"/>
          </w:tcPr>
          <w:p w14:paraId="1FB6664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0.1847</w:t>
            </w:r>
          </w:p>
        </w:tc>
        <w:tc>
          <w:tcPr>
            <w:tcW w:w="810" w:type="pct"/>
            <w:vAlign w:val="center"/>
          </w:tcPr>
          <w:p w14:paraId="337F2FB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0.02</w:t>
            </w:r>
          </w:p>
        </w:tc>
        <w:tc>
          <w:tcPr>
            <w:tcW w:w="848" w:type="pct"/>
            <w:vAlign w:val="center"/>
          </w:tcPr>
          <w:p w14:paraId="6A4CDF22">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0.9103</w:t>
            </w:r>
          </w:p>
        </w:tc>
        <w:tc>
          <w:tcPr>
            <w:tcW w:w="983" w:type="pct"/>
            <w:vAlign w:val="center"/>
          </w:tcPr>
          <w:p w14:paraId="508A7B30">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0.05</w:t>
            </w:r>
          </w:p>
        </w:tc>
      </w:tr>
      <w:tr w14:paraId="5CFA8F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3" w:type="pct"/>
            <w:vAlign w:val="center"/>
          </w:tcPr>
          <w:p w14:paraId="6782A59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2500.0</w:t>
            </w:r>
          </w:p>
        </w:tc>
        <w:tc>
          <w:tcPr>
            <w:tcW w:w="736" w:type="pct"/>
            <w:vAlign w:val="center"/>
          </w:tcPr>
          <w:p w14:paraId="1A18A1D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0.1396</w:t>
            </w:r>
          </w:p>
        </w:tc>
        <w:tc>
          <w:tcPr>
            <w:tcW w:w="810" w:type="pct"/>
            <w:vAlign w:val="center"/>
          </w:tcPr>
          <w:p w14:paraId="3E04E60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0.02</w:t>
            </w:r>
          </w:p>
        </w:tc>
        <w:tc>
          <w:tcPr>
            <w:tcW w:w="848" w:type="pct"/>
            <w:vAlign w:val="center"/>
          </w:tcPr>
          <w:p w14:paraId="35D32453">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0.6883</w:t>
            </w:r>
          </w:p>
        </w:tc>
        <w:tc>
          <w:tcPr>
            <w:tcW w:w="983" w:type="pct"/>
            <w:vAlign w:val="center"/>
          </w:tcPr>
          <w:p w14:paraId="297F87FC">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0.03</w:t>
            </w:r>
          </w:p>
        </w:tc>
      </w:tr>
      <w:tr w14:paraId="3FB117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3" w:type="pct"/>
            <w:vAlign w:val="center"/>
          </w:tcPr>
          <w:p w14:paraId="304D483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下风向最大浓度</w:t>
            </w:r>
          </w:p>
        </w:tc>
        <w:tc>
          <w:tcPr>
            <w:tcW w:w="736" w:type="pct"/>
            <w:vAlign w:val="center"/>
          </w:tcPr>
          <w:p w14:paraId="1FD8CC7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8.5747</w:t>
            </w:r>
          </w:p>
        </w:tc>
        <w:tc>
          <w:tcPr>
            <w:tcW w:w="810" w:type="pct"/>
            <w:vAlign w:val="center"/>
          </w:tcPr>
          <w:p w14:paraId="5B289A3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0.95</w:t>
            </w:r>
          </w:p>
        </w:tc>
        <w:tc>
          <w:tcPr>
            <w:tcW w:w="848" w:type="pct"/>
            <w:vAlign w:val="center"/>
          </w:tcPr>
          <w:p w14:paraId="308BB960">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42.2610</w:t>
            </w:r>
          </w:p>
        </w:tc>
        <w:tc>
          <w:tcPr>
            <w:tcW w:w="983" w:type="pct"/>
            <w:vAlign w:val="center"/>
          </w:tcPr>
          <w:p w14:paraId="7145D5EA">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2.11</w:t>
            </w:r>
          </w:p>
        </w:tc>
      </w:tr>
      <w:tr w14:paraId="6B0AC5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3" w:type="pct"/>
            <w:vAlign w:val="center"/>
          </w:tcPr>
          <w:p w14:paraId="07E0974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下风向最大浓度出现距离</w:t>
            </w:r>
          </w:p>
        </w:tc>
        <w:tc>
          <w:tcPr>
            <w:tcW w:w="736" w:type="pct"/>
            <w:vAlign w:val="center"/>
          </w:tcPr>
          <w:p w14:paraId="4E18FEB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32.0</w:t>
            </w:r>
          </w:p>
        </w:tc>
        <w:tc>
          <w:tcPr>
            <w:tcW w:w="810" w:type="pct"/>
            <w:vAlign w:val="center"/>
          </w:tcPr>
          <w:p w14:paraId="2FF1D1C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32.0</w:t>
            </w:r>
          </w:p>
        </w:tc>
        <w:tc>
          <w:tcPr>
            <w:tcW w:w="848" w:type="pct"/>
            <w:vAlign w:val="center"/>
          </w:tcPr>
          <w:p w14:paraId="48AC1727">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32.0</w:t>
            </w:r>
          </w:p>
        </w:tc>
        <w:tc>
          <w:tcPr>
            <w:tcW w:w="983" w:type="pct"/>
            <w:vAlign w:val="center"/>
          </w:tcPr>
          <w:p w14:paraId="05EA2198">
            <w:pPr>
              <w:spacing w:line="240" w:lineRule="auto"/>
              <w:jc w:val="center"/>
              <w:rPr>
                <w:color w:val="0D0D0D" w:themeColor="text1" w:themeTint="F2"/>
                <w:sz w:val="21"/>
                <w:szCs w:val="21"/>
                <w14:textFill>
                  <w14:solidFill>
                    <w14:schemeClr w14:val="tx1">
                      <w14:lumMod w14:val="95000"/>
                      <w14:lumOff w14:val="5000"/>
                    </w14:schemeClr>
                  </w14:solidFill>
                </w14:textFill>
              </w:rPr>
            </w:pPr>
            <w:r>
              <w:rPr>
                <w:sz w:val="21"/>
                <w:szCs w:val="21"/>
              </w:rPr>
              <w:t>32.0</w:t>
            </w:r>
          </w:p>
        </w:tc>
      </w:tr>
      <w:tr w14:paraId="0D5BD0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623" w:type="pct"/>
            <w:vAlign w:val="center"/>
          </w:tcPr>
          <w:p w14:paraId="174E184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D10%最远距离</w:t>
            </w:r>
          </w:p>
        </w:tc>
        <w:tc>
          <w:tcPr>
            <w:tcW w:w="736" w:type="pct"/>
            <w:vAlign w:val="center"/>
          </w:tcPr>
          <w:p w14:paraId="2A06FA1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w:t>
            </w:r>
          </w:p>
        </w:tc>
        <w:tc>
          <w:tcPr>
            <w:tcW w:w="810" w:type="pct"/>
            <w:vAlign w:val="center"/>
          </w:tcPr>
          <w:p w14:paraId="68B5466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w:t>
            </w:r>
          </w:p>
        </w:tc>
        <w:tc>
          <w:tcPr>
            <w:tcW w:w="848" w:type="pct"/>
            <w:vAlign w:val="center"/>
          </w:tcPr>
          <w:p w14:paraId="7F08F89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w:t>
            </w:r>
          </w:p>
        </w:tc>
        <w:tc>
          <w:tcPr>
            <w:tcW w:w="983" w:type="pct"/>
            <w:vAlign w:val="center"/>
          </w:tcPr>
          <w:p w14:paraId="59439A3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w:t>
            </w:r>
          </w:p>
        </w:tc>
      </w:tr>
    </w:tbl>
    <w:p w14:paraId="05295730">
      <w:pPr>
        <w:pStyle w:val="11"/>
      </w:pPr>
      <w:bookmarkStart w:id="163" w:name="_Toc204062627"/>
      <w:r>
        <w:rPr>
          <w:rFonts w:hint="eastAsia"/>
        </w:rPr>
        <w:t xml:space="preserve"> 甲醇罐区无组织估算结果一览表</w:t>
      </w:r>
    </w:p>
    <w:tbl>
      <w:tblPr>
        <w:tblStyle w:val="30"/>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663"/>
        <w:gridCol w:w="2880"/>
        <w:gridCol w:w="2699"/>
      </w:tblGrid>
      <w:tr w14:paraId="38544A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blHeader/>
        </w:trPr>
        <w:tc>
          <w:tcPr>
            <w:tcW w:w="1982" w:type="pct"/>
            <w:vMerge w:val="restart"/>
            <w:vAlign w:val="center"/>
          </w:tcPr>
          <w:p w14:paraId="1E02704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下风向距离</w:t>
            </w:r>
          </w:p>
        </w:tc>
        <w:tc>
          <w:tcPr>
            <w:tcW w:w="3018" w:type="pct"/>
            <w:gridSpan w:val="2"/>
            <w:vAlign w:val="center"/>
          </w:tcPr>
          <w:p w14:paraId="5E9940B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甲醇罐区</w:t>
            </w:r>
          </w:p>
        </w:tc>
      </w:tr>
      <w:tr w14:paraId="12A0C5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blHeader/>
        </w:trPr>
        <w:tc>
          <w:tcPr>
            <w:tcW w:w="1982" w:type="pct"/>
            <w:vMerge w:val="continue"/>
            <w:vAlign w:val="center"/>
          </w:tcPr>
          <w:p w14:paraId="14B910C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558" w:type="pct"/>
            <w:vAlign w:val="center"/>
          </w:tcPr>
          <w:p w14:paraId="1AC60E9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甲醇</w:t>
            </w:r>
            <w:r>
              <w:rPr>
                <w:color w:val="0D0D0D" w:themeColor="text1" w:themeTint="F2"/>
                <w:sz w:val="21"/>
                <w:szCs w:val="21"/>
                <w:u w:val="single"/>
                <w14:textFill>
                  <w14:solidFill>
                    <w14:schemeClr w14:val="tx1">
                      <w14:lumMod w14:val="95000"/>
                      <w14:lumOff w14:val="5000"/>
                    </w14:schemeClr>
                  </w14:solidFill>
                </w14:textFill>
              </w:rPr>
              <w:t>浓度</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μg/m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1460" w:type="pct"/>
            <w:vAlign w:val="center"/>
          </w:tcPr>
          <w:p w14:paraId="3B2B993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甲醇</w:t>
            </w:r>
            <w:r>
              <w:rPr>
                <w:color w:val="0D0D0D" w:themeColor="text1" w:themeTint="F2"/>
                <w:sz w:val="21"/>
                <w:szCs w:val="21"/>
                <w:u w:val="single"/>
                <w14:textFill>
                  <w14:solidFill>
                    <w14:schemeClr w14:val="tx1">
                      <w14:lumMod w14:val="95000"/>
                      <w14:lumOff w14:val="5000"/>
                    </w14:schemeClr>
                  </w14:solidFill>
                </w14:textFill>
              </w:rPr>
              <w:t>占标率</w:t>
            </w:r>
            <w:r>
              <w:rPr>
                <w:rFonts w:hint="eastAsia"/>
                <w:color w:val="0D0D0D" w:themeColor="text1" w:themeTint="F2"/>
                <w:sz w:val="21"/>
                <w:szCs w:val="21"/>
                <w:u w:val="single"/>
                <w14:textFill>
                  <w14:solidFill>
                    <w14:schemeClr w14:val="tx1">
                      <w14:lumMod w14:val="95000"/>
                      <w14:lumOff w14:val="5000"/>
                    </w14:schemeClr>
                  </w14:solidFill>
                </w14:textFill>
              </w:rPr>
              <w:t>（%）</w:t>
            </w:r>
          </w:p>
        </w:tc>
      </w:tr>
      <w:tr w14:paraId="431935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982" w:type="pct"/>
            <w:vAlign w:val="center"/>
          </w:tcPr>
          <w:p w14:paraId="3CD1B4A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50.0</w:t>
            </w:r>
          </w:p>
        </w:tc>
        <w:tc>
          <w:tcPr>
            <w:tcW w:w="1558" w:type="pct"/>
            <w:vAlign w:val="center"/>
          </w:tcPr>
          <w:p w14:paraId="540D0AD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8.9333</w:t>
            </w:r>
          </w:p>
        </w:tc>
        <w:tc>
          <w:tcPr>
            <w:tcW w:w="1460" w:type="pct"/>
            <w:vAlign w:val="center"/>
          </w:tcPr>
          <w:p w14:paraId="1365CA9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0.30</w:t>
            </w:r>
          </w:p>
        </w:tc>
      </w:tr>
      <w:tr w14:paraId="2BC831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982" w:type="pct"/>
            <w:vAlign w:val="center"/>
          </w:tcPr>
          <w:p w14:paraId="39276AD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100.0</w:t>
            </w:r>
          </w:p>
        </w:tc>
        <w:tc>
          <w:tcPr>
            <w:tcW w:w="1558" w:type="pct"/>
            <w:vAlign w:val="center"/>
          </w:tcPr>
          <w:p w14:paraId="383B6C9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4.2225</w:t>
            </w:r>
          </w:p>
        </w:tc>
        <w:tc>
          <w:tcPr>
            <w:tcW w:w="1460" w:type="pct"/>
            <w:vAlign w:val="center"/>
          </w:tcPr>
          <w:p w14:paraId="5AC0A6B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0.14</w:t>
            </w:r>
          </w:p>
        </w:tc>
      </w:tr>
      <w:tr w14:paraId="69D019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982" w:type="pct"/>
            <w:vAlign w:val="center"/>
          </w:tcPr>
          <w:p w14:paraId="3A2AE98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200.0</w:t>
            </w:r>
          </w:p>
        </w:tc>
        <w:tc>
          <w:tcPr>
            <w:tcW w:w="1558" w:type="pct"/>
            <w:vAlign w:val="center"/>
          </w:tcPr>
          <w:p w14:paraId="1B4D9D0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1.7470</w:t>
            </w:r>
          </w:p>
        </w:tc>
        <w:tc>
          <w:tcPr>
            <w:tcW w:w="1460" w:type="pct"/>
            <w:vAlign w:val="center"/>
          </w:tcPr>
          <w:p w14:paraId="0B8E369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0.06</w:t>
            </w:r>
          </w:p>
        </w:tc>
      </w:tr>
      <w:tr w14:paraId="0DAC939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982" w:type="pct"/>
            <w:vAlign w:val="center"/>
          </w:tcPr>
          <w:p w14:paraId="6F6BCEF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300.0</w:t>
            </w:r>
          </w:p>
        </w:tc>
        <w:tc>
          <w:tcPr>
            <w:tcW w:w="1558" w:type="pct"/>
            <w:vAlign w:val="center"/>
          </w:tcPr>
          <w:p w14:paraId="15EF192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1.0193</w:t>
            </w:r>
          </w:p>
        </w:tc>
        <w:tc>
          <w:tcPr>
            <w:tcW w:w="1460" w:type="pct"/>
            <w:vAlign w:val="center"/>
          </w:tcPr>
          <w:p w14:paraId="10A4646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0.03</w:t>
            </w:r>
          </w:p>
        </w:tc>
      </w:tr>
      <w:tr w14:paraId="5FB9B8F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982" w:type="pct"/>
            <w:vAlign w:val="center"/>
          </w:tcPr>
          <w:p w14:paraId="30A6EF5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400.0</w:t>
            </w:r>
          </w:p>
        </w:tc>
        <w:tc>
          <w:tcPr>
            <w:tcW w:w="1558" w:type="pct"/>
            <w:vAlign w:val="center"/>
          </w:tcPr>
          <w:p w14:paraId="0F3863C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0.6936</w:t>
            </w:r>
          </w:p>
        </w:tc>
        <w:tc>
          <w:tcPr>
            <w:tcW w:w="1460" w:type="pct"/>
            <w:vAlign w:val="center"/>
          </w:tcPr>
          <w:p w14:paraId="015973B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0.02</w:t>
            </w:r>
          </w:p>
        </w:tc>
      </w:tr>
      <w:tr w14:paraId="7783B8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982" w:type="pct"/>
            <w:vAlign w:val="center"/>
          </w:tcPr>
          <w:p w14:paraId="72FA4C2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500.0</w:t>
            </w:r>
          </w:p>
        </w:tc>
        <w:tc>
          <w:tcPr>
            <w:tcW w:w="1558" w:type="pct"/>
            <w:vAlign w:val="center"/>
          </w:tcPr>
          <w:p w14:paraId="07493B3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0.5130</w:t>
            </w:r>
          </w:p>
        </w:tc>
        <w:tc>
          <w:tcPr>
            <w:tcW w:w="1460" w:type="pct"/>
            <w:vAlign w:val="center"/>
          </w:tcPr>
          <w:p w14:paraId="1F721B0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0.02</w:t>
            </w:r>
          </w:p>
        </w:tc>
      </w:tr>
      <w:tr w14:paraId="219B5C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982" w:type="pct"/>
            <w:vAlign w:val="center"/>
          </w:tcPr>
          <w:p w14:paraId="133C9D7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600.0</w:t>
            </w:r>
          </w:p>
        </w:tc>
        <w:tc>
          <w:tcPr>
            <w:tcW w:w="1558" w:type="pct"/>
            <w:vAlign w:val="center"/>
          </w:tcPr>
          <w:p w14:paraId="17729ED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0.4007</w:t>
            </w:r>
          </w:p>
        </w:tc>
        <w:tc>
          <w:tcPr>
            <w:tcW w:w="1460" w:type="pct"/>
            <w:vAlign w:val="center"/>
          </w:tcPr>
          <w:p w14:paraId="2344CDE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0.01</w:t>
            </w:r>
          </w:p>
        </w:tc>
      </w:tr>
      <w:tr w14:paraId="267E7D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982" w:type="pct"/>
            <w:vAlign w:val="center"/>
          </w:tcPr>
          <w:p w14:paraId="602ED47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700.0</w:t>
            </w:r>
          </w:p>
        </w:tc>
        <w:tc>
          <w:tcPr>
            <w:tcW w:w="1558" w:type="pct"/>
            <w:vAlign w:val="center"/>
          </w:tcPr>
          <w:p w14:paraId="7F99FBE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0.3250</w:t>
            </w:r>
          </w:p>
        </w:tc>
        <w:tc>
          <w:tcPr>
            <w:tcW w:w="1460" w:type="pct"/>
            <w:vAlign w:val="center"/>
          </w:tcPr>
          <w:p w14:paraId="51618D8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0.01</w:t>
            </w:r>
          </w:p>
        </w:tc>
      </w:tr>
      <w:tr w14:paraId="43B969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982" w:type="pct"/>
            <w:vAlign w:val="center"/>
          </w:tcPr>
          <w:p w14:paraId="5DB00FC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800.0</w:t>
            </w:r>
          </w:p>
        </w:tc>
        <w:tc>
          <w:tcPr>
            <w:tcW w:w="1558" w:type="pct"/>
            <w:vAlign w:val="center"/>
          </w:tcPr>
          <w:p w14:paraId="465A4CD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0.2711</w:t>
            </w:r>
          </w:p>
        </w:tc>
        <w:tc>
          <w:tcPr>
            <w:tcW w:w="1460" w:type="pct"/>
            <w:vAlign w:val="center"/>
          </w:tcPr>
          <w:p w14:paraId="11429E2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0.01</w:t>
            </w:r>
          </w:p>
        </w:tc>
      </w:tr>
      <w:tr w14:paraId="500790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982" w:type="pct"/>
            <w:vAlign w:val="center"/>
          </w:tcPr>
          <w:p w14:paraId="3B1F82F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900.0</w:t>
            </w:r>
          </w:p>
        </w:tc>
        <w:tc>
          <w:tcPr>
            <w:tcW w:w="1558" w:type="pct"/>
            <w:vAlign w:val="center"/>
          </w:tcPr>
          <w:p w14:paraId="42EF968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0.2311</w:t>
            </w:r>
          </w:p>
        </w:tc>
        <w:tc>
          <w:tcPr>
            <w:tcW w:w="1460" w:type="pct"/>
            <w:vAlign w:val="center"/>
          </w:tcPr>
          <w:p w14:paraId="7C6F2C6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0.01</w:t>
            </w:r>
          </w:p>
        </w:tc>
      </w:tr>
      <w:tr w14:paraId="78FDBB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982" w:type="pct"/>
            <w:vAlign w:val="center"/>
          </w:tcPr>
          <w:p w14:paraId="4D4A445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1000.0</w:t>
            </w:r>
          </w:p>
        </w:tc>
        <w:tc>
          <w:tcPr>
            <w:tcW w:w="1558" w:type="pct"/>
            <w:vAlign w:val="center"/>
          </w:tcPr>
          <w:p w14:paraId="352D795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0.2006</w:t>
            </w:r>
          </w:p>
        </w:tc>
        <w:tc>
          <w:tcPr>
            <w:tcW w:w="1460" w:type="pct"/>
            <w:vAlign w:val="center"/>
          </w:tcPr>
          <w:p w14:paraId="2C955C2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0.01</w:t>
            </w:r>
          </w:p>
        </w:tc>
      </w:tr>
      <w:tr w14:paraId="1E1DED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982" w:type="pct"/>
            <w:vAlign w:val="center"/>
          </w:tcPr>
          <w:p w14:paraId="3917D42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1200.0</w:t>
            </w:r>
          </w:p>
        </w:tc>
        <w:tc>
          <w:tcPr>
            <w:tcW w:w="1558" w:type="pct"/>
            <w:vAlign w:val="center"/>
          </w:tcPr>
          <w:p w14:paraId="62334A5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0.1576</w:t>
            </w:r>
          </w:p>
        </w:tc>
        <w:tc>
          <w:tcPr>
            <w:tcW w:w="1460" w:type="pct"/>
            <w:vAlign w:val="center"/>
          </w:tcPr>
          <w:p w14:paraId="64B8BC5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0.01</w:t>
            </w:r>
          </w:p>
        </w:tc>
      </w:tr>
      <w:tr w14:paraId="123380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982" w:type="pct"/>
            <w:vAlign w:val="center"/>
          </w:tcPr>
          <w:p w14:paraId="7D3EAB1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1400.0</w:t>
            </w:r>
          </w:p>
        </w:tc>
        <w:tc>
          <w:tcPr>
            <w:tcW w:w="1558" w:type="pct"/>
            <w:vAlign w:val="center"/>
          </w:tcPr>
          <w:p w14:paraId="683772F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0.1297</w:t>
            </w:r>
          </w:p>
        </w:tc>
        <w:tc>
          <w:tcPr>
            <w:tcW w:w="1460" w:type="pct"/>
            <w:vAlign w:val="center"/>
          </w:tcPr>
          <w:p w14:paraId="324167A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w:t>
            </w:r>
          </w:p>
        </w:tc>
      </w:tr>
      <w:tr w14:paraId="3EEE82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982" w:type="pct"/>
            <w:vAlign w:val="center"/>
          </w:tcPr>
          <w:p w14:paraId="5CC7973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1600.0</w:t>
            </w:r>
          </w:p>
        </w:tc>
        <w:tc>
          <w:tcPr>
            <w:tcW w:w="1558" w:type="pct"/>
            <w:vAlign w:val="center"/>
          </w:tcPr>
          <w:p w14:paraId="7000939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0.1109</w:t>
            </w:r>
          </w:p>
        </w:tc>
        <w:tc>
          <w:tcPr>
            <w:tcW w:w="1460" w:type="pct"/>
            <w:vAlign w:val="center"/>
          </w:tcPr>
          <w:p w14:paraId="612AB85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w:t>
            </w:r>
          </w:p>
        </w:tc>
      </w:tr>
      <w:tr w14:paraId="52EA31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982" w:type="pct"/>
            <w:vAlign w:val="center"/>
          </w:tcPr>
          <w:p w14:paraId="5F1CB7D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1800.0</w:t>
            </w:r>
          </w:p>
        </w:tc>
        <w:tc>
          <w:tcPr>
            <w:tcW w:w="1558" w:type="pct"/>
            <w:vAlign w:val="center"/>
          </w:tcPr>
          <w:p w14:paraId="6BC62E0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0.0957</w:t>
            </w:r>
          </w:p>
        </w:tc>
        <w:tc>
          <w:tcPr>
            <w:tcW w:w="1460" w:type="pct"/>
            <w:vAlign w:val="center"/>
          </w:tcPr>
          <w:p w14:paraId="2CE11B8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w:t>
            </w:r>
          </w:p>
        </w:tc>
      </w:tr>
      <w:tr w14:paraId="76A517D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982" w:type="pct"/>
            <w:vAlign w:val="center"/>
          </w:tcPr>
          <w:p w14:paraId="7D85A04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2000.0</w:t>
            </w:r>
          </w:p>
        </w:tc>
        <w:tc>
          <w:tcPr>
            <w:tcW w:w="1558" w:type="pct"/>
            <w:vAlign w:val="center"/>
          </w:tcPr>
          <w:p w14:paraId="0A62819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0.0831</w:t>
            </w:r>
          </w:p>
        </w:tc>
        <w:tc>
          <w:tcPr>
            <w:tcW w:w="1460" w:type="pct"/>
            <w:vAlign w:val="center"/>
          </w:tcPr>
          <w:p w14:paraId="001311F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w:t>
            </w:r>
          </w:p>
        </w:tc>
      </w:tr>
      <w:tr w14:paraId="191D48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982" w:type="pct"/>
            <w:vAlign w:val="center"/>
          </w:tcPr>
          <w:p w14:paraId="36901DD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2500.0</w:t>
            </w:r>
          </w:p>
        </w:tc>
        <w:tc>
          <w:tcPr>
            <w:tcW w:w="1558" w:type="pct"/>
            <w:vAlign w:val="center"/>
          </w:tcPr>
          <w:p w14:paraId="51D4E7D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0.0615</w:t>
            </w:r>
          </w:p>
        </w:tc>
        <w:tc>
          <w:tcPr>
            <w:tcW w:w="1460" w:type="pct"/>
            <w:vAlign w:val="center"/>
          </w:tcPr>
          <w:p w14:paraId="6FCFFCA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w:t>
            </w:r>
          </w:p>
        </w:tc>
      </w:tr>
      <w:tr w14:paraId="7C2D5EC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982" w:type="pct"/>
            <w:vAlign w:val="center"/>
          </w:tcPr>
          <w:p w14:paraId="08D0BC7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下风向最大浓度</w:t>
            </w:r>
          </w:p>
        </w:tc>
        <w:tc>
          <w:tcPr>
            <w:tcW w:w="1558" w:type="pct"/>
            <w:vAlign w:val="center"/>
          </w:tcPr>
          <w:p w14:paraId="4ADA8E4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13.9920</w:t>
            </w:r>
          </w:p>
        </w:tc>
        <w:tc>
          <w:tcPr>
            <w:tcW w:w="1460" w:type="pct"/>
            <w:vAlign w:val="center"/>
          </w:tcPr>
          <w:p w14:paraId="3D90EEF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0.47</w:t>
            </w:r>
          </w:p>
        </w:tc>
      </w:tr>
      <w:tr w14:paraId="15DF2C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982" w:type="pct"/>
            <w:vAlign w:val="center"/>
          </w:tcPr>
          <w:p w14:paraId="73994C8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下风向最大浓度出现距离</w:t>
            </w:r>
          </w:p>
        </w:tc>
        <w:tc>
          <w:tcPr>
            <w:tcW w:w="1558" w:type="pct"/>
            <w:vAlign w:val="center"/>
          </w:tcPr>
          <w:p w14:paraId="5B19FA9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17.0</w:t>
            </w:r>
          </w:p>
        </w:tc>
        <w:tc>
          <w:tcPr>
            <w:tcW w:w="1460" w:type="pct"/>
            <w:vAlign w:val="center"/>
          </w:tcPr>
          <w:p w14:paraId="0EB0209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17.0</w:t>
            </w:r>
          </w:p>
        </w:tc>
      </w:tr>
      <w:tr w14:paraId="4E9FC9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982" w:type="pct"/>
            <w:vAlign w:val="center"/>
          </w:tcPr>
          <w:p w14:paraId="2DBEF16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D10%最远距离</w:t>
            </w:r>
          </w:p>
        </w:tc>
        <w:tc>
          <w:tcPr>
            <w:tcW w:w="1558" w:type="pct"/>
            <w:vAlign w:val="center"/>
          </w:tcPr>
          <w:p w14:paraId="1140C88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w:t>
            </w:r>
          </w:p>
        </w:tc>
        <w:tc>
          <w:tcPr>
            <w:tcW w:w="1460" w:type="pct"/>
            <w:vAlign w:val="center"/>
          </w:tcPr>
          <w:p w14:paraId="7D58B18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w:t>
            </w:r>
          </w:p>
        </w:tc>
      </w:tr>
    </w:tbl>
    <w:p w14:paraId="7CA3D2FE">
      <w:pPr>
        <w:pStyle w:val="11"/>
      </w:pPr>
      <w:r>
        <w:rPr>
          <w:rFonts w:hint="eastAsia"/>
        </w:rPr>
        <w:t xml:space="preserve"> 中转罐区无组织估算结果一览表</w:t>
      </w:r>
    </w:p>
    <w:tbl>
      <w:tblPr>
        <w:tblStyle w:val="30"/>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384"/>
        <w:gridCol w:w="3011"/>
        <w:gridCol w:w="2847"/>
      </w:tblGrid>
      <w:tr w14:paraId="7C8ED1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blHeader/>
        </w:trPr>
        <w:tc>
          <w:tcPr>
            <w:tcW w:w="1831" w:type="pct"/>
            <w:vMerge w:val="restart"/>
            <w:vAlign w:val="center"/>
          </w:tcPr>
          <w:p w14:paraId="33E2615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下风向距离</w:t>
            </w:r>
          </w:p>
        </w:tc>
        <w:tc>
          <w:tcPr>
            <w:tcW w:w="3169" w:type="pct"/>
            <w:gridSpan w:val="2"/>
            <w:vAlign w:val="center"/>
          </w:tcPr>
          <w:p w14:paraId="0EBCD04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中转罐区</w:t>
            </w:r>
          </w:p>
        </w:tc>
      </w:tr>
      <w:tr w14:paraId="389D7A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blHeader/>
        </w:trPr>
        <w:tc>
          <w:tcPr>
            <w:tcW w:w="1831" w:type="pct"/>
            <w:vMerge w:val="continue"/>
            <w:vAlign w:val="center"/>
          </w:tcPr>
          <w:p w14:paraId="0E06996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629" w:type="pct"/>
            <w:vAlign w:val="center"/>
          </w:tcPr>
          <w:p w14:paraId="2E36B4F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NMHC浓度</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μg/m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1540" w:type="pct"/>
            <w:vAlign w:val="center"/>
          </w:tcPr>
          <w:p w14:paraId="03C85CD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NMHC占标率</w:t>
            </w:r>
            <w:r>
              <w:rPr>
                <w:rFonts w:hint="eastAsia"/>
                <w:color w:val="0D0D0D" w:themeColor="text1" w:themeTint="F2"/>
                <w:sz w:val="21"/>
                <w:szCs w:val="21"/>
                <w:u w:val="single"/>
                <w14:textFill>
                  <w14:solidFill>
                    <w14:schemeClr w14:val="tx1">
                      <w14:lumMod w14:val="95000"/>
                      <w14:lumOff w14:val="5000"/>
                    </w14:schemeClr>
                  </w14:solidFill>
                </w14:textFill>
              </w:rPr>
              <w:t>（%）</w:t>
            </w:r>
          </w:p>
        </w:tc>
      </w:tr>
      <w:tr w14:paraId="6284F7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0C72FE5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50.0</w:t>
            </w:r>
          </w:p>
        </w:tc>
        <w:tc>
          <w:tcPr>
            <w:tcW w:w="1629" w:type="pct"/>
            <w:vAlign w:val="center"/>
          </w:tcPr>
          <w:p w14:paraId="3293186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8.0136</w:t>
            </w:r>
          </w:p>
        </w:tc>
        <w:tc>
          <w:tcPr>
            <w:tcW w:w="1540" w:type="pct"/>
            <w:vAlign w:val="center"/>
          </w:tcPr>
          <w:p w14:paraId="501C235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0.40</w:t>
            </w:r>
          </w:p>
        </w:tc>
      </w:tr>
      <w:tr w14:paraId="62D281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222377F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100.0</w:t>
            </w:r>
          </w:p>
        </w:tc>
        <w:tc>
          <w:tcPr>
            <w:tcW w:w="1629" w:type="pct"/>
            <w:vAlign w:val="center"/>
          </w:tcPr>
          <w:p w14:paraId="45BD5E2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4.5600</w:t>
            </w:r>
          </w:p>
        </w:tc>
        <w:tc>
          <w:tcPr>
            <w:tcW w:w="1540" w:type="pct"/>
            <w:vAlign w:val="center"/>
          </w:tcPr>
          <w:p w14:paraId="0CD1AC7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0.23</w:t>
            </w:r>
          </w:p>
        </w:tc>
      </w:tr>
      <w:tr w14:paraId="59888E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40C04DF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200.0</w:t>
            </w:r>
          </w:p>
        </w:tc>
        <w:tc>
          <w:tcPr>
            <w:tcW w:w="1629" w:type="pct"/>
            <w:vAlign w:val="center"/>
          </w:tcPr>
          <w:p w14:paraId="2C7BFDD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1.9977</w:t>
            </w:r>
          </w:p>
        </w:tc>
        <w:tc>
          <w:tcPr>
            <w:tcW w:w="1540" w:type="pct"/>
            <w:vAlign w:val="center"/>
          </w:tcPr>
          <w:p w14:paraId="2BC5ACF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0.10</w:t>
            </w:r>
          </w:p>
        </w:tc>
      </w:tr>
      <w:tr w14:paraId="6294ED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66C4A6B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300.0</w:t>
            </w:r>
          </w:p>
        </w:tc>
        <w:tc>
          <w:tcPr>
            <w:tcW w:w="1629" w:type="pct"/>
            <w:vAlign w:val="center"/>
          </w:tcPr>
          <w:p w14:paraId="213C0F4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1.1837</w:t>
            </w:r>
          </w:p>
        </w:tc>
        <w:tc>
          <w:tcPr>
            <w:tcW w:w="1540" w:type="pct"/>
            <w:vAlign w:val="center"/>
          </w:tcPr>
          <w:p w14:paraId="1821C52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0.06</w:t>
            </w:r>
          </w:p>
        </w:tc>
      </w:tr>
      <w:tr w14:paraId="29E511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0665C91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400.0</w:t>
            </w:r>
          </w:p>
        </w:tc>
        <w:tc>
          <w:tcPr>
            <w:tcW w:w="1629" w:type="pct"/>
            <w:vAlign w:val="center"/>
          </w:tcPr>
          <w:p w14:paraId="09E0444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0.8101</w:t>
            </w:r>
          </w:p>
        </w:tc>
        <w:tc>
          <w:tcPr>
            <w:tcW w:w="1540" w:type="pct"/>
            <w:vAlign w:val="center"/>
          </w:tcPr>
          <w:p w14:paraId="7BA9531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0.04</w:t>
            </w:r>
          </w:p>
        </w:tc>
      </w:tr>
      <w:tr w14:paraId="3D08CBD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53EDFEC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500.0</w:t>
            </w:r>
          </w:p>
        </w:tc>
        <w:tc>
          <w:tcPr>
            <w:tcW w:w="1629" w:type="pct"/>
            <w:vAlign w:val="center"/>
          </w:tcPr>
          <w:p w14:paraId="6C53E2E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0.6012</w:t>
            </w:r>
          </w:p>
        </w:tc>
        <w:tc>
          <w:tcPr>
            <w:tcW w:w="1540" w:type="pct"/>
            <w:vAlign w:val="center"/>
          </w:tcPr>
          <w:p w14:paraId="69354E4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0.03</w:t>
            </w:r>
          </w:p>
        </w:tc>
      </w:tr>
      <w:tr w14:paraId="4597C5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1580CCF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600.0</w:t>
            </w:r>
          </w:p>
        </w:tc>
        <w:tc>
          <w:tcPr>
            <w:tcW w:w="1629" w:type="pct"/>
            <w:vAlign w:val="center"/>
          </w:tcPr>
          <w:p w14:paraId="09444C7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0.4708</w:t>
            </w:r>
          </w:p>
        </w:tc>
        <w:tc>
          <w:tcPr>
            <w:tcW w:w="1540" w:type="pct"/>
            <w:vAlign w:val="center"/>
          </w:tcPr>
          <w:p w14:paraId="1C3558A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0.02</w:t>
            </w:r>
          </w:p>
        </w:tc>
      </w:tr>
      <w:tr w14:paraId="0EBD32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6A83ABB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700.0</w:t>
            </w:r>
          </w:p>
        </w:tc>
        <w:tc>
          <w:tcPr>
            <w:tcW w:w="1629" w:type="pct"/>
            <w:vAlign w:val="center"/>
          </w:tcPr>
          <w:p w14:paraId="585F430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0.3837</w:t>
            </w:r>
          </w:p>
        </w:tc>
        <w:tc>
          <w:tcPr>
            <w:tcW w:w="1540" w:type="pct"/>
            <w:vAlign w:val="center"/>
          </w:tcPr>
          <w:p w14:paraId="599A47B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0.02</w:t>
            </w:r>
          </w:p>
        </w:tc>
      </w:tr>
      <w:tr w14:paraId="17F0C6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0B40C95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800.0</w:t>
            </w:r>
          </w:p>
        </w:tc>
        <w:tc>
          <w:tcPr>
            <w:tcW w:w="1629" w:type="pct"/>
            <w:vAlign w:val="center"/>
          </w:tcPr>
          <w:p w14:paraId="4F78B5A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0.3204</w:t>
            </w:r>
          </w:p>
        </w:tc>
        <w:tc>
          <w:tcPr>
            <w:tcW w:w="1540" w:type="pct"/>
            <w:vAlign w:val="center"/>
          </w:tcPr>
          <w:p w14:paraId="64DD46C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0.02</w:t>
            </w:r>
          </w:p>
        </w:tc>
      </w:tr>
      <w:tr w14:paraId="4DC372A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0AFC6C5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900.0</w:t>
            </w:r>
          </w:p>
        </w:tc>
        <w:tc>
          <w:tcPr>
            <w:tcW w:w="1629" w:type="pct"/>
            <w:vAlign w:val="center"/>
          </w:tcPr>
          <w:p w14:paraId="10D58D9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0.2733</w:t>
            </w:r>
          </w:p>
        </w:tc>
        <w:tc>
          <w:tcPr>
            <w:tcW w:w="1540" w:type="pct"/>
            <w:vAlign w:val="center"/>
          </w:tcPr>
          <w:p w14:paraId="6BA5ABF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0.01</w:t>
            </w:r>
          </w:p>
        </w:tc>
      </w:tr>
      <w:tr w14:paraId="6CDD6DA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5E1272F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1000.0</w:t>
            </w:r>
          </w:p>
        </w:tc>
        <w:tc>
          <w:tcPr>
            <w:tcW w:w="1629" w:type="pct"/>
            <w:vAlign w:val="center"/>
          </w:tcPr>
          <w:p w14:paraId="04D1691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0.2371</w:t>
            </w:r>
          </w:p>
        </w:tc>
        <w:tc>
          <w:tcPr>
            <w:tcW w:w="1540" w:type="pct"/>
            <w:vAlign w:val="center"/>
          </w:tcPr>
          <w:p w14:paraId="70B863E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0.01</w:t>
            </w:r>
          </w:p>
        </w:tc>
      </w:tr>
      <w:tr w14:paraId="0CC594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05C3BC1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1200.0</w:t>
            </w:r>
          </w:p>
        </w:tc>
        <w:tc>
          <w:tcPr>
            <w:tcW w:w="1629" w:type="pct"/>
            <w:vAlign w:val="center"/>
          </w:tcPr>
          <w:p w14:paraId="411388E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0.1857</w:t>
            </w:r>
          </w:p>
        </w:tc>
        <w:tc>
          <w:tcPr>
            <w:tcW w:w="1540" w:type="pct"/>
            <w:vAlign w:val="center"/>
          </w:tcPr>
          <w:p w14:paraId="2578223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0.01</w:t>
            </w:r>
          </w:p>
        </w:tc>
      </w:tr>
      <w:tr w14:paraId="47D6659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12DC5B3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1400.0</w:t>
            </w:r>
          </w:p>
        </w:tc>
        <w:tc>
          <w:tcPr>
            <w:tcW w:w="1629" w:type="pct"/>
            <w:vAlign w:val="center"/>
          </w:tcPr>
          <w:p w14:paraId="2AA40E3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0.1517</w:t>
            </w:r>
          </w:p>
        </w:tc>
        <w:tc>
          <w:tcPr>
            <w:tcW w:w="1540" w:type="pct"/>
            <w:vAlign w:val="center"/>
          </w:tcPr>
          <w:p w14:paraId="72C3426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0.01</w:t>
            </w:r>
          </w:p>
        </w:tc>
      </w:tr>
      <w:tr w14:paraId="093590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07054B4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1600.0</w:t>
            </w:r>
          </w:p>
        </w:tc>
        <w:tc>
          <w:tcPr>
            <w:tcW w:w="1629" w:type="pct"/>
            <w:vAlign w:val="center"/>
          </w:tcPr>
          <w:p w14:paraId="71256CF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0.1282</w:t>
            </w:r>
          </w:p>
        </w:tc>
        <w:tc>
          <w:tcPr>
            <w:tcW w:w="1540" w:type="pct"/>
            <w:vAlign w:val="center"/>
          </w:tcPr>
          <w:p w14:paraId="43D2CDF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0.01</w:t>
            </w:r>
          </w:p>
        </w:tc>
      </w:tr>
      <w:tr w14:paraId="6D6707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66F0531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1800.0</w:t>
            </w:r>
          </w:p>
        </w:tc>
        <w:tc>
          <w:tcPr>
            <w:tcW w:w="1629" w:type="pct"/>
            <w:vAlign w:val="center"/>
          </w:tcPr>
          <w:p w14:paraId="2CB09D9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0.1114</w:t>
            </w:r>
          </w:p>
        </w:tc>
        <w:tc>
          <w:tcPr>
            <w:tcW w:w="1540" w:type="pct"/>
            <w:vAlign w:val="center"/>
          </w:tcPr>
          <w:p w14:paraId="0E9B0DA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0.01</w:t>
            </w:r>
          </w:p>
        </w:tc>
      </w:tr>
      <w:tr w14:paraId="140E93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248DDE5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2000.0</w:t>
            </w:r>
          </w:p>
        </w:tc>
        <w:tc>
          <w:tcPr>
            <w:tcW w:w="1629" w:type="pct"/>
            <w:vAlign w:val="center"/>
          </w:tcPr>
          <w:p w14:paraId="7197A38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0.0978</w:t>
            </w:r>
          </w:p>
        </w:tc>
        <w:tc>
          <w:tcPr>
            <w:tcW w:w="1540" w:type="pct"/>
            <w:vAlign w:val="center"/>
          </w:tcPr>
          <w:p w14:paraId="6168FF1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w:t>
            </w:r>
          </w:p>
        </w:tc>
      </w:tr>
      <w:tr w14:paraId="00FCF8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0E3CC12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2500.0</w:t>
            </w:r>
          </w:p>
        </w:tc>
        <w:tc>
          <w:tcPr>
            <w:tcW w:w="1629" w:type="pct"/>
            <w:vAlign w:val="center"/>
          </w:tcPr>
          <w:p w14:paraId="4BC9FAF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0.0725</w:t>
            </w:r>
          </w:p>
        </w:tc>
        <w:tc>
          <w:tcPr>
            <w:tcW w:w="1540" w:type="pct"/>
            <w:vAlign w:val="center"/>
          </w:tcPr>
          <w:p w14:paraId="1EAD7F6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0.00</w:t>
            </w:r>
          </w:p>
        </w:tc>
      </w:tr>
      <w:tr w14:paraId="1375E41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45226F8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下风向最大浓度</w:t>
            </w:r>
          </w:p>
        </w:tc>
        <w:tc>
          <w:tcPr>
            <w:tcW w:w="1629" w:type="pct"/>
            <w:vAlign w:val="center"/>
          </w:tcPr>
          <w:p w14:paraId="551E1F0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8.3810</w:t>
            </w:r>
          </w:p>
        </w:tc>
        <w:tc>
          <w:tcPr>
            <w:tcW w:w="1540" w:type="pct"/>
            <w:vAlign w:val="center"/>
          </w:tcPr>
          <w:p w14:paraId="7F985EB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0.42</w:t>
            </w:r>
          </w:p>
        </w:tc>
      </w:tr>
      <w:tr w14:paraId="7DEA97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2CBC82A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下风向最大浓度出现距离</w:t>
            </w:r>
          </w:p>
        </w:tc>
        <w:tc>
          <w:tcPr>
            <w:tcW w:w="1629" w:type="pct"/>
            <w:vAlign w:val="center"/>
          </w:tcPr>
          <w:p w14:paraId="56ED05E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43.0</w:t>
            </w:r>
          </w:p>
        </w:tc>
        <w:tc>
          <w:tcPr>
            <w:tcW w:w="1540" w:type="pct"/>
            <w:vAlign w:val="center"/>
          </w:tcPr>
          <w:p w14:paraId="5E08427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43.0</w:t>
            </w:r>
          </w:p>
        </w:tc>
      </w:tr>
      <w:tr w14:paraId="630A3E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2BB0286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D10%最远距离</w:t>
            </w:r>
          </w:p>
        </w:tc>
        <w:tc>
          <w:tcPr>
            <w:tcW w:w="1629" w:type="pct"/>
            <w:vAlign w:val="center"/>
          </w:tcPr>
          <w:p w14:paraId="2009E66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w:t>
            </w:r>
          </w:p>
        </w:tc>
        <w:tc>
          <w:tcPr>
            <w:tcW w:w="1540" w:type="pct"/>
            <w:vAlign w:val="center"/>
          </w:tcPr>
          <w:p w14:paraId="36D9F7F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w:t>
            </w:r>
          </w:p>
        </w:tc>
      </w:tr>
    </w:tbl>
    <w:p w14:paraId="59E308C1">
      <w:pPr>
        <w:pStyle w:val="11"/>
      </w:pPr>
      <w:r>
        <w:rPr>
          <w:rFonts w:hint="eastAsia"/>
        </w:rPr>
        <w:t xml:space="preserve"> 生物柴油和废弃油脂罐区无组织估算结果一览表</w:t>
      </w:r>
    </w:p>
    <w:tbl>
      <w:tblPr>
        <w:tblStyle w:val="30"/>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384"/>
        <w:gridCol w:w="3011"/>
        <w:gridCol w:w="2847"/>
      </w:tblGrid>
      <w:tr w14:paraId="0F848B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blHeader/>
        </w:trPr>
        <w:tc>
          <w:tcPr>
            <w:tcW w:w="1831" w:type="pct"/>
            <w:vMerge w:val="restart"/>
            <w:vAlign w:val="center"/>
          </w:tcPr>
          <w:p w14:paraId="75D3BFE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下风向距离</w:t>
            </w:r>
          </w:p>
        </w:tc>
        <w:tc>
          <w:tcPr>
            <w:tcW w:w="3169" w:type="pct"/>
            <w:gridSpan w:val="2"/>
            <w:vAlign w:val="center"/>
          </w:tcPr>
          <w:p w14:paraId="57771C4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生物柴油和废弃油脂罐区</w:t>
            </w:r>
          </w:p>
        </w:tc>
      </w:tr>
      <w:tr w14:paraId="6B51F8C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blHeader/>
        </w:trPr>
        <w:tc>
          <w:tcPr>
            <w:tcW w:w="1831" w:type="pct"/>
            <w:vMerge w:val="continue"/>
            <w:vAlign w:val="center"/>
          </w:tcPr>
          <w:p w14:paraId="6AE331C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629" w:type="pct"/>
            <w:vAlign w:val="center"/>
          </w:tcPr>
          <w:p w14:paraId="28F93B3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NMHC浓度</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μg/m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1540" w:type="pct"/>
            <w:vAlign w:val="center"/>
          </w:tcPr>
          <w:p w14:paraId="7C6289E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NMHC占标率</w:t>
            </w:r>
            <w:r>
              <w:rPr>
                <w:rFonts w:hint="eastAsia"/>
                <w:color w:val="0D0D0D" w:themeColor="text1" w:themeTint="F2"/>
                <w:sz w:val="21"/>
                <w:szCs w:val="21"/>
                <w:u w:val="single"/>
                <w14:textFill>
                  <w14:solidFill>
                    <w14:schemeClr w14:val="tx1">
                      <w14:lumMod w14:val="95000"/>
                      <w14:lumOff w14:val="5000"/>
                    </w14:schemeClr>
                  </w14:solidFill>
                </w14:textFill>
              </w:rPr>
              <w:t>（%）</w:t>
            </w:r>
          </w:p>
        </w:tc>
      </w:tr>
      <w:tr w14:paraId="7AFE29E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42C0CBA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50.0</w:t>
            </w:r>
          </w:p>
        </w:tc>
        <w:tc>
          <w:tcPr>
            <w:tcW w:w="1629" w:type="pct"/>
            <w:vAlign w:val="center"/>
          </w:tcPr>
          <w:p w14:paraId="79524AF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11.2410</w:t>
            </w:r>
          </w:p>
        </w:tc>
        <w:tc>
          <w:tcPr>
            <w:tcW w:w="1540" w:type="pct"/>
            <w:vAlign w:val="center"/>
          </w:tcPr>
          <w:p w14:paraId="6511E80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0.56</w:t>
            </w:r>
          </w:p>
        </w:tc>
      </w:tr>
      <w:tr w14:paraId="403320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039B78D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100.0</w:t>
            </w:r>
          </w:p>
        </w:tc>
        <w:tc>
          <w:tcPr>
            <w:tcW w:w="1629" w:type="pct"/>
            <w:vAlign w:val="center"/>
          </w:tcPr>
          <w:p w14:paraId="7E76860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7.8353</w:t>
            </w:r>
          </w:p>
        </w:tc>
        <w:tc>
          <w:tcPr>
            <w:tcW w:w="1540" w:type="pct"/>
            <w:vAlign w:val="center"/>
          </w:tcPr>
          <w:p w14:paraId="2400727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0.39</w:t>
            </w:r>
          </w:p>
        </w:tc>
      </w:tr>
      <w:tr w14:paraId="4BC695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045FC71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200.0</w:t>
            </w:r>
          </w:p>
        </w:tc>
        <w:tc>
          <w:tcPr>
            <w:tcW w:w="1629" w:type="pct"/>
            <w:vAlign w:val="center"/>
          </w:tcPr>
          <w:p w14:paraId="6965997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3.6459</w:t>
            </w:r>
          </w:p>
        </w:tc>
        <w:tc>
          <w:tcPr>
            <w:tcW w:w="1540" w:type="pct"/>
            <w:vAlign w:val="center"/>
          </w:tcPr>
          <w:p w14:paraId="79BC66F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0.18</w:t>
            </w:r>
          </w:p>
        </w:tc>
      </w:tr>
      <w:tr w14:paraId="564C40F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1C6FA5B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300.0</w:t>
            </w:r>
          </w:p>
        </w:tc>
        <w:tc>
          <w:tcPr>
            <w:tcW w:w="1629" w:type="pct"/>
            <w:vAlign w:val="center"/>
          </w:tcPr>
          <w:p w14:paraId="0235F97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2.1900</w:t>
            </w:r>
          </w:p>
        </w:tc>
        <w:tc>
          <w:tcPr>
            <w:tcW w:w="1540" w:type="pct"/>
            <w:vAlign w:val="center"/>
          </w:tcPr>
          <w:p w14:paraId="6BAFE76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0.11</w:t>
            </w:r>
          </w:p>
        </w:tc>
      </w:tr>
      <w:tr w14:paraId="64675D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466534A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400.0</w:t>
            </w:r>
          </w:p>
        </w:tc>
        <w:tc>
          <w:tcPr>
            <w:tcW w:w="1629" w:type="pct"/>
            <w:vAlign w:val="center"/>
          </w:tcPr>
          <w:p w14:paraId="33A193E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1.5079</w:t>
            </w:r>
          </w:p>
        </w:tc>
        <w:tc>
          <w:tcPr>
            <w:tcW w:w="1540" w:type="pct"/>
            <w:vAlign w:val="center"/>
          </w:tcPr>
          <w:p w14:paraId="58B2F4D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0.08</w:t>
            </w:r>
          </w:p>
        </w:tc>
      </w:tr>
      <w:tr w14:paraId="4E3D74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6C8A4E8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500.0</w:t>
            </w:r>
          </w:p>
        </w:tc>
        <w:tc>
          <w:tcPr>
            <w:tcW w:w="1629" w:type="pct"/>
            <w:vAlign w:val="center"/>
          </w:tcPr>
          <w:p w14:paraId="10F40C5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1.1240</w:t>
            </w:r>
          </w:p>
        </w:tc>
        <w:tc>
          <w:tcPr>
            <w:tcW w:w="1540" w:type="pct"/>
            <w:vAlign w:val="center"/>
          </w:tcPr>
          <w:p w14:paraId="7D8ABB3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0.06</w:t>
            </w:r>
          </w:p>
        </w:tc>
      </w:tr>
      <w:tr w14:paraId="68ECCB6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26A8DAE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600.0</w:t>
            </w:r>
          </w:p>
        </w:tc>
        <w:tc>
          <w:tcPr>
            <w:tcW w:w="1629" w:type="pct"/>
            <w:vAlign w:val="center"/>
          </w:tcPr>
          <w:p w14:paraId="36E2D78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0.8830</w:t>
            </w:r>
          </w:p>
        </w:tc>
        <w:tc>
          <w:tcPr>
            <w:tcW w:w="1540" w:type="pct"/>
            <w:vAlign w:val="center"/>
          </w:tcPr>
          <w:p w14:paraId="37739A2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0.04</w:t>
            </w:r>
          </w:p>
        </w:tc>
      </w:tr>
      <w:tr w14:paraId="3E33DA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5F43884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700.0</w:t>
            </w:r>
          </w:p>
        </w:tc>
        <w:tc>
          <w:tcPr>
            <w:tcW w:w="1629" w:type="pct"/>
            <w:vAlign w:val="center"/>
          </w:tcPr>
          <w:p w14:paraId="3CCFFA8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0.7188</w:t>
            </w:r>
          </w:p>
        </w:tc>
        <w:tc>
          <w:tcPr>
            <w:tcW w:w="1540" w:type="pct"/>
            <w:vAlign w:val="center"/>
          </w:tcPr>
          <w:p w14:paraId="11CB457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0.04</w:t>
            </w:r>
          </w:p>
        </w:tc>
      </w:tr>
      <w:tr w14:paraId="0F7B80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6654B05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800.0</w:t>
            </w:r>
          </w:p>
        </w:tc>
        <w:tc>
          <w:tcPr>
            <w:tcW w:w="1629" w:type="pct"/>
            <w:vAlign w:val="center"/>
          </w:tcPr>
          <w:p w14:paraId="59FDADE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0.6008</w:t>
            </w:r>
          </w:p>
        </w:tc>
        <w:tc>
          <w:tcPr>
            <w:tcW w:w="1540" w:type="pct"/>
            <w:vAlign w:val="center"/>
          </w:tcPr>
          <w:p w14:paraId="74056EE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0.03</w:t>
            </w:r>
          </w:p>
        </w:tc>
      </w:tr>
      <w:tr w14:paraId="040741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0FF0773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900.0</w:t>
            </w:r>
          </w:p>
        </w:tc>
        <w:tc>
          <w:tcPr>
            <w:tcW w:w="1629" w:type="pct"/>
            <w:vAlign w:val="center"/>
          </w:tcPr>
          <w:p w14:paraId="171B50E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0.5128</w:t>
            </w:r>
          </w:p>
        </w:tc>
        <w:tc>
          <w:tcPr>
            <w:tcW w:w="1540" w:type="pct"/>
            <w:vAlign w:val="center"/>
          </w:tcPr>
          <w:p w14:paraId="0DFB7D6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0.03</w:t>
            </w:r>
          </w:p>
        </w:tc>
      </w:tr>
      <w:tr w14:paraId="07A70A8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2555494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1000.0</w:t>
            </w:r>
          </w:p>
        </w:tc>
        <w:tc>
          <w:tcPr>
            <w:tcW w:w="1629" w:type="pct"/>
            <w:vAlign w:val="center"/>
          </w:tcPr>
          <w:p w14:paraId="53E9366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0.4467</w:t>
            </w:r>
          </w:p>
        </w:tc>
        <w:tc>
          <w:tcPr>
            <w:tcW w:w="1540" w:type="pct"/>
            <w:vAlign w:val="center"/>
          </w:tcPr>
          <w:p w14:paraId="34D9192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0.02</w:t>
            </w:r>
          </w:p>
        </w:tc>
      </w:tr>
      <w:tr w14:paraId="5EE494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2E4B54E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1200.0</w:t>
            </w:r>
          </w:p>
        </w:tc>
        <w:tc>
          <w:tcPr>
            <w:tcW w:w="1629" w:type="pct"/>
            <w:vAlign w:val="center"/>
          </w:tcPr>
          <w:p w14:paraId="1B03F6E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0.3497</w:t>
            </w:r>
          </w:p>
        </w:tc>
        <w:tc>
          <w:tcPr>
            <w:tcW w:w="1540" w:type="pct"/>
            <w:vAlign w:val="center"/>
          </w:tcPr>
          <w:p w14:paraId="0224F55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0.02</w:t>
            </w:r>
          </w:p>
        </w:tc>
      </w:tr>
      <w:tr w14:paraId="60EF77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022D249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1400.0</w:t>
            </w:r>
          </w:p>
        </w:tc>
        <w:tc>
          <w:tcPr>
            <w:tcW w:w="1629" w:type="pct"/>
            <w:vAlign w:val="center"/>
          </w:tcPr>
          <w:p w14:paraId="18E0799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0.2852</w:t>
            </w:r>
          </w:p>
        </w:tc>
        <w:tc>
          <w:tcPr>
            <w:tcW w:w="1540" w:type="pct"/>
            <w:vAlign w:val="center"/>
          </w:tcPr>
          <w:p w14:paraId="76A6329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0.01</w:t>
            </w:r>
          </w:p>
        </w:tc>
      </w:tr>
      <w:tr w14:paraId="5FFFC3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5DD9FFB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1600.0</w:t>
            </w:r>
          </w:p>
        </w:tc>
        <w:tc>
          <w:tcPr>
            <w:tcW w:w="1629" w:type="pct"/>
            <w:vAlign w:val="center"/>
          </w:tcPr>
          <w:p w14:paraId="0F3315A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0.2402</w:t>
            </w:r>
          </w:p>
        </w:tc>
        <w:tc>
          <w:tcPr>
            <w:tcW w:w="1540" w:type="pct"/>
            <w:vAlign w:val="center"/>
          </w:tcPr>
          <w:p w14:paraId="35D24DC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0.01</w:t>
            </w:r>
          </w:p>
        </w:tc>
      </w:tr>
      <w:tr w14:paraId="2D1ABCA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71EDCD6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1800.0</w:t>
            </w:r>
          </w:p>
        </w:tc>
        <w:tc>
          <w:tcPr>
            <w:tcW w:w="1629" w:type="pct"/>
            <w:vAlign w:val="center"/>
          </w:tcPr>
          <w:p w14:paraId="4AED273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0.2079</w:t>
            </w:r>
          </w:p>
        </w:tc>
        <w:tc>
          <w:tcPr>
            <w:tcW w:w="1540" w:type="pct"/>
            <w:vAlign w:val="center"/>
          </w:tcPr>
          <w:p w14:paraId="0706DB6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0.01</w:t>
            </w:r>
          </w:p>
        </w:tc>
      </w:tr>
      <w:tr w14:paraId="014226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75C4372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2000.0</w:t>
            </w:r>
          </w:p>
        </w:tc>
        <w:tc>
          <w:tcPr>
            <w:tcW w:w="1629" w:type="pct"/>
            <w:vAlign w:val="center"/>
          </w:tcPr>
          <w:p w14:paraId="0384768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0.1840</w:t>
            </w:r>
          </w:p>
        </w:tc>
        <w:tc>
          <w:tcPr>
            <w:tcW w:w="1540" w:type="pct"/>
            <w:vAlign w:val="center"/>
          </w:tcPr>
          <w:p w14:paraId="0BC4356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0.01</w:t>
            </w:r>
          </w:p>
        </w:tc>
      </w:tr>
      <w:tr w14:paraId="442DA9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61DC693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2500.0</w:t>
            </w:r>
          </w:p>
        </w:tc>
        <w:tc>
          <w:tcPr>
            <w:tcW w:w="1629" w:type="pct"/>
            <w:vAlign w:val="center"/>
          </w:tcPr>
          <w:p w14:paraId="5FBDBE1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0.1366</w:t>
            </w:r>
          </w:p>
        </w:tc>
        <w:tc>
          <w:tcPr>
            <w:tcW w:w="1540" w:type="pct"/>
            <w:vAlign w:val="center"/>
          </w:tcPr>
          <w:p w14:paraId="0D31A25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0.01</w:t>
            </w:r>
          </w:p>
        </w:tc>
      </w:tr>
      <w:tr w14:paraId="7AC292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0B88046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下风向最大浓度</w:t>
            </w:r>
          </w:p>
        </w:tc>
        <w:tc>
          <w:tcPr>
            <w:tcW w:w="1629" w:type="pct"/>
            <w:vAlign w:val="center"/>
          </w:tcPr>
          <w:p w14:paraId="7C1C91C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11.2690</w:t>
            </w:r>
          </w:p>
        </w:tc>
        <w:tc>
          <w:tcPr>
            <w:tcW w:w="1540" w:type="pct"/>
            <w:vAlign w:val="center"/>
          </w:tcPr>
          <w:p w14:paraId="6F11039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0.56</w:t>
            </w:r>
          </w:p>
        </w:tc>
      </w:tr>
      <w:tr w14:paraId="25018B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1586236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下风向最大浓度出现距离</w:t>
            </w:r>
          </w:p>
        </w:tc>
        <w:tc>
          <w:tcPr>
            <w:tcW w:w="1629" w:type="pct"/>
            <w:vAlign w:val="center"/>
          </w:tcPr>
          <w:p w14:paraId="56080B8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48.0</w:t>
            </w:r>
          </w:p>
        </w:tc>
        <w:tc>
          <w:tcPr>
            <w:tcW w:w="1540" w:type="pct"/>
            <w:vAlign w:val="center"/>
          </w:tcPr>
          <w:p w14:paraId="0DAF9C0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48.0</w:t>
            </w:r>
          </w:p>
        </w:tc>
      </w:tr>
      <w:tr w14:paraId="5E7836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831" w:type="pct"/>
            <w:vAlign w:val="center"/>
          </w:tcPr>
          <w:p w14:paraId="475C96A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D10%最远距离</w:t>
            </w:r>
          </w:p>
        </w:tc>
        <w:tc>
          <w:tcPr>
            <w:tcW w:w="1629" w:type="pct"/>
            <w:vAlign w:val="center"/>
          </w:tcPr>
          <w:p w14:paraId="460C6F7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w:t>
            </w:r>
          </w:p>
        </w:tc>
        <w:tc>
          <w:tcPr>
            <w:tcW w:w="1540" w:type="pct"/>
            <w:vAlign w:val="center"/>
          </w:tcPr>
          <w:p w14:paraId="661C15A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z w:val="21"/>
                <w:szCs w:val="21"/>
              </w:rPr>
              <w:t>/</w:t>
            </w:r>
          </w:p>
        </w:tc>
      </w:tr>
    </w:tbl>
    <w:p w14:paraId="056C9BE9">
      <w:pPr>
        <w:pStyle w:val="9"/>
      </w:pPr>
      <w:r>
        <w:rPr>
          <w:rFonts w:hint="eastAsia"/>
        </w:rPr>
        <w:t>厂界达标性分析</w:t>
      </w:r>
      <w:bookmarkEnd w:id="163"/>
    </w:p>
    <w:p w14:paraId="686D182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根据AERSCREEN模型估算结果可知，项目NH</w:t>
      </w:r>
      <w:r>
        <w:rPr>
          <w:rFonts w:hint="eastAsia"/>
          <w:color w:val="0D0D0D" w:themeColor="text1" w:themeTint="F2"/>
          <w:u w:val="single"/>
          <w:vertAlign w:val="sub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无组织排放下风向最大浓度为13.2960μg/m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，H</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S无组织排放下风向最大浓度为0.3022μg/m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，均可满足《恶臭污染物排放标准》（GB14554-1993）表1新扩改建二级标准（NH</w:t>
      </w:r>
      <w:r>
        <w:rPr>
          <w:rFonts w:hint="eastAsia"/>
          <w:color w:val="0D0D0D" w:themeColor="text1" w:themeTint="F2"/>
          <w:u w:val="single"/>
          <w:vertAlign w:val="sub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为1500μg/m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，H</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S为1500μg/m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），TSP无组织排放下风向最大浓度为8.5747μg/m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，非甲烷总烃无组织排放下风向最大浓度为134.34μg/m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，可满足《石油炼制工业污染物排放标准》（GB31570-2015）及其修改单中表5企业边界大气污染物浓度限值（TSP为1000μg/m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，非甲烷总烃为4000μg/m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），厂界达标</w:t>
      </w:r>
      <w:r>
        <w:rPr>
          <w:rFonts w:hint="eastAsia"/>
          <w:color w:val="0D0D0D" w:themeColor="text1" w:themeTint="F2"/>
          <w14:textFill>
            <w14:solidFill>
              <w14:schemeClr w14:val="tx1">
                <w14:lumMod w14:val="95000"/>
                <w14:lumOff w14:val="5000"/>
              </w14:schemeClr>
            </w14:solidFill>
          </w14:textFill>
        </w:rPr>
        <w:t>。</w:t>
      </w:r>
    </w:p>
    <w:p w14:paraId="0B7B1596">
      <w:pPr>
        <w:pStyle w:val="9"/>
      </w:pPr>
      <w:bookmarkStart w:id="164" w:name="_Toc204062628"/>
      <w:r>
        <w:rPr>
          <w:rFonts w:hint="eastAsia"/>
        </w:rPr>
        <w:t>大气环境防护距离</w:t>
      </w:r>
      <w:bookmarkEnd w:id="164"/>
    </w:p>
    <w:p w14:paraId="0BF7DF75">
      <w:pPr>
        <w:ind w:firstLine="480"/>
        <w:rPr>
          <w:rFonts w:cs="Times New Roman"/>
          <w:color w:val="0D0D0D" w:themeColor="text1" w:themeTint="F2"/>
          <w:u w:val="single"/>
          <w14:textFill>
            <w14:solidFill>
              <w14:schemeClr w14:val="tx1">
                <w14:lumMod w14:val="95000"/>
                <w14:lumOff w14:val="5000"/>
              </w14:schemeClr>
            </w14:solidFill>
          </w14:textFill>
        </w:rPr>
      </w:pPr>
      <w:r>
        <w:rPr>
          <w:rFonts w:cs="Times New Roman"/>
          <w:color w:val="0D0D0D" w:themeColor="text1" w:themeTint="F2"/>
          <w:u w:val="single"/>
          <w14:textFill>
            <w14:solidFill>
              <w14:schemeClr w14:val="tx1">
                <w14:lumMod w14:val="95000"/>
                <w14:lumOff w14:val="5000"/>
              </w14:schemeClr>
            </w14:solidFill>
          </w14:textFill>
        </w:rPr>
        <w:t>根据《环境影响评价技术导则</w:t>
      </w:r>
      <w:r>
        <w:rPr>
          <w:rFonts w:hint="eastAsia" w:cs="Times New Roman"/>
          <w:color w:val="0D0D0D" w:themeColor="text1" w:themeTint="F2"/>
          <w:u w:val="single"/>
          <w14:textFill>
            <w14:solidFill>
              <w14:schemeClr w14:val="tx1">
                <w14:lumMod w14:val="95000"/>
                <w14:lumOff w14:val="5000"/>
              </w14:schemeClr>
            </w14:solidFill>
          </w14:textFill>
        </w:rPr>
        <w:t xml:space="preserve">  </w:t>
      </w:r>
      <w:r>
        <w:rPr>
          <w:rFonts w:cs="Times New Roman"/>
          <w:color w:val="0D0D0D" w:themeColor="text1" w:themeTint="F2"/>
          <w:u w:val="single"/>
          <w14:textFill>
            <w14:solidFill>
              <w14:schemeClr w14:val="tx1">
                <w14:lumMod w14:val="95000"/>
                <w14:lumOff w14:val="5000"/>
              </w14:schemeClr>
            </w14:solidFill>
          </w14:textFill>
        </w:rPr>
        <w:t>大气环境》（HJ2.2-2018），</w:t>
      </w:r>
      <w:r>
        <w:rPr>
          <w:rFonts w:hint="eastAsia" w:cs="Times New Roman"/>
          <w:color w:val="0D0D0D" w:themeColor="text1" w:themeTint="F2"/>
          <w:u w:val="single"/>
          <w14:textFill>
            <w14:solidFill>
              <w14:schemeClr w14:val="tx1">
                <w14:lumMod w14:val="95000"/>
                <w14:lumOff w14:val="5000"/>
              </w14:schemeClr>
            </w14:solidFill>
          </w14:textFill>
        </w:rPr>
        <w:t>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14:paraId="3F443550">
      <w:pPr>
        <w:ind w:firstLine="480"/>
        <w:rPr>
          <w:rFonts w:cs="Times New Roman"/>
          <w:color w:val="0D0D0D" w:themeColor="text1" w:themeTint="F2"/>
          <w:u w:val="single"/>
          <w14:textFill>
            <w14:solidFill>
              <w14:schemeClr w14:val="tx1">
                <w14:lumMod w14:val="95000"/>
                <w14:lumOff w14:val="5000"/>
              </w14:schemeClr>
            </w14:solidFill>
          </w14:textFill>
        </w:rPr>
      </w:pPr>
      <w:r>
        <w:rPr>
          <w:rFonts w:hint="eastAsia" w:cs="Times New Roman"/>
          <w:color w:val="0D0D0D" w:themeColor="text1" w:themeTint="F2"/>
          <w:u w:val="single"/>
          <w14:textFill>
            <w14:solidFill>
              <w14:schemeClr w14:val="tx1">
                <w14:lumMod w14:val="95000"/>
                <w14:lumOff w14:val="5000"/>
              </w14:schemeClr>
            </w14:solidFill>
          </w14:textFill>
        </w:rPr>
        <w:t>根据估算结果，厂界外NH</w:t>
      </w:r>
      <w:r>
        <w:rPr>
          <w:rFonts w:hint="eastAsia" w:cs="Times New Roman"/>
          <w:color w:val="0D0D0D" w:themeColor="text1" w:themeTint="F2"/>
          <w:u w:val="single"/>
          <w:vertAlign w:val="subscript"/>
          <w14:textFill>
            <w14:solidFill>
              <w14:schemeClr w14:val="tx1">
                <w14:lumMod w14:val="95000"/>
                <w14:lumOff w14:val="5000"/>
              </w14:schemeClr>
            </w14:solidFill>
          </w14:textFill>
        </w:rPr>
        <w:t>3</w:t>
      </w:r>
      <w:r>
        <w:rPr>
          <w:rFonts w:hint="eastAsia" w:cs="Times New Roman"/>
          <w:color w:val="0D0D0D" w:themeColor="text1" w:themeTint="F2"/>
          <w:u w:val="single"/>
          <w14:textFill>
            <w14:solidFill>
              <w14:schemeClr w14:val="tx1">
                <w14:lumMod w14:val="95000"/>
                <w14:lumOff w14:val="5000"/>
              </w14:schemeClr>
            </w14:solidFill>
          </w14:textFill>
        </w:rPr>
        <w:t>、H</w:t>
      </w:r>
      <w:r>
        <w:rPr>
          <w:rFonts w:hint="eastAsia" w:cs="Times New Roman"/>
          <w:color w:val="0D0D0D" w:themeColor="text1" w:themeTint="F2"/>
          <w:u w:val="single"/>
          <w:vertAlign w:val="subscript"/>
          <w14:textFill>
            <w14:solidFill>
              <w14:schemeClr w14:val="tx1">
                <w14:lumMod w14:val="95000"/>
                <w14:lumOff w14:val="5000"/>
              </w14:schemeClr>
            </w14:solidFill>
          </w14:textFill>
        </w:rPr>
        <w:t>2</w:t>
      </w:r>
      <w:r>
        <w:rPr>
          <w:rFonts w:hint="eastAsia" w:cs="Times New Roman"/>
          <w:color w:val="0D0D0D" w:themeColor="text1" w:themeTint="F2"/>
          <w:u w:val="single"/>
          <w14:textFill>
            <w14:solidFill>
              <w14:schemeClr w14:val="tx1">
                <w14:lumMod w14:val="95000"/>
                <w14:lumOff w14:val="5000"/>
              </w14:schemeClr>
            </w14:solidFill>
          </w14:textFill>
        </w:rPr>
        <w:t>S、TSP和非甲烷总烃短期贡献浓度均能满足厂界浓度限值，且厂界外大气污染物短期贡献浓度未超过环境质量浓度限值。因此，本项目无需设置大气环境防护距离。</w:t>
      </w:r>
    </w:p>
    <w:p w14:paraId="07DFD603">
      <w:pPr>
        <w:pStyle w:val="9"/>
      </w:pPr>
      <w:bookmarkStart w:id="165" w:name="_Toc204062629"/>
      <w:r>
        <w:rPr>
          <w:rFonts w:hint="eastAsia"/>
        </w:rPr>
        <w:t>臭气浓度影响分析</w:t>
      </w:r>
      <w:bookmarkEnd w:id="165"/>
    </w:p>
    <w:p w14:paraId="0D0E231A">
      <w:pPr>
        <w:ind w:firstLine="480"/>
        <w:rPr>
          <w:rFonts w:cs="Times New Roman"/>
          <w:color w:val="0D0D0D" w:themeColor="text1" w:themeTint="F2"/>
          <w14:textFill>
            <w14:solidFill>
              <w14:schemeClr w14:val="tx1">
                <w14:lumMod w14:val="95000"/>
                <w14:lumOff w14:val="5000"/>
              </w14:schemeClr>
            </w14:solidFill>
          </w14:textFill>
        </w:rPr>
      </w:pPr>
      <w:r>
        <w:rPr>
          <w:rFonts w:cs="Times New Roman"/>
          <w:color w:val="0D0D0D" w:themeColor="text1" w:themeTint="F2"/>
          <w14:textFill>
            <w14:solidFill>
              <w14:schemeClr w14:val="tx1">
                <w14:lumMod w14:val="95000"/>
                <w14:lumOff w14:val="5000"/>
              </w14:schemeClr>
            </w14:solidFill>
          </w14:textFill>
        </w:rPr>
        <w:t>项目排放的大气污染物中NH</w:t>
      </w:r>
      <w:r>
        <w:rPr>
          <w:rFonts w:cs="Times New Roman"/>
          <w:color w:val="0D0D0D" w:themeColor="text1" w:themeTint="F2"/>
          <w:vertAlign w:val="subscript"/>
          <w14:textFill>
            <w14:solidFill>
              <w14:schemeClr w14:val="tx1">
                <w14:lumMod w14:val="95000"/>
                <w14:lumOff w14:val="5000"/>
              </w14:schemeClr>
            </w14:solidFill>
          </w14:textFill>
        </w:rPr>
        <w:t>3</w:t>
      </w:r>
      <w:r>
        <w:rPr>
          <w:rFonts w:cs="Times New Roman"/>
          <w:color w:val="0D0D0D" w:themeColor="text1" w:themeTint="F2"/>
          <w14:textFill>
            <w14:solidFill>
              <w14:schemeClr w14:val="tx1">
                <w14:lumMod w14:val="95000"/>
                <w14:lumOff w14:val="5000"/>
              </w14:schemeClr>
            </w14:solidFill>
          </w14:textFill>
        </w:rPr>
        <w:t>、H</w:t>
      </w:r>
      <w:r>
        <w:rPr>
          <w:rFonts w:cs="Times New Roman"/>
          <w:color w:val="0D0D0D" w:themeColor="text1" w:themeTint="F2"/>
          <w:vertAlign w:val="subscript"/>
          <w14:textFill>
            <w14:solidFill>
              <w14:schemeClr w14:val="tx1">
                <w14:lumMod w14:val="95000"/>
                <w14:lumOff w14:val="5000"/>
              </w14:schemeClr>
            </w14:solidFill>
          </w14:textFill>
        </w:rPr>
        <w:t>2</w:t>
      </w:r>
      <w:r>
        <w:rPr>
          <w:rFonts w:cs="Times New Roman"/>
          <w:color w:val="0D0D0D" w:themeColor="text1" w:themeTint="F2"/>
          <w14:textFill>
            <w14:solidFill>
              <w14:schemeClr w14:val="tx1">
                <w14:lumMod w14:val="95000"/>
                <w14:lumOff w14:val="5000"/>
              </w14:schemeClr>
            </w14:solidFill>
          </w14:textFill>
        </w:rPr>
        <w:t>S都常有令人不悦的气味。因此，采用恶臭物质浓度预测法对NH</w:t>
      </w:r>
      <w:r>
        <w:rPr>
          <w:rFonts w:cs="Times New Roman"/>
          <w:color w:val="0D0D0D" w:themeColor="text1" w:themeTint="F2"/>
          <w:vertAlign w:val="subscript"/>
          <w14:textFill>
            <w14:solidFill>
              <w14:schemeClr w14:val="tx1">
                <w14:lumMod w14:val="95000"/>
                <w14:lumOff w14:val="5000"/>
              </w14:schemeClr>
            </w14:solidFill>
          </w14:textFill>
        </w:rPr>
        <w:t>3</w:t>
      </w:r>
      <w:r>
        <w:rPr>
          <w:rFonts w:cs="Times New Roman"/>
          <w:color w:val="0D0D0D" w:themeColor="text1" w:themeTint="F2"/>
          <w14:textFill>
            <w14:solidFill>
              <w14:schemeClr w14:val="tx1">
                <w14:lumMod w14:val="95000"/>
                <w14:lumOff w14:val="5000"/>
              </w14:schemeClr>
            </w14:solidFill>
          </w14:textFill>
        </w:rPr>
        <w:t>、H</w:t>
      </w:r>
      <w:r>
        <w:rPr>
          <w:rFonts w:cs="Times New Roman"/>
          <w:color w:val="0D0D0D" w:themeColor="text1" w:themeTint="F2"/>
          <w:vertAlign w:val="subscript"/>
          <w14:textFill>
            <w14:solidFill>
              <w14:schemeClr w14:val="tx1">
                <w14:lumMod w14:val="95000"/>
                <w14:lumOff w14:val="5000"/>
              </w14:schemeClr>
            </w14:solidFill>
          </w14:textFill>
        </w:rPr>
        <w:t>2</w:t>
      </w:r>
      <w:r>
        <w:rPr>
          <w:rFonts w:cs="Times New Roman"/>
          <w:color w:val="0D0D0D" w:themeColor="text1" w:themeTint="F2"/>
          <w14:textFill>
            <w14:solidFill>
              <w14:schemeClr w14:val="tx1">
                <w14:lumMod w14:val="95000"/>
                <w14:lumOff w14:val="5000"/>
              </w14:schemeClr>
            </w14:solidFill>
          </w14:textFill>
        </w:rPr>
        <w:t>S的恶臭影响进行评价。</w:t>
      </w:r>
    </w:p>
    <w:p w14:paraId="726547D3">
      <w:pPr>
        <w:ind w:firstLine="480"/>
        <w:rPr>
          <w:rFonts w:cs="Times New Roman"/>
          <w:color w:val="0D0D0D" w:themeColor="text1" w:themeTint="F2"/>
          <w14:textFill>
            <w14:solidFill>
              <w14:schemeClr w14:val="tx1">
                <w14:lumMod w14:val="95000"/>
                <w14:lumOff w14:val="5000"/>
              </w14:schemeClr>
            </w14:solidFill>
          </w14:textFill>
        </w:rPr>
      </w:pPr>
      <w:r>
        <w:rPr>
          <w:rFonts w:cs="Times New Roman"/>
          <w:color w:val="0D0D0D" w:themeColor="text1" w:themeTint="F2"/>
          <w14:textFill>
            <w14:solidFill>
              <w14:schemeClr w14:val="tx1">
                <w14:lumMod w14:val="95000"/>
                <w14:lumOff w14:val="5000"/>
              </w14:schemeClr>
            </w14:solidFill>
          </w14:textFill>
        </w:rPr>
        <w:t>恶臭强度六级分法</w:t>
      </w:r>
      <w:r>
        <w:rPr>
          <w:rFonts w:hint="eastAsia" w:cs="Times New Roman"/>
          <w:color w:val="0D0D0D" w:themeColor="text1" w:themeTint="F2"/>
          <w14:textFill>
            <w14:solidFill>
              <w14:schemeClr w14:val="tx1">
                <w14:lumMod w14:val="95000"/>
                <w14:lumOff w14:val="5000"/>
              </w14:schemeClr>
            </w14:solidFill>
          </w14:textFill>
        </w:rPr>
        <w:t>详</w:t>
      </w:r>
      <w:r>
        <w:rPr>
          <w:rFonts w:cs="Times New Roman"/>
          <w:color w:val="0D0D0D" w:themeColor="text1" w:themeTint="F2"/>
          <w14:textFill>
            <w14:solidFill>
              <w14:schemeClr w14:val="tx1">
                <w14:lumMod w14:val="95000"/>
                <w14:lumOff w14:val="5000"/>
              </w14:schemeClr>
            </w14:solidFill>
          </w14:textFill>
        </w:rPr>
        <w:t>见表</w:t>
      </w:r>
      <w:r>
        <w:rPr>
          <w:rFonts w:hint="eastAsia" w:cs="Times New Roman"/>
          <w:color w:val="0D0D0D" w:themeColor="text1" w:themeTint="F2"/>
          <w14:textFill>
            <w14:solidFill>
              <w14:schemeClr w14:val="tx1">
                <w14:lumMod w14:val="95000"/>
                <w14:lumOff w14:val="5000"/>
              </w14:schemeClr>
            </w14:solidFill>
          </w14:textFill>
        </w:rPr>
        <w:t>5.2-9</w:t>
      </w:r>
      <w:r>
        <w:rPr>
          <w:rFonts w:cs="Times New Roman"/>
          <w:color w:val="0D0D0D" w:themeColor="text1" w:themeTint="F2"/>
          <w14:textFill>
            <w14:solidFill>
              <w14:schemeClr w14:val="tx1">
                <w14:lumMod w14:val="95000"/>
                <w14:lumOff w14:val="5000"/>
              </w14:schemeClr>
            </w14:solidFill>
          </w14:textFill>
        </w:rPr>
        <w:t>。</w:t>
      </w:r>
    </w:p>
    <w:p w14:paraId="32817060">
      <w:pPr>
        <w:pStyle w:val="11"/>
      </w:pPr>
      <w:r>
        <w:rPr>
          <w:rFonts w:hint="eastAsia"/>
        </w:rPr>
        <w:t xml:space="preserve"> </w:t>
      </w:r>
      <w:r>
        <w:t>臭气强度分级</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1560"/>
        <w:gridCol w:w="6137"/>
      </w:tblGrid>
      <w:tr w14:paraId="65B4A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36" w:type="pct"/>
            <w:vAlign w:val="center"/>
          </w:tcPr>
          <w:p w14:paraId="2AC0DD21">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强度等级</w:t>
            </w:r>
          </w:p>
        </w:tc>
        <w:tc>
          <w:tcPr>
            <w:tcW w:w="844" w:type="pct"/>
            <w:vAlign w:val="center"/>
          </w:tcPr>
          <w:p w14:paraId="43F0150D">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强度</w:t>
            </w:r>
          </w:p>
        </w:tc>
        <w:tc>
          <w:tcPr>
            <w:tcW w:w="3320" w:type="pct"/>
            <w:vAlign w:val="center"/>
          </w:tcPr>
          <w:p w14:paraId="6C647A4C">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感觉强度描述</w:t>
            </w:r>
          </w:p>
        </w:tc>
      </w:tr>
      <w:tr w14:paraId="12939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6" w:type="pct"/>
            <w:vAlign w:val="center"/>
          </w:tcPr>
          <w:p w14:paraId="5EC43459">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0</w:t>
            </w:r>
          </w:p>
        </w:tc>
        <w:tc>
          <w:tcPr>
            <w:tcW w:w="844" w:type="pct"/>
            <w:vAlign w:val="center"/>
          </w:tcPr>
          <w:p w14:paraId="281921E2">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无臭</w:t>
            </w:r>
          </w:p>
        </w:tc>
        <w:tc>
          <w:tcPr>
            <w:tcW w:w="3320" w:type="pct"/>
            <w:vAlign w:val="center"/>
          </w:tcPr>
          <w:p w14:paraId="6735B5FD">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无气味</w:t>
            </w:r>
          </w:p>
        </w:tc>
      </w:tr>
      <w:tr w14:paraId="7D5B1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6" w:type="pct"/>
            <w:vAlign w:val="center"/>
          </w:tcPr>
          <w:p w14:paraId="423E5591">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1</w:t>
            </w:r>
          </w:p>
        </w:tc>
        <w:tc>
          <w:tcPr>
            <w:tcW w:w="844" w:type="pct"/>
            <w:vAlign w:val="center"/>
          </w:tcPr>
          <w:p w14:paraId="6C656F25">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检知</w:t>
            </w:r>
          </w:p>
        </w:tc>
        <w:tc>
          <w:tcPr>
            <w:tcW w:w="3320" w:type="pct"/>
            <w:vAlign w:val="center"/>
          </w:tcPr>
          <w:p w14:paraId="0A65C59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勉强感觉到气体（检测阈值）</w:t>
            </w:r>
          </w:p>
        </w:tc>
      </w:tr>
      <w:tr w14:paraId="1787C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6" w:type="pct"/>
            <w:vAlign w:val="center"/>
          </w:tcPr>
          <w:p w14:paraId="2B6FE5D1">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2</w:t>
            </w:r>
          </w:p>
        </w:tc>
        <w:tc>
          <w:tcPr>
            <w:tcW w:w="844" w:type="pct"/>
            <w:vAlign w:val="center"/>
          </w:tcPr>
          <w:p w14:paraId="7ED042FC">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认知</w:t>
            </w:r>
          </w:p>
        </w:tc>
        <w:tc>
          <w:tcPr>
            <w:tcW w:w="3320" w:type="pct"/>
            <w:vAlign w:val="center"/>
          </w:tcPr>
          <w:p w14:paraId="16A6C95E">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稍感觉微弱气味（能辨认气味性质，认定阈值）</w:t>
            </w:r>
          </w:p>
        </w:tc>
      </w:tr>
      <w:tr w14:paraId="64BE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6" w:type="pct"/>
            <w:vAlign w:val="center"/>
          </w:tcPr>
          <w:p w14:paraId="4FBE256B">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3</w:t>
            </w:r>
          </w:p>
        </w:tc>
        <w:tc>
          <w:tcPr>
            <w:tcW w:w="844" w:type="pct"/>
            <w:vAlign w:val="center"/>
          </w:tcPr>
          <w:p w14:paraId="4CAE538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明显</w:t>
            </w:r>
          </w:p>
        </w:tc>
        <w:tc>
          <w:tcPr>
            <w:tcW w:w="3320" w:type="pct"/>
            <w:vAlign w:val="center"/>
          </w:tcPr>
          <w:p w14:paraId="56C87F0C">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感觉到明显气味</w:t>
            </w:r>
          </w:p>
        </w:tc>
      </w:tr>
      <w:tr w14:paraId="5C419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6" w:type="pct"/>
            <w:vAlign w:val="center"/>
          </w:tcPr>
          <w:p w14:paraId="07646DC1">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4</w:t>
            </w:r>
          </w:p>
        </w:tc>
        <w:tc>
          <w:tcPr>
            <w:tcW w:w="844" w:type="pct"/>
            <w:vAlign w:val="center"/>
          </w:tcPr>
          <w:p w14:paraId="32D3318C">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强臭</w:t>
            </w:r>
          </w:p>
        </w:tc>
        <w:tc>
          <w:tcPr>
            <w:tcW w:w="3320" w:type="pct"/>
            <w:vAlign w:val="center"/>
          </w:tcPr>
          <w:p w14:paraId="6B2096AE">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较强的气味，嗅后使人不快</w:t>
            </w:r>
          </w:p>
        </w:tc>
      </w:tr>
      <w:tr w14:paraId="4C8F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6" w:type="pct"/>
            <w:vAlign w:val="center"/>
          </w:tcPr>
          <w:p w14:paraId="5AF2DB90">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5</w:t>
            </w:r>
          </w:p>
        </w:tc>
        <w:tc>
          <w:tcPr>
            <w:tcW w:w="844" w:type="pct"/>
            <w:vAlign w:val="center"/>
          </w:tcPr>
          <w:p w14:paraId="31DE0E29">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剧臭</w:t>
            </w:r>
          </w:p>
        </w:tc>
        <w:tc>
          <w:tcPr>
            <w:tcW w:w="3320" w:type="pct"/>
            <w:vAlign w:val="center"/>
          </w:tcPr>
          <w:p w14:paraId="2ED2157C">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强烈的气味</w:t>
            </w:r>
          </w:p>
        </w:tc>
      </w:tr>
    </w:tbl>
    <w:p w14:paraId="2519C364">
      <w:pPr>
        <w:ind w:firstLine="480"/>
        <w:rPr>
          <w:rFonts w:cs="Times New Roman"/>
          <w:color w:val="0D0D0D" w:themeColor="text1" w:themeTint="F2"/>
          <w14:textFill>
            <w14:solidFill>
              <w14:schemeClr w14:val="tx1">
                <w14:lumMod w14:val="95000"/>
                <w14:lumOff w14:val="5000"/>
              </w14:schemeClr>
            </w14:solidFill>
          </w14:textFill>
        </w:rPr>
      </w:pPr>
      <w:r>
        <w:rPr>
          <w:rFonts w:cs="Times New Roman"/>
          <w:color w:val="0D0D0D" w:themeColor="text1" w:themeTint="F2"/>
          <w14:textFill>
            <w14:solidFill>
              <w14:schemeClr w14:val="tx1">
                <w14:lumMod w14:val="95000"/>
                <w14:lumOff w14:val="5000"/>
              </w14:schemeClr>
            </w14:solidFill>
          </w14:textFill>
        </w:rPr>
        <w:t>由上表可知，1~2级为嗅阈值和认知值，只感到微弱气味，而4~5级已为较强的和强烈的臭味，人们在这样的环境中生活不能忍受。无组织排放的臭气强度在3级左右时为人们一般所能接受的强度。</w:t>
      </w:r>
    </w:p>
    <w:p w14:paraId="6869A54C">
      <w:pPr>
        <w:ind w:firstLine="480"/>
        <w:rPr>
          <w:rFonts w:cs="Times New Roman"/>
          <w:color w:val="0D0D0D" w:themeColor="text1" w:themeTint="F2"/>
          <w14:textFill>
            <w14:solidFill>
              <w14:schemeClr w14:val="tx1">
                <w14:lumMod w14:val="95000"/>
                <w14:lumOff w14:val="5000"/>
              </w14:schemeClr>
            </w14:solidFill>
          </w14:textFill>
        </w:rPr>
      </w:pPr>
      <w:r>
        <w:rPr>
          <w:rFonts w:cs="Times New Roman"/>
          <w:color w:val="0D0D0D" w:themeColor="text1" w:themeTint="F2"/>
          <w14:textFill>
            <w14:solidFill>
              <w14:schemeClr w14:val="tx1">
                <w14:lumMod w14:val="95000"/>
                <w14:lumOff w14:val="5000"/>
              </w14:schemeClr>
            </w14:solidFill>
          </w14:textFill>
        </w:rPr>
        <w:t>恶臭污染物浓度与恶臭强度关系</w:t>
      </w:r>
      <w:r>
        <w:rPr>
          <w:rFonts w:hint="eastAsia" w:cs="Times New Roman"/>
          <w:color w:val="0D0D0D" w:themeColor="text1" w:themeTint="F2"/>
          <w14:textFill>
            <w14:solidFill>
              <w14:schemeClr w14:val="tx1">
                <w14:lumMod w14:val="95000"/>
                <w14:lumOff w14:val="5000"/>
              </w14:schemeClr>
            </w14:solidFill>
          </w14:textFill>
        </w:rPr>
        <w:t>详</w:t>
      </w:r>
      <w:r>
        <w:rPr>
          <w:rFonts w:cs="Times New Roman"/>
          <w:color w:val="0D0D0D" w:themeColor="text1" w:themeTint="F2"/>
          <w14:textFill>
            <w14:solidFill>
              <w14:schemeClr w14:val="tx1">
                <w14:lumMod w14:val="95000"/>
                <w14:lumOff w14:val="5000"/>
              </w14:schemeClr>
            </w14:solidFill>
          </w14:textFill>
        </w:rPr>
        <w:t>见表</w:t>
      </w:r>
      <w:r>
        <w:rPr>
          <w:rFonts w:hint="eastAsia" w:cs="Times New Roman"/>
          <w:color w:val="0D0D0D" w:themeColor="text1" w:themeTint="F2"/>
          <w14:textFill>
            <w14:solidFill>
              <w14:schemeClr w14:val="tx1">
                <w14:lumMod w14:val="95000"/>
                <w14:lumOff w14:val="5000"/>
              </w14:schemeClr>
            </w14:solidFill>
          </w14:textFill>
        </w:rPr>
        <w:t>5.2-10</w:t>
      </w:r>
      <w:r>
        <w:rPr>
          <w:rFonts w:cs="Times New Roman"/>
          <w:color w:val="0D0D0D" w:themeColor="text1" w:themeTint="F2"/>
          <w14:textFill>
            <w14:solidFill>
              <w14:schemeClr w14:val="tx1">
                <w14:lumMod w14:val="95000"/>
                <w14:lumOff w14:val="5000"/>
              </w14:schemeClr>
            </w14:solidFill>
          </w14:textFill>
        </w:rPr>
        <w:t>。</w:t>
      </w:r>
    </w:p>
    <w:p w14:paraId="37F749DF">
      <w:pPr>
        <w:pStyle w:val="11"/>
      </w:pPr>
      <w:r>
        <w:rPr>
          <w:rFonts w:hint="eastAsia"/>
        </w:rPr>
        <w:t xml:space="preserve"> </w:t>
      </w:r>
      <w:r>
        <w:t>恶臭污染物浓度（mg/m</w:t>
      </w:r>
      <w:r>
        <w:rPr>
          <w:vertAlign w:val="superscript"/>
        </w:rPr>
        <w:t>3</w:t>
      </w:r>
      <w:r>
        <w:t>）与恶臭强度关系</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8"/>
        <w:gridCol w:w="1027"/>
        <w:gridCol w:w="1028"/>
        <w:gridCol w:w="1028"/>
        <w:gridCol w:w="1028"/>
        <w:gridCol w:w="1028"/>
        <w:gridCol w:w="1028"/>
        <w:gridCol w:w="1187"/>
      </w:tblGrid>
      <w:tr w14:paraId="6E2EA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2" w:type="pct"/>
            <w:vMerge w:val="restart"/>
            <w:vAlign w:val="center"/>
          </w:tcPr>
          <w:p w14:paraId="24D9D41E">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恶臭污染物</w:t>
            </w:r>
          </w:p>
        </w:tc>
        <w:tc>
          <w:tcPr>
            <w:tcW w:w="3978" w:type="pct"/>
            <w:gridSpan w:val="7"/>
            <w:vAlign w:val="center"/>
          </w:tcPr>
          <w:p w14:paraId="53AB5026">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恶臭强度分级</w:t>
            </w:r>
          </w:p>
        </w:tc>
      </w:tr>
      <w:tr w14:paraId="13890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2" w:type="pct"/>
            <w:vMerge w:val="continue"/>
            <w:vAlign w:val="center"/>
          </w:tcPr>
          <w:p w14:paraId="0EA568A4">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56" w:type="pct"/>
            <w:vAlign w:val="center"/>
          </w:tcPr>
          <w:p w14:paraId="7AAC114C">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1</w:t>
            </w:r>
          </w:p>
        </w:tc>
        <w:tc>
          <w:tcPr>
            <w:tcW w:w="556" w:type="pct"/>
            <w:vAlign w:val="center"/>
          </w:tcPr>
          <w:p w14:paraId="362099E1">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2</w:t>
            </w:r>
          </w:p>
        </w:tc>
        <w:tc>
          <w:tcPr>
            <w:tcW w:w="556" w:type="pct"/>
            <w:vAlign w:val="center"/>
          </w:tcPr>
          <w:p w14:paraId="1BBC1D97">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2.5</w:t>
            </w:r>
          </w:p>
        </w:tc>
        <w:tc>
          <w:tcPr>
            <w:tcW w:w="556" w:type="pct"/>
            <w:vAlign w:val="center"/>
          </w:tcPr>
          <w:p w14:paraId="1AC7DCF6">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3</w:t>
            </w:r>
          </w:p>
        </w:tc>
        <w:tc>
          <w:tcPr>
            <w:tcW w:w="556" w:type="pct"/>
            <w:vAlign w:val="center"/>
          </w:tcPr>
          <w:p w14:paraId="00747834">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3.5</w:t>
            </w:r>
          </w:p>
        </w:tc>
        <w:tc>
          <w:tcPr>
            <w:tcW w:w="556" w:type="pct"/>
            <w:vAlign w:val="center"/>
          </w:tcPr>
          <w:p w14:paraId="0F340429">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4</w:t>
            </w:r>
          </w:p>
        </w:tc>
        <w:tc>
          <w:tcPr>
            <w:tcW w:w="642" w:type="pct"/>
            <w:vAlign w:val="center"/>
          </w:tcPr>
          <w:p w14:paraId="5990653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5</w:t>
            </w:r>
          </w:p>
        </w:tc>
      </w:tr>
      <w:tr w14:paraId="5D6CE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2" w:type="pct"/>
            <w:vAlign w:val="center"/>
          </w:tcPr>
          <w:p w14:paraId="0B6E3647">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NH</w:t>
            </w:r>
            <w:r>
              <w:rPr>
                <w:rFonts w:cs="Times New Roman"/>
                <w:color w:val="0D0D0D" w:themeColor="text1" w:themeTint="F2"/>
                <w:sz w:val="21"/>
                <w:vertAlign w:val="subscript"/>
                <w14:textFill>
                  <w14:solidFill>
                    <w14:schemeClr w14:val="tx1">
                      <w14:lumMod w14:val="95000"/>
                      <w14:lumOff w14:val="5000"/>
                    </w14:schemeClr>
                  </w14:solidFill>
                </w14:textFill>
              </w:rPr>
              <w:t>3</w:t>
            </w:r>
          </w:p>
        </w:tc>
        <w:tc>
          <w:tcPr>
            <w:tcW w:w="556" w:type="pct"/>
            <w:vAlign w:val="center"/>
          </w:tcPr>
          <w:p w14:paraId="1E25030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0.076</w:t>
            </w:r>
          </w:p>
        </w:tc>
        <w:tc>
          <w:tcPr>
            <w:tcW w:w="556" w:type="pct"/>
            <w:vAlign w:val="center"/>
          </w:tcPr>
          <w:p w14:paraId="0CF311F2">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0.455</w:t>
            </w:r>
          </w:p>
        </w:tc>
        <w:tc>
          <w:tcPr>
            <w:tcW w:w="556" w:type="pct"/>
            <w:vAlign w:val="center"/>
          </w:tcPr>
          <w:p w14:paraId="64042CEE">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0.759</w:t>
            </w:r>
          </w:p>
        </w:tc>
        <w:tc>
          <w:tcPr>
            <w:tcW w:w="556" w:type="pct"/>
            <w:vAlign w:val="center"/>
          </w:tcPr>
          <w:p w14:paraId="0F3C9343">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1.518</w:t>
            </w:r>
          </w:p>
        </w:tc>
        <w:tc>
          <w:tcPr>
            <w:tcW w:w="556" w:type="pct"/>
            <w:vAlign w:val="center"/>
          </w:tcPr>
          <w:p w14:paraId="21EA1AED">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3.795</w:t>
            </w:r>
          </w:p>
        </w:tc>
        <w:tc>
          <w:tcPr>
            <w:tcW w:w="556" w:type="pct"/>
            <w:vAlign w:val="center"/>
          </w:tcPr>
          <w:p w14:paraId="2D17C8AC">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7.589</w:t>
            </w:r>
          </w:p>
        </w:tc>
        <w:tc>
          <w:tcPr>
            <w:tcW w:w="642" w:type="pct"/>
            <w:vAlign w:val="center"/>
          </w:tcPr>
          <w:p w14:paraId="047A2868">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30.357</w:t>
            </w:r>
          </w:p>
        </w:tc>
      </w:tr>
      <w:tr w14:paraId="1F519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2" w:type="pct"/>
            <w:vAlign w:val="center"/>
          </w:tcPr>
          <w:p w14:paraId="34FD679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H</w:t>
            </w:r>
            <w:r>
              <w:rPr>
                <w:rFonts w:cs="Times New Roman"/>
                <w:color w:val="0D0D0D" w:themeColor="text1" w:themeTint="F2"/>
                <w:sz w:val="21"/>
                <w:vertAlign w:val="subscript"/>
                <w14:textFill>
                  <w14:solidFill>
                    <w14:schemeClr w14:val="tx1">
                      <w14:lumMod w14:val="95000"/>
                      <w14:lumOff w14:val="5000"/>
                    </w14:schemeClr>
                  </w14:solidFill>
                </w14:textFill>
              </w:rPr>
              <w:t>2</w:t>
            </w:r>
            <w:r>
              <w:rPr>
                <w:rFonts w:cs="Times New Roman"/>
                <w:color w:val="0D0D0D" w:themeColor="text1" w:themeTint="F2"/>
                <w:sz w:val="21"/>
                <w14:textFill>
                  <w14:solidFill>
                    <w14:schemeClr w14:val="tx1">
                      <w14:lumMod w14:val="95000"/>
                      <w14:lumOff w14:val="5000"/>
                    </w14:schemeClr>
                  </w14:solidFill>
                </w14:textFill>
              </w:rPr>
              <w:t>S</w:t>
            </w:r>
          </w:p>
        </w:tc>
        <w:tc>
          <w:tcPr>
            <w:tcW w:w="556" w:type="pct"/>
            <w:vAlign w:val="center"/>
          </w:tcPr>
          <w:p w14:paraId="787D06D7">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0.001</w:t>
            </w:r>
          </w:p>
        </w:tc>
        <w:tc>
          <w:tcPr>
            <w:tcW w:w="556" w:type="pct"/>
            <w:vAlign w:val="center"/>
          </w:tcPr>
          <w:p w14:paraId="6F7C5C44">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0.009</w:t>
            </w:r>
          </w:p>
        </w:tc>
        <w:tc>
          <w:tcPr>
            <w:tcW w:w="556" w:type="pct"/>
            <w:vAlign w:val="center"/>
          </w:tcPr>
          <w:p w14:paraId="10EC87C7">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0.030</w:t>
            </w:r>
          </w:p>
        </w:tc>
        <w:tc>
          <w:tcPr>
            <w:tcW w:w="556" w:type="pct"/>
            <w:vAlign w:val="center"/>
          </w:tcPr>
          <w:p w14:paraId="5D21A67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0.091</w:t>
            </w:r>
          </w:p>
        </w:tc>
        <w:tc>
          <w:tcPr>
            <w:tcW w:w="556" w:type="pct"/>
            <w:vAlign w:val="center"/>
          </w:tcPr>
          <w:p w14:paraId="6EFD41BB">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0.304</w:t>
            </w:r>
          </w:p>
        </w:tc>
        <w:tc>
          <w:tcPr>
            <w:tcW w:w="556" w:type="pct"/>
            <w:vAlign w:val="center"/>
          </w:tcPr>
          <w:p w14:paraId="04CF9CD9">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1.063</w:t>
            </w:r>
          </w:p>
        </w:tc>
        <w:tc>
          <w:tcPr>
            <w:tcW w:w="642" w:type="pct"/>
            <w:vAlign w:val="center"/>
          </w:tcPr>
          <w:p w14:paraId="2BC0D254">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4.554</w:t>
            </w:r>
          </w:p>
        </w:tc>
      </w:tr>
    </w:tbl>
    <w:p w14:paraId="1F45BEF0">
      <w:pPr>
        <w:ind w:firstLine="480" w:firstLineChars="200"/>
        <w:rPr>
          <w:rFonts w:cs="Times New Roman"/>
          <w:color w:val="0D0D0D" w:themeColor="text1" w:themeTint="F2"/>
          <w:szCs w:val="24"/>
          <w:u w:val="single"/>
          <w14:textFill>
            <w14:solidFill>
              <w14:schemeClr w14:val="tx1">
                <w14:lumMod w14:val="95000"/>
                <w14:lumOff w14:val="5000"/>
              </w14:schemeClr>
            </w14:solidFill>
          </w14:textFill>
        </w:rPr>
      </w:pPr>
      <w:r>
        <w:rPr>
          <w:rFonts w:cs="Times New Roman"/>
          <w:color w:val="0D0D0D" w:themeColor="text1" w:themeTint="F2"/>
          <w:szCs w:val="24"/>
          <w:u w:val="single"/>
          <w14:textFill>
            <w14:solidFill>
              <w14:schemeClr w14:val="tx1">
                <w14:lumMod w14:val="95000"/>
                <w14:lumOff w14:val="5000"/>
              </w14:schemeClr>
            </w14:solidFill>
          </w14:textFill>
        </w:rPr>
        <w:t>根据</w:t>
      </w:r>
      <w:r>
        <w:rPr>
          <w:rFonts w:hint="eastAsia" w:cs="Times New Roman"/>
          <w:color w:val="0D0D0D" w:themeColor="text1" w:themeTint="F2"/>
          <w:szCs w:val="24"/>
          <w:u w:val="single"/>
          <w14:textFill>
            <w14:solidFill>
              <w14:schemeClr w14:val="tx1">
                <w14:lumMod w14:val="95000"/>
                <w14:lumOff w14:val="5000"/>
              </w14:schemeClr>
            </w14:solidFill>
          </w14:textFill>
        </w:rPr>
        <w:t>估算结果</w:t>
      </w:r>
      <w:r>
        <w:rPr>
          <w:rFonts w:cs="Times New Roman"/>
          <w:color w:val="0D0D0D" w:themeColor="text1" w:themeTint="F2"/>
          <w:szCs w:val="24"/>
          <w:u w:val="single"/>
          <w14:textFill>
            <w14:solidFill>
              <w14:schemeClr w14:val="tx1">
                <w14:lumMod w14:val="95000"/>
                <w14:lumOff w14:val="5000"/>
              </w14:schemeClr>
            </w14:solidFill>
          </w14:textFill>
        </w:rPr>
        <w:t>，NH</w:t>
      </w:r>
      <w:r>
        <w:rPr>
          <w:rFonts w:cs="Times New Roman"/>
          <w:color w:val="0D0D0D" w:themeColor="text1" w:themeTint="F2"/>
          <w:szCs w:val="24"/>
          <w:u w:val="single"/>
          <w:vertAlign w:val="subscript"/>
          <w14:textFill>
            <w14:solidFill>
              <w14:schemeClr w14:val="tx1">
                <w14:lumMod w14:val="95000"/>
                <w14:lumOff w14:val="5000"/>
              </w14:schemeClr>
            </w14:solidFill>
          </w14:textFill>
        </w:rPr>
        <w:t>3</w:t>
      </w:r>
      <w:r>
        <w:rPr>
          <w:rFonts w:hint="eastAsia" w:cs="Times New Roman"/>
          <w:color w:val="0D0D0D" w:themeColor="text1" w:themeTint="F2"/>
          <w:szCs w:val="24"/>
          <w:u w:val="single"/>
          <w14:textFill>
            <w14:solidFill>
              <w14:schemeClr w14:val="tx1">
                <w14:lumMod w14:val="95000"/>
                <w14:lumOff w14:val="5000"/>
              </w14:schemeClr>
            </w14:solidFill>
          </w14:textFill>
        </w:rPr>
        <w:t>最大浓度为0.0133mg/m</w:t>
      </w:r>
      <w:r>
        <w:rPr>
          <w:rFonts w:hint="eastAsia" w:cs="Times New Roman"/>
          <w:color w:val="0D0D0D" w:themeColor="text1" w:themeTint="F2"/>
          <w:szCs w:val="24"/>
          <w:u w:val="single"/>
          <w:vertAlign w:val="superscript"/>
          <w14:textFill>
            <w14:solidFill>
              <w14:schemeClr w14:val="tx1">
                <w14:lumMod w14:val="95000"/>
                <w14:lumOff w14:val="5000"/>
              </w14:schemeClr>
            </w14:solidFill>
          </w14:textFill>
        </w:rPr>
        <w:t>3</w:t>
      </w:r>
      <w:r>
        <w:rPr>
          <w:rFonts w:hint="eastAsia" w:cs="Times New Roman"/>
          <w:color w:val="0D0D0D" w:themeColor="text1" w:themeTint="F2"/>
          <w:szCs w:val="24"/>
          <w:u w:val="single"/>
          <w14:textFill>
            <w14:solidFill>
              <w14:schemeClr w14:val="tx1">
                <w14:lumMod w14:val="95000"/>
                <w14:lumOff w14:val="5000"/>
              </w14:schemeClr>
            </w14:solidFill>
          </w14:textFill>
        </w:rPr>
        <w:t>，</w:t>
      </w:r>
      <w:r>
        <w:rPr>
          <w:rFonts w:cs="Times New Roman"/>
          <w:color w:val="0D0D0D" w:themeColor="text1" w:themeTint="F2"/>
          <w:szCs w:val="24"/>
          <w:u w:val="single"/>
          <w14:textFill>
            <w14:solidFill>
              <w14:schemeClr w14:val="tx1">
                <w14:lumMod w14:val="95000"/>
                <w14:lumOff w14:val="5000"/>
              </w14:schemeClr>
            </w14:solidFill>
          </w14:textFill>
        </w:rPr>
        <w:t>H</w:t>
      </w:r>
      <w:r>
        <w:rPr>
          <w:rFonts w:cs="Times New Roman"/>
          <w:color w:val="0D0D0D" w:themeColor="text1" w:themeTint="F2"/>
          <w:szCs w:val="24"/>
          <w:u w:val="single"/>
          <w:vertAlign w:val="subscript"/>
          <w14:textFill>
            <w14:solidFill>
              <w14:schemeClr w14:val="tx1">
                <w14:lumMod w14:val="95000"/>
                <w14:lumOff w14:val="5000"/>
              </w14:schemeClr>
            </w14:solidFill>
          </w14:textFill>
        </w:rPr>
        <w:t>2</w:t>
      </w:r>
      <w:r>
        <w:rPr>
          <w:rFonts w:cs="Times New Roman"/>
          <w:color w:val="0D0D0D" w:themeColor="text1" w:themeTint="F2"/>
          <w:szCs w:val="24"/>
          <w:u w:val="single"/>
          <w14:textFill>
            <w14:solidFill>
              <w14:schemeClr w14:val="tx1">
                <w14:lumMod w14:val="95000"/>
                <w14:lumOff w14:val="5000"/>
              </w14:schemeClr>
            </w14:solidFill>
          </w14:textFill>
        </w:rPr>
        <w:t>S</w:t>
      </w:r>
      <w:r>
        <w:rPr>
          <w:rFonts w:hint="eastAsia" w:cs="Times New Roman"/>
          <w:color w:val="0D0D0D" w:themeColor="text1" w:themeTint="F2"/>
          <w:szCs w:val="24"/>
          <w:u w:val="single"/>
          <w14:textFill>
            <w14:solidFill>
              <w14:schemeClr w14:val="tx1">
                <w14:lumMod w14:val="95000"/>
                <w14:lumOff w14:val="5000"/>
              </w14:schemeClr>
            </w14:solidFill>
          </w14:textFill>
        </w:rPr>
        <w:t>最大浓度为</w:t>
      </w:r>
      <w:r>
        <w:rPr>
          <w:rFonts w:cs="Times New Roman"/>
          <w:color w:val="0D0D0D" w:themeColor="text1" w:themeTint="F2"/>
          <w:szCs w:val="24"/>
          <w:u w:val="single"/>
          <w14:textFill>
            <w14:solidFill>
              <w14:schemeClr w14:val="tx1">
                <w14:lumMod w14:val="95000"/>
                <w14:lumOff w14:val="5000"/>
              </w14:schemeClr>
            </w14:solidFill>
          </w14:textFill>
        </w:rPr>
        <w:t>0.</w:t>
      </w:r>
      <w:r>
        <w:rPr>
          <w:rFonts w:hint="eastAsia" w:cs="Times New Roman"/>
          <w:color w:val="0D0D0D" w:themeColor="text1" w:themeTint="F2"/>
          <w:szCs w:val="24"/>
          <w:u w:val="single"/>
          <w14:textFill>
            <w14:solidFill>
              <w14:schemeClr w14:val="tx1">
                <w14:lumMod w14:val="95000"/>
                <w14:lumOff w14:val="5000"/>
              </w14:schemeClr>
            </w14:solidFill>
          </w14:textFill>
        </w:rPr>
        <w:t>0003mg/m</w:t>
      </w:r>
      <w:r>
        <w:rPr>
          <w:rFonts w:hint="eastAsia" w:cs="Times New Roman"/>
          <w:color w:val="0D0D0D" w:themeColor="text1" w:themeTint="F2"/>
          <w:szCs w:val="24"/>
          <w:u w:val="single"/>
          <w:vertAlign w:val="superscript"/>
          <w14:textFill>
            <w14:solidFill>
              <w14:schemeClr w14:val="tx1">
                <w14:lumMod w14:val="95000"/>
                <w14:lumOff w14:val="5000"/>
              </w14:schemeClr>
            </w14:solidFill>
          </w14:textFill>
        </w:rPr>
        <w:t>3</w:t>
      </w:r>
      <w:r>
        <w:rPr>
          <w:rFonts w:hint="eastAsia" w:cs="Times New Roman"/>
          <w:color w:val="0D0D0D" w:themeColor="text1" w:themeTint="F2"/>
          <w:szCs w:val="24"/>
          <w:u w:val="single"/>
          <w14:textFill>
            <w14:solidFill>
              <w14:schemeClr w14:val="tx1">
                <w14:lumMod w14:val="95000"/>
                <w14:lumOff w14:val="5000"/>
              </w14:schemeClr>
            </w14:solidFill>
          </w14:textFill>
        </w:rPr>
        <w:t>，恶臭等级均小于1级，属于无气味~勉强感觉到气体（检测阈值）之间，能为人群所接受。因此，项目恶臭污染物对周边环境及敏感点的影响在可接受范围内。</w:t>
      </w:r>
    </w:p>
    <w:p w14:paraId="2E3877CB">
      <w:pPr>
        <w:pStyle w:val="9"/>
      </w:pPr>
      <w:bookmarkStart w:id="166" w:name="_Toc204062630"/>
      <w:r>
        <w:rPr>
          <w:rFonts w:hint="eastAsia"/>
        </w:rPr>
        <w:t>排气筒设置合理性分析</w:t>
      </w:r>
      <w:bookmarkEnd w:id="166"/>
    </w:p>
    <w:p w14:paraId="0DB1BEE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（1）排气筒高度合理性分析</w:t>
      </w:r>
    </w:p>
    <w:p w14:paraId="48A292F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①根据《石油炼制工业污染物排放标准》（GB31570-2015）及其修改单，产生大气污染物的生产工艺和装置需设立局部或整体气体收集系统和净化处理装置，达标排放。排气筒高度应按环境影响评价要求确定，且至少不低于15m。根据《恶臭污染物排放标准》（GB14554-1993），排气筒的最低高度不得低于15m。</w:t>
      </w:r>
    </w:p>
    <w:p w14:paraId="7738A443">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项目DA001排气筒高度为30m，满足至少不低于15m的要求，因此，项目30m排气筒（DA001）设置合理。</w:t>
      </w:r>
    </w:p>
    <w:p w14:paraId="4971A23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②根据《锅炉大气污染物排放标准》（GB13271-2014），4.5每个新建燃煤锅炉房只能设一根烟囱，烟囱高度应根据锅炉房装机总容量，按表4规定执行，燃油、燃气锅炉烟囱不低于8米，锅炉烟囱的具体高度按批复的环境影响评价文件确定。新建锅炉房的烟囱周围半径200m距离内有建筑物时，其烟囱应高出最高建筑物3m以上。</w:t>
      </w:r>
    </w:p>
    <w:p w14:paraId="27699B75">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导热油炉采用生物质颗粒为燃料，参照燃煤锅炉最低允许高度执行，导热油炉总规模为16t/h，排气筒最低高度为40m。经调查，项目周边200m范围内最高建筑为本项目的生物柴油车间，高21.15m，40m排气筒（DA002）高出最高建筑物3m以上，因此，项目40m排气筒（DA002）设置合理。</w:t>
      </w:r>
    </w:p>
    <w:p w14:paraId="0A616F8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（2）烟气出口合理性分析</w:t>
      </w:r>
    </w:p>
    <w:p w14:paraId="54E17A7C">
      <w:pPr>
        <w:widowControl/>
        <w:ind w:firstLine="480"/>
        <w:textAlignment w:val="baseline"/>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根据《制定地方大气污染物排放标准的技术方法》（GB13201-91）</w:t>
      </w:r>
      <w:r>
        <w:rPr>
          <w:rFonts w:hint="eastAsia"/>
          <w:color w:val="0D0D0D" w:themeColor="text1" w:themeTint="F2"/>
          <w14:textFill>
            <w14:solidFill>
              <w14:schemeClr w14:val="tx1">
                <w14:lumMod w14:val="95000"/>
                <w14:lumOff w14:val="5000"/>
              </w14:schemeClr>
            </w14:solidFill>
          </w14:textFill>
        </w:rPr>
        <w:t>：新建、改建和扩建工程的</w:t>
      </w:r>
      <w:r>
        <w:rPr>
          <w:color w:val="0D0D0D" w:themeColor="text1" w:themeTint="F2"/>
          <w14:textFill>
            <w14:solidFill>
              <w14:schemeClr w14:val="tx1">
                <w14:lumMod w14:val="95000"/>
                <w14:lumOff w14:val="5000"/>
              </w14:schemeClr>
            </w14:solidFill>
          </w14:textFill>
        </w:rPr>
        <w:t>排气筒出口处烟气速度V</w:t>
      </w:r>
      <w:r>
        <w:rPr>
          <w:rFonts w:hint="eastAsia"/>
          <w:color w:val="0D0D0D" w:themeColor="text1" w:themeTint="F2"/>
          <w:vertAlign w:val="subscript"/>
          <w14:textFill>
            <w14:solidFill>
              <w14:schemeClr w14:val="tx1">
                <w14:lumMod w14:val="95000"/>
                <w14:lumOff w14:val="5000"/>
              </w14:schemeClr>
            </w14:solidFill>
          </w14:textFill>
        </w:rPr>
        <w:t>S</w:t>
      </w:r>
      <w:r>
        <w:rPr>
          <w:color w:val="0D0D0D" w:themeColor="text1" w:themeTint="F2"/>
          <w14:textFill>
            <w14:solidFill>
              <w14:schemeClr w14:val="tx1">
                <w14:lumMod w14:val="95000"/>
                <w14:lumOff w14:val="5000"/>
              </w14:schemeClr>
            </w14:solidFill>
          </w14:textFill>
        </w:rPr>
        <w:t>不得小于按下式计算出的风速V</w:t>
      </w:r>
      <w:r>
        <w:rPr>
          <w:rFonts w:hint="eastAsia"/>
          <w:color w:val="0D0D0D" w:themeColor="text1" w:themeTint="F2"/>
          <w:vertAlign w:val="subscript"/>
          <w14:textFill>
            <w14:solidFill>
              <w14:schemeClr w14:val="tx1">
                <w14:lumMod w14:val="95000"/>
                <w14:lumOff w14:val="5000"/>
              </w14:schemeClr>
            </w14:solidFill>
          </w14:textFill>
        </w:rPr>
        <w:t>C</w:t>
      </w:r>
      <w:r>
        <w:rPr>
          <w:color w:val="0D0D0D" w:themeColor="text1" w:themeTint="F2"/>
          <w14:textFill>
            <w14:solidFill>
              <w14:schemeClr w14:val="tx1">
                <w14:lumMod w14:val="95000"/>
                <w14:lumOff w14:val="5000"/>
              </w14:schemeClr>
            </w14:solidFill>
          </w14:textFill>
        </w:rPr>
        <w:t>的1.5倍。</w:t>
      </w:r>
    </w:p>
    <w:p w14:paraId="6924B858">
      <w:pPr>
        <w:widowControl/>
        <w:ind w:firstLine="480"/>
        <w:textAlignment w:val="baseline"/>
        <w:rPr>
          <w:iCs/>
          <w:color w:val="0D0D0D" w:themeColor="text1" w:themeTint="F2"/>
          <w14:textFill>
            <w14:solidFill>
              <w14:schemeClr w14:val="tx1">
                <w14:lumMod w14:val="95000"/>
                <w14:lumOff w14:val="5000"/>
              </w14:schemeClr>
            </w14:solidFill>
          </w14:textFill>
        </w:rPr>
      </w:pPr>
      <m:oMathPara>
        <m:oMath>
          <m:sSub>
            <m:sSubPr>
              <m:ctrlPr>
                <w:rPr>
                  <w:rFonts w:ascii="Cambria Math" w:hAnsi="Cambria Math"/>
                  <w:iCs/>
                  <w:color w:val="0D0D0D" w:themeColor="text1" w:themeTint="F2"/>
                  <w14:textFill>
                    <w14:solidFill>
                      <w14:schemeClr w14:val="tx1">
                        <w14:lumMod w14:val="95000"/>
                        <w14:lumOff w14:val="5000"/>
                      </w14:schemeClr>
                    </w14:solidFill>
                  </w14:textFill>
                </w:rPr>
              </m:ctrlPr>
            </m:sSubPr>
            <m:e>
              <m:r>
                <m:rPr>
                  <m:nor/>
                  <m:sty m:val="p"/>
                </m:rPr>
                <w:rPr>
                  <w:b w:val="0"/>
                  <w:i w:val="0"/>
                  <w:color w:val="0D0D0D" w:themeColor="text1" w:themeTint="F2"/>
                  <w14:textFill>
                    <w14:solidFill>
                      <w14:schemeClr w14:val="tx1">
                        <w14:lumMod w14:val="95000"/>
                        <w14:lumOff w14:val="5000"/>
                      </w14:schemeClr>
                    </w14:solidFill>
                  </w14:textFill>
                </w:rPr>
                <m:t>V</m:t>
              </m:r>
              <m:ctrlPr>
                <w:rPr>
                  <w:rFonts w:ascii="Cambria Math" w:hAnsi="Cambria Math"/>
                  <w:iCs/>
                  <w:color w:val="0D0D0D" w:themeColor="text1" w:themeTint="F2"/>
                  <w14:textFill>
                    <w14:solidFill>
                      <w14:schemeClr w14:val="tx1">
                        <w14:lumMod w14:val="95000"/>
                        <w14:lumOff w14:val="5000"/>
                      </w14:schemeClr>
                    </w14:solidFill>
                  </w14:textFill>
                </w:rPr>
              </m:ctrlPr>
            </m:e>
            <m:sub>
              <m:r>
                <m:rPr>
                  <m:nor/>
                  <m:sty m:val="p"/>
                </m:rPr>
                <w:rPr>
                  <w:b w:val="0"/>
                  <w:i w:val="0"/>
                  <w:color w:val="0D0D0D" w:themeColor="text1" w:themeTint="F2"/>
                  <w14:textFill>
                    <w14:solidFill>
                      <w14:schemeClr w14:val="tx1">
                        <w14:lumMod w14:val="95000"/>
                        <w14:lumOff w14:val="5000"/>
                      </w14:schemeClr>
                    </w14:solidFill>
                  </w14:textFill>
                </w:rPr>
                <m:t>C</m:t>
              </m:r>
              <m:ctrlPr>
                <w:rPr>
                  <w:rFonts w:ascii="Cambria Math" w:hAnsi="Cambria Math"/>
                  <w:iCs/>
                  <w:color w:val="0D0D0D" w:themeColor="text1" w:themeTint="F2"/>
                  <w14:textFill>
                    <w14:solidFill>
                      <w14:schemeClr w14:val="tx1">
                        <w14:lumMod w14:val="95000"/>
                        <w14:lumOff w14:val="5000"/>
                      </w14:schemeClr>
                    </w14:solidFill>
                  </w14:textFill>
                </w:rPr>
              </m:ctrlPr>
            </m:sub>
          </m:sSub>
          <m:r>
            <m:rPr>
              <m:nor/>
              <m:sty m:val="p"/>
            </m:rPr>
            <w:rPr>
              <w:b w:val="0"/>
              <w:i w:val="0"/>
              <w:color w:val="0D0D0D" w:themeColor="text1" w:themeTint="F2"/>
              <w14:textFill>
                <w14:solidFill>
                  <w14:schemeClr w14:val="tx1">
                    <w14:lumMod w14:val="95000"/>
                    <w14:lumOff w14:val="5000"/>
                  </w14:schemeClr>
                </w14:solidFill>
              </w14:textFill>
            </w:rPr>
            <m:t>=</m:t>
          </m:r>
          <m:acc>
            <m:accPr>
              <m:chr m:val="̅"/>
              <m:ctrlPr>
                <w:rPr>
                  <w:rFonts w:ascii="Cambria Math" w:hAnsi="Cambria Math"/>
                  <w:iCs/>
                  <w:color w:val="0D0D0D" w:themeColor="text1" w:themeTint="F2"/>
                  <w14:textFill>
                    <w14:solidFill>
                      <w14:schemeClr w14:val="tx1">
                        <w14:lumMod w14:val="95000"/>
                        <w14:lumOff w14:val="5000"/>
                      </w14:schemeClr>
                    </w14:solidFill>
                  </w14:textFill>
                </w:rPr>
              </m:ctrlPr>
            </m:accPr>
            <m:e>
              <m:r>
                <m:rPr>
                  <m:nor/>
                  <m:sty m:val="p"/>
                </m:rPr>
                <w:rPr>
                  <w:b w:val="0"/>
                  <w:i w:val="0"/>
                  <w:color w:val="0D0D0D" w:themeColor="text1" w:themeTint="F2"/>
                  <w14:textFill>
                    <w14:solidFill>
                      <w14:schemeClr w14:val="tx1">
                        <w14:lumMod w14:val="95000"/>
                        <w14:lumOff w14:val="5000"/>
                      </w14:schemeClr>
                    </w14:solidFill>
                  </w14:textFill>
                </w:rPr>
                <m:t>V</m:t>
              </m:r>
              <m:ctrlPr>
                <w:rPr>
                  <w:rFonts w:ascii="Cambria Math" w:hAnsi="Cambria Math"/>
                  <w:iCs/>
                  <w:color w:val="0D0D0D" w:themeColor="text1" w:themeTint="F2"/>
                  <w14:textFill>
                    <w14:solidFill>
                      <w14:schemeClr w14:val="tx1">
                        <w14:lumMod w14:val="95000"/>
                        <w14:lumOff w14:val="5000"/>
                      </w14:schemeClr>
                    </w14:solidFill>
                  </w14:textFill>
                </w:rPr>
              </m:ctrlPr>
            </m:e>
          </m:acc>
          <m:r>
            <m:rPr>
              <m:nor/>
              <m:sty m:val="p"/>
            </m:rPr>
            <w:rPr>
              <w:b w:val="0"/>
              <w:i w:val="0"/>
              <w:color w:val="0D0D0D" w:themeColor="text1" w:themeTint="F2"/>
              <w14:textFill>
                <w14:solidFill>
                  <w14:schemeClr w14:val="tx1">
                    <w14:lumMod w14:val="95000"/>
                    <w14:lumOff w14:val="5000"/>
                  </w14:schemeClr>
                </w14:solidFill>
              </w14:textFill>
            </w:rPr>
            <m:t>×</m:t>
          </m:r>
          <m:sSup>
            <m:sSupPr>
              <m:ctrlPr>
                <w:rPr>
                  <w:rFonts w:ascii="Cambria Math" w:hAnsi="Cambria Math"/>
                  <w:iCs/>
                  <w:color w:val="0D0D0D" w:themeColor="text1" w:themeTint="F2"/>
                  <w14:textFill>
                    <w14:solidFill>
                      <w14:schemeClr w14:val="tx1">
                        <w14:lumMod w14:val="95000"/>
                        <w14:lumOff w14:val="5000"/>
                      </w14:schemeClr>
                    </w14:solidFill>
                  </w14:textFill>
                </w:rPr>
              </m:ctrlPr>
            </m:sSupPr>
            <m:e>
              <m:d>
                <m:dPr>
                  <m:begChr m:val="（"/>
                  <m:endChr m:val="）"/>
                  <m:ctrlPr>
                    <w:rPr>
                      <w:rFonts w:ascii="Cambria Math" w:hAnsi="Cambria Math"/>
                      <w:iCs/>
                      <w:color w:val="0D0D0D" w:themeColor="text1" w:themeTint="F2"/>
                      <w14:textFill>
                        <w14:solidFill>
                          <w14:schemeClr w14:val="tx1">
                            <w14:lumMod w14:val="95000"/>
                            <w14:lumOff w14:val="5000"/>
                          </w14:schemeClr>
                        </w14:solidFill>
                      </w14:textFill>
                    </w:rPr>
                  </m:ctrlPr>
                </m:dPr>
                <m:e>
                  <m:r>
                    <m:rPr>
                      <m:nor/>
                      <m:sty m:val="p"/>
                    </m:rPr>
                    <w:rPr>
                      <w:b w:val="0"/>
                      <w:i w:val="0"/>
                      <w:color w:val="0D0D0D" w:themeColor="text1" w:themeTint="F2"/>
                      <w14:textFill>
                        <w14:solidFill>
                          <w14:schemeClr w14:val="tx1">
                            <w14:lumMod w14:val="95000"/>
                            <w14:lumOff w14:val="5000"/>
                          </w14:schemeClr>
                        </w14:solidFill>
                      </w14:textFill>
                    </w:rPr>
                    <m:t>2.303</m:t>
                  </m:r>
                  <m:ctrlPr>
                    <w:rPr>
                      <w:rFonts w:ascii="Cambria Math" w:hAnsi="Cambria Math"/>
                      <w:iCs/>
                      <w:color w:val="0D0D0D" w:themeColor="text1" w:themeTint="F2"/>
                      <w14:textFill>
                        <w14:solidFill>
                          <w14:schemeClr w14:val="tx1">
                            <w14:lumMod w14:val="95000"/>
                            <w14:lumOff w14:val="5000"/>
                          </w14:schemeClr>
                        </w14:solidFill>
                      </w14:textFill>
                    </w:rPr>
                  </m:ctrlPr>
                </m:e>
              </m:d>
              <m:ctrlPr>
                <w:rPr>
                  <w:rFonts w:ascii="Cambria Math" w:hAnsi="Cambria Math"/>
                  <w:iCs/>
                  <w:color w:val="0D0D0D" w:themeColor="text1" w:themeTint="F2"/>
                  <w14:textFill>
                    <w14:solidFill>
                      <w14:schemeClr w14:val="tx1">
                        <w14:lumMod w14:val="95000"/>
                        <w14:lumOff w14:val="5000"/>
                      </w14:schemeClr>
                    </w14:solidFill>
                  </w14:textFill>
                </w:rPr>
              </m:ctrlPr>
            </m:e>
            <m:sup>
              <m:r>
                <m:rPr>
                  <m:nor/>
                  <m:sty m:val="p"/>
                </m:rPr>
                <w:rPr>
                  <w:b w:val="0"/>
                  <w:i w:val="0"/>
                  <w:color w:val="0D0D0D" w:themeColor="text1" w:themeTint="F2"/>
                  <w14:textFill>
                    <w14:solidFill>
                      <w14:schemeClr w14:val="tx1">
                        <w14:lumMod w14:val="95000"/>
                        <w14:lumOff w14:val="5000"/>
                      </w14:schemeClr>
                    </w14:solidFill>
                  </w14:textFill>
                </w:rPr>
                <m:t>1/K</m:t>
              </m:r>
              <m:ctrlPr>
                <w:rPr>
                  <w:rFonts w:ascii="Cambria Math" w:hAnsi="Cambria Math"/>
                  <w:iCs/>
                  <w:color w:val="0D0D0D" w:themeColor="text1" w:themeTint="F2"/>
                  <w14:textFill>
                    <w14:solidFill>
                      <w14:schemeClr w14:val="tx1">
                        <w14:lumMod w14:val="95000"/>
                        <w14:lumOff w14:val="5000"/>
                      </w14:schemeClr>
                    </w14:solidFill>
                  </w14:textFill>
                </w:rPr>
              </m:ctrlPr>
            </m:sup>
          </m:sSup>
          <m:r>
            <m:rPr>
              <m:nor/>
              <m:sty m:val="p"/>
            </m:rPr>
            <w:rPr>
              <w:b w:val="0"/>
              <w:i w:val="0"/>
              <w:color w:val="0D0D0D" w:themeColor="text1" w:themeTint="F2"/>
              <w14:textFill>
                <w14:solidFill>
                  <w14:schemeClr w14:val="tx1">
                    <w14:lumMod w14:val="95000"/>
                    <w14:lumOff w14:val="5000"/>
                  </w14:schemeClr>
                </w14:solidFill>
              </w14:textFill>
            </w:rPr>
            <m:t>/Γ（1+</m:t>
          </m:r>
          <m:f>
            <m:fPr>
              <m:ctrlPr>
                <w:rPr>
                  <w:rFonts w:ascii="Cambria Math" w:hAnsi="Cambria Math"/>
                  <w:iCs/>
                  <w:color w:val="0D0D0D" w:themeColor="text1" w:themeTint="F2"/>
                  <w14:textFill>
                    <w14:solidFill>
                      <w14:schemeClr w14:val="tx1">
                        <w14:lumMod w14:val="95000"/>
                        <w14:lumOff w14:val="5000"/>
                      </w14:schemeClr>
                    </w14:solidFill>
                  </w14:textFill>
                </w:rPr>
              </m:ctrlPr>
            </m:fPr>
            <m:num>
              <m:r>
                <m:rPr>
                  <m:nor/>
                  <m:sty m:val="p"/>
                </m:rPr>
                <w:rPr>
                  <w:b w:val="0"/>
                  <w:i w:val="0"/>
                  <w:color w:val="0D0D0D" w:themeColor="text1" w:themeTint="F2"/>
                  <w14:textFill>
                    <w14:solidFill>
                      <w14:schemeClr w14:val="tx1">
                        <w14:lumMod w14:val="95000"/>
                        <w14:lumOff w14:val="5000"/>
                      </w14:schemeClr>
                    </w14:solidFill>
                  </w14:textFill>
                </w:rPr>
                <m:t>1</m:t>
              </m:r>
              <m:ctrlPr>
                <w:rPr>
                  <w:rFonts w:ascii="Cambria Math" w:hAnsi="Cambria Math"/>
                  <w:iCs/>
                  <w:color w:val="0D0D0D" w:themeColor="text1" w:themeTint="F2"/>
                  <w14:textFill>
                    <w14:solidFill>
                      <w14:schemeClr w14:val="tx1">
                        <w14:lumMod w14:val="95000"/>
                        <w14:lumOff w14:val="5000"/>
                      </w14:schemeClr>
                    </w14:solidFill>
                  </w14:textFill>
                </w:rPr>
              </m:ctrlPr>
            </m:num>
            <m:den>
              <m:r>
                <m:rPr>
                  <m:nor/>
                  <m:sty m:val="p"/>
                </m:rPr>
                <w:rPr>
                  <w:b w:val="0"/>
                  <w:i w:val="0"/>
                  <w:color w:val="0D0D0D" w:themeColor="text1" w:themeTint="F2"/>
                  <w14:textFill>
                    <w14:solidFill>
                      <w14:schemeClr w14:val="tx1">
                        <w14:lumMod w14:val="95000"/>
                        <w14:lumOff w14:val="5000"/>
                      </w14:schemeClr>
                    </w14:solidFill>
                  </w14:textFill>
                </w:rPr>
                <m:t>K</m:t>
              </m:r>
              <m:ctrlPr>
                <w:rPr>
                  <w:rFonts w:ascii="Cambria Math" w:hAnsi="Cambria Math"/>
                  <w:iCs/>
                  <w:color w:val="0D0D0D" w:themeColor="text1" w:themeTint="F2"/>
                  <w14:textFill>
                    <w14:solidFill>
                      <w14:schemeClr w14:val="tx1">
                        <w14:lumMod w14:val="95000"/>
                        <w14:lumOff w14:val="5000"/>
                      </w14:schemeClr>
                    </w14:solidFill>
                  </w14:textFill>
                </w:rPr>
              </m:ctrlPr>
            </m:den>
          </m:f>
          <m:r>
            <m:rPr>
              <m:nor/>
              <m:sty m:val="p"/>
            </m:rPr>
            <w:rPr>
              <w:b w:val="0"/>
              <w:i w:val="0"/>
              <w:color w:val="0D0D0D" w:themeColor="text1" w:themeTint="F2"/>
              <w14:textFill>
                <w14:solidFill>
                  <w14:schemeClr w14:val="tx1">
                    <w14:lumMod w14:val="95000"/>
                    <w14:lumOff w14:val="5000"/>
                  </w14:schemeClr>
                </w14:solidFill>
              </w14:textFill>
            </w:rPr>
            <m:t>）</m:t>
          </m:r>
        </m:oMath>
      </m:oMathPara>
    </w:p>
    <w:p w14:paraId="40C0E4E1">
      <w:pPr>
        <w:widowControl/>
        <w:ind w:firstLine="480"/>
        <w:textAlignment w:val="baseline"/>
        <w:rPr>
          <w:color w:val="0D0D0D" w:themeColor="text1" w:themeTint="F2"/>
          <w14:textFill>
            <w14:solidFill>
              <w14:schemeClr w14:val="tx1">
                <w14:lumMod w14:val="95000"/>
                <w14:lumOff w14:val="5000"/>
              </w14:schemeClr>
            </w14:solidFill>
          </w14:textFill>
        </w:rPr>
      </w:pPr>
      <m:oMathPara>
        <m:oMath>
          <m:r>
            <m:rPr>
              <m:nor/>
              <m:sty m:val="p"/>
            </m:rPr>
            <w:rPr>
              <w:b w:val="0"/>
              <w:i w:val="0"/>
              <w:color w:val="0D0D0D" w:themeColor="text1" w:themeTint="F2"/>
              <w14:textFill>
                <w14:solidFill>
                  <w14:schemeClr w14:val="tx1">
                    <w14:lumMod w14:val="95000"/>
                    <w14:lumOff w14:val="5000"/>
                  </w14:schemeClr>
                </w14:solidFill>
              </w14:textFill>
            </w:rPr>
            <m:t>K=0.74+0.19</m:t>
          </m:r>
          <m:acc>
            <m:accPr>
              <m:chr m:val="̅"/>
              <m:ctrlPr>
                <w:rPr>
                  <w:rFonts w:ascii="Cambria Math" w:hAnsi="Cambria Math"/>
                  <w:i/>
                  <w:color w:val="0D0D0D" w:themeColor="text1" w:themeTint="F2"/>
                  <w14:textFill>
                    <w14:solidFill>
                      <w14:schemeClr w14:val="tx1">
                        <w14:lumMod w14:val="95000"/>
                        <w14:lumOff w14:val="5000"/>
                      </w14:schemeClr>
                    </w14:solidFill>
                  </w14:textFill>
                </w:rPr>
              </m:ctrlPr>
            </m:accPr>
            <m:e>
              <m:r>
                <m:rPr>
                  <m:nor/>
                  <m:sty m:val="p"/>
                </m:rPr>
                <w:rPr>
                  <w:b w:val="0"/>
                  <w:i w:val="0"/>
                  <w:color w:val="0D0D0D" w:themeColor="text1" w:themeTint="F2"/>
                  <w14:textFill>
                    <w14:solidFill>
                      <w14:schemeClr w14:val="tx1">
                        <w14:lumMod w14:val="95000"/>
                        <w14:lumOff w14:val="5000"/>
                      </w14:schemeClr>
                    </w14:solidFill>
                  </w14:textFill>
                </w:rPr>
                <m:t>V</m:t>
              </m:r>
              <m:ctrlPr>
                <w:rPr>
                  <w:rFonts w:ascii="Cambria Math" w:hAnsi="Cambria Math"/>
                  <w:i/>
                  <w:color w:val="0D0D0D" w:themeColor="text1" w:themeTint="F2"/>
                  <w14:textFill>
                    <w14:solidFill>
                      <w14:schemeClr w14:val="tx1">
                        <w14:lumMod w14:val="95000"/>
                        <w14:lumOff w14:val="5000"/>
                      </w14:schemeClr>
                    </w14:solidFill>
                  </w14:textFill>
                </w:rPr>
              </m:ctrlPr>
            </m:e>
          </m:acc>
        </m:oMath>
      </m:oMathPara>
    </w:p>
    <w:p w14:paraId="43196E92">
      <w:pPr>
        <w:widowControl/>
        <w:kinsoku w:val="0"/>
        <w:autoSpaceDE w:val="0"/>
        <w:autoSpaceDN w:val="0"/>
        <w:adjustRightInd w:val="0"/>
        <w:snapToGrid w:val="0"/>
        <w:ind w:firstLine="476" w:firstLineChars="200"/>
        <w:jc w:val="left"/>
        <w:textAlignment w:val="baseline"/>
        <w:rPr>
          <w:snapToGrid w:val="0"/>
          <w:color w:val="0D0D0D" w:themeColor="text1" w:themeTint="F2"/>
          <w:spacing w:val="-1"/>
          <w14:textFill>
            <w14:solidFill>
              <w14:schemeClr w14:val="tx1">
                <w14:lumMod w14:val="95000"/>
                <w14:lumOff w14:val="5000"/>
              </w14:schemeClr>
            </w14:solidFill>
          </w14:textFill>
        </w:rPr>
      </w:pPr>
      <w:r>
        <w:rPr>
          <w:snapToGrid w:val="0"/>
          <w:color w:val="0D0D0D" w:themeColor="text1" w:themeTint="F2"/>
          <w:spacing w:val="-1"/>
          <w14:textFill>
            <w14:solidFill>
              <w14:schemeClr w14:val="tx1">
                <w14:lumMod w14:val="95000"/>
                <w14:lumOff w14:val="5000"/>
              </w14:schemeClr>
            </w14:solidFill>
          </w14:textFill>
        </w:rPr>
        <w:t>式中：</w:t>
      </w:r>
    </w:p>
    <w:p w14:paraId="41B3A0EB">
      <w:pPr>
        <w:widowControl/>
        <w:kinsoku w:val="0"/>
        <w:autoSpaceDE w:val="0"/>
        <w:autoSpaceDN w:val="0"/>
        <w:adjustRightInd w:val="0"/>
        <w:snapToGrid w:val="0"/>
        <w:ind w:firstLine="480" w:firstLineChars="200"/>
        <w:jc w:val="left"/>
        <w:textAlignment w:val="baseline"/>
        <w:rPr>
          <w:snapToGrid w:val="0"/>
          <w:color w:val="0D0D0D" w:themeColor="text1" w:themeTint="F2"/>
          <w:spacing w:val="-1"/>
          <w14:textFill>
            <w14:solidFill>
              <w14:schemeClr w14:val="tx1">
                <w14:lumMod w14:val="95000"/>
                <w14:lumOff w14:val="5000"/>
              </w14:schemeClr>
            </w14:solidFill>
          </w14:textFill>
        </w:rPr>
      </w:pPr>
      <m:oMath>
        <m:acc>
          <m:accPr>
            <m:chr m:val="̅"/>
            <m:ctrlPr>
              <w:rPr>
                <w:rFonts w:ascii="Cambria Math" w:hAnsi="Cambria Math"/>
                <w:iCs/>
                <w:color w:val="0D0D0D" w:themeColor="text1" w:themeTint="F2"/>
                <w14:textFill>
                  <w14:solidFill>
                    <w14:schemeClr w14:val="tx1">
                      <w14:lumMod w14:val="95000"/>
                      <w14:lumOff w14:val="5000"/>
                    </w14:schemeClr>
                  </w14:solidFill>
                </w14:textFill>
              </w:rPr>
            </m:ctrlPr>
          </m:accPr>
          <m:e>
            <m:r>
              <m:rPr>
                <m:sty m:val="p"/>
              </m:rPr>
              <w:rPr>
                <w:rFonts w:ascii="Cambria Math" w:hAnsi="Cambria Math"/>
                <w:color w:val="0D0D0D" w:themeColor="text1" w:themeTint="F2"/>
                <w14:textFill>
                  <w14:solidFill>
                    <w14:schemeClr w14:val="tx1">
                      <w14:lumMod w14:val="95000"/>
                      <w14:lumOff w14:val="5000"/>
                    </w14:schemeClr>
                  </w14:solidFill>
                </w14:textFill>
              </w:rPr>
              <m:t>V</m:t>
            </m:r>
            <m:ctrlPr>
              <w:rPr>
                <w:rFonts w:ascii="Cambria Math" w:hAnsi="Cambria Math"/>
                <w:iCs/>
                <w:color w:val="0D0D0D" w:themeColor="text1" w:themeTint="F2"/>
                <w14:textFill>
                  <w14:solidFill>
                    <w14:schemeClr w14:val="tx1">
                      <w14:lumMod w14:val="95000"/>
                      <w14:lumOff w14:val="5000"/>
                    </w14:schemeClr>
                  </w14:solidFill>
                </w14:textFill>
              </w:rPr>
            </m:ctrlPr>
          </m:e>
        </m:acc>
      </m:oMath>
      <w:r>
        <w:rPr>
          <w:rFonts w:hint="eastAsia"/>
          <w:color w:val="0D0D0D" w:themeColor="text1" w:themeTint="F2"/>
          <w14:textFill>
            <w14:solidFill>
              <w14:schemeClr w14:val="tx1">
                <w14:lumMod w14:val="95000"/>
                <w14:lumOff w14:val="5000"/>
              </w14:schemeClr>
            </w14:solidFill>
          </w14:textFill>
        </w:rPr>
        <w:t>——</w:t>
      </w:r>
      <w:r>
        <w:rPr>
          <w:rFonts w:hint="eastAsia"/>
          <w:snapToGrid w:val="0"/>
          <w:color w:val="0D0D0D" w:themeColor="text1" w:themeTint="F2"/>
          <w:spacing w:val="-1"/>
          <w14:textFill>
            <w14:solidFill>
              <w14:schemeClr w14:val="tx1">
                <w14:lumMod w14:val="95000"/>
                <w14:lumOff w14:val="5000"/>
              </w14:schemeClr>
            </w14:solidFill>
          </w14:textFill>
        </w:rPr>
        <w:t>排</w:t>
      </w:r>
      <w:r>
        <w:rPr>
          <w:snapToGrid w:val="0"/>
          <w:color w:val="0D0D0D" w:themeColor="text1" w:themeTint="F2"/>
          <w:spacing w:val="-1"/>
          <w14:textFill>
            <w14:solidFill>
              <w14:schemeClr w14:val="tx1">
                <w14:lumMod w14:val="95000"/>
                <w14:lumOff w14:val="5000"/>
              </w14:schemeClr>
            </w14:solidFill>
          </w14:textFill>
        </w:rPr>
        <w:t>气筒出口高度处环境风速的多年平均风速</w:t>
      </w:r>
      <w:r>
        <w:rPr>
          <w:rFonts w:hint="eastAsia"/>
          <w:snapToGrid w:val="0"/>
          <w:color w:val="0D0D0D" w:themeColor="text1" w:themeTint="F2"/>
          <w:spacing w:val="-1"/>
          <w14:textFill>
            <w14:solidFill>
              <w14:schemeClr w14:val="tx1">
                <w14:lumMod w14:val="95000"/>
                <w14:lumOff w14:val="5000"/>
              </w14:schemeClr>
            </w14:solidFill>
          </w14:textFill>
        </w:rPr>
        <w:t>，m/s，取2.2</w:t>
      </w:r>
      <w:r>
        <w:rPr>
          <w:snapToGrid w:val="0"/>
          <w:color w:val="0D0D0D" w:themeColor="text1" w:themeTint="F2"/>
          <w:spacing w:val="-1"/>
          <w14:textFill>
            <w14:solidFill>
              <w14:schemeClr w14:val="tx1">
                <w14:lumMod w14:val="95000"/>
                <w14:lumOff w14:val="5000"/>
              </w14:schemeClr>
            </w14:solidFill>
          </w14:textFill>
        </w:rPr>
        <w:t>；</w:t>
      </w:r>
    </w:p>
    <w:p w14:paraId="233134F5">
      <w:pPr>
        <w:widowControl/>
        <w:kinsoku w:val="0"/>
        <w:autoSpaceDE w:val="0"/>
        <w:autoSpaceDN w:val="0"/>
        <w:adjustRightInd w:val="0"/>
        <w:snapToGrid w:val="0"/>
        <w:ind w:firstLine="476" w:firstLineChars="200"/>
        <w:jc w:val="left"/>
        <w:textAlignment w:val="baseline"/>
        <w:rPr>
          <w:snapToGrid w:val="0"/>
          <w:color w:val="0D0D0D" w:themeColor="text1" w:themeTint="F2"/>
          <w:spacing w:val="-1"/>
          <w14:textFill>
            <w14:solidFill>
              <w14:schemeClr w14:val="tx1">
                <w14:lumMod w14:val="95000"/>
                <w14:lumOff w14:val="5000"/>
              </w14:schemeClr>
            </w14:solidFill>
          </w14:textFill>
        </w:rPr>
      </w:pPr>
      <w:r>
        <w:rPr>
          <w:snapToGrid w:val="0"/>
          <w:color w:val="0D0D0D" w:themeColor="text1" w:themeTint="F2"/>
          <w:spacing w:val="-1"/>
          <w14:textFill>
            <w14:solidFill>
              <w14:schemeClr w14:val="tx1">
                <w14:lumMod w14:val="95000"/>
                <w14:lumOff w14:val="5000"/>
              </w14:schemeClr>
            </w14:solidFill>
          </w14:textFill>
        </w:rPr>
        <w:t>K</w:t>
      </w:r>
      <w:r>
        <w:rPr>
          <w:rFonts w:hint="eastAsia"/>
          <w:color w:val="0D0D0D" w:themeColor="text1" w:themeTint="F2"/>
          <w14:textFill>
            <w14:solidFill>
              <w14:schemeClr w14:val="tx1">
                <w14:lumMod w14:val="95000"/>
                <w14:lumOff w14:val="5000"/>
              </w14:schemeClr>
            </w14:solidFill>
          </w14:textFill>
        </w:rPr>
        <w:t>——</w:t>
      </w:r>
      <w:r>
        <w:rPr>
          <w:snapToGrid w:val="0"/>
          <w:color w:val="0D0D0D" w:themeColor="text1" w:themeTint="F2"/>
          <w:spacing w:val="-1"/>
          <w14:textFill>
            <w14:solidFill>
              <w14:schemeClr w14:val="tx1">
                <w14:lumMod w14:val="95000"/>
                <w14:lumOff w14:val="5000"/>
              </w14:schemeClr>
            </w14:solidFill>
          </w14:textFill>
        </w:rPr>
        <w:t>韦伯斜率；</w:t>
      </w:r>
    </w:p>
    <w:p w14:paraId="31C96FD3">
      <w:pPr>
        <w:widowControl/>
        <w:kinsoku w:val="0"/>
        <w:autoSpaceDE w:val="0"/>
        <w:autoSpaceDN w:val="0"/>
        <w:adjustRightInd w:val="0"/>
        <w:snapToGrid w:val="0"/>
        <w:ind w:firstLine="484" w:firstLineChars="200"/>
        <w:jc w:val="left"/>
        <w:textAlignment w:val="baseline"/>
        <w:rPr>
          <w:snapToGrid w:val="0"/>
          <w:color w:val="0D0D0D" w:themeColor="text1" w:themeTint="F2"/>
          <w:spacing w:val="-1"/>
          <w14:textFill>
            <w14:solidFill>
              <w14:schemeClr w14:val="tx1">
                <w14:lumMod w14:val="95000"/>
                <w14:lumOff w14:val="5000"/>
              </w14:schemeClr>
            </w14:solidFill>
          </w14:textFill>
        </w:rPr>
      </w:pPr>
      <w:r>
        <w:rPr>
          <w:snapToGrid w:val="0"/>
          <w:color w:val="0D0D0D" w:themeColor="text1" w:themeTint="F2"/>
          <w:spacing w:val="1"/>
          <w14:textFill>
            <w14:solidFill>
              <w14:schemeClr w14:val="tx1">
                <w14:lumMod w14:val="95000"/>
                <w14:lumOff w14:val="5000"/>
              </w14:schemeClr>
            </w14:solidFill>
          </w14:textFill>
        </w:rPr>
        <w:t>Γ</w:t>
      </w:r>
      <w:r>
        <w:rPr>
          <w:rFonts w:hint="eastAsia"/>
          <w:snapToGrid w:val="0"/>
          <w:color w:val="0D0D0D" w:themeColor="text1" w:themeTint="F2"/>
          <w:spacing w:val="1"/>
          <w14:textFill>
            <w14:solidFill>
              <w14:schemeClr w14:val="tx1">
                <w14:lumMod w14:val="95000"/>
                <w14:lumOff w14:val="5000"/>
              </w14:schemeClr>
            </w14:solidFill>
          </w14:textFill>
        </w:rPr>
        <w:t>（</w:t>
      </w:r>
      <w:r>
        <w:rPr>
          <w:snapToGrid w:val="0"/>
          <w:color w:val="0D0D0D" w:themeColor="text1" w:themeTint="F2"/>
          <w:spacing w:val="-3"/>
          <w:lang w:eastAsia="en-US"/>
          <w14:textFill>
            <w14:solidFill>
              <w14:schemeClr w14:val="tx1">
                <w14:lumMod w14:val="95000"/>
                <w14:lumOff w14:val="5000"/>
              </w14:schemeClr>
            </w14:solidFill>
          </w14:textFill>
        </w:rPr>
        <w:t>λ</w:t>
      </w:r>
      <w:r>
        <w:rPr>
          <w:rFonts w:hint="eastAsia"/>
          <w:snapToGrid w:val="0"/>
          <w:color w:val="0D0D0D" w:themeColor="text1" w:themeTint="F2"/>
          <w:spacing w:val="1"/>
          <w14:textFill>
            <w14:solidFill>
              <w14:schemeClr w14:val="tx1">
                <w14:lumMod w14:val="95000"/>
                <w14:lumOff w14:val="5000"/>
              </w14:schemeClr>
            </w14:solidFill>
          </w14:textFill>
        </w:rPr>
        <w:t>）</w:t>
      </w:r>
      <w:r>
        <w:rPr>
          <w:rFonts w:hint="eastAsia"/>
          <w:color w:val="0D0D0D" w:themeColor="text1" w:themeTint="F2"/>
          <w14:textFill>
            <w14:solidFill>
              <w14:schemeClr w14:val="tx1">
                <w14:lumMod w14:val="95000"/>
                <w14:lumOff w14:val="5000"/>
              </w14:schemeClr>
            </w14:solidFill>
          </w14:textFill>
        </w:rPr>
        <w:t>——</w:t>
      </w:r>
      <w:r>
        <w:rPr>
          <w:snapToGrid w:val="0"/>
          <w:color w:val="0D0D0D" w:themeColor="text1" w:themeTint="F2"/>
          <w:spacing w:val="-3"/>
          <w14:textFill>
            <w14:solidFill>
              <w14:schemeClr w14:val="tx1">
                <w14:lumMod w14:val="95000"/>
                <w14:lumOff w14:val="5000"/>
              </w14:schemeClr>
            </w14:solidFill>
          </w14:textFill>
        </w:rPr>
        <w:t>函数，</w:t>
      </w:r>
      <w:r>
        <w:rPr>
          <w:snapToGrid w:val="0"/>
          <w:color w:val="0D0D0D" w:themeColor="text1" w:themeTint="F2"/>
          <w:spacing w:val="-3"/>
          <w:lang w:eastAsia="en-US"/>
          <w14:textFill>
            <w14:solidFill>
              <w14:schemeClr w14:val="tx1">
                <w14:lumMod w14:val="95000"/>
                <w14:lumOff w14:val="5000"/>
              </w14:schemeClr>
            </w14:solidFill>
          </w14:textFill>
        </w:rPr>
        <w:t>λ</w:t>
      </w:r>
      <w:r>
        <w:rPr>
          <w:snapToGrid w:val="0"/>
          <w:color w:val="0D0D0D" w:themeColor="text1" w:themeTint="F2"/>
          <w:spacing w:val="-3"/>
          <w14:textFill>
            <w14:solidFill>
              <w14:schemeClr w14:val="tx1">
                <w14:lumMod w14:val="95000"/>
                <w14:lumOff w14:val="5000"/>
              </w14:schemeClr>
            </w14:solidFill>
          </w14:textFill>
        </w:rPr>
        <w:t>=1+1/K。</w:t>
      </w:r>
    </w:p>
    <w:p w14:paraId="17D3BCCF">
      <w:pPr>
        <w:widowControl/>
        <w:ind w:firstLine="476" w:firstLineChars="200"/>
        <w:textAlignment w:val="baseline"/>
        <w:rPr>
          <w:snapToGrid w:val="0"/>
          <w:color w:val="0D0D0D" w:themeColor="text1" w:themeTint="F2"/>
          <w:spacing w:val="-1"/>
          <w14:textFill>
            <w14:solidFill>
              <w14:schemeClr w14:val="tx1">
                <w14:lumMod w14:val="95000"/>
                <w14:lumOff w14:val="5000"/>
              </w14:schemeClr>
            </w14:solidFill>
          </w14:textFill>
        </w:rPr>
      </w:pPr>
      <w:r>
        <w:rPr>
          <w:snapToGrid w:val="0"/>
          <w:color w:val="0D0D0D" w:themeColor="text1" w:themeTint="F2"/>
          <w:spacing w:val="-1"/>
          <w14:textFill>
            <w14:solidFill>
              <w14:schemeClr w14:val="tx1">
                <w14:lumMod w14:val="95000"/>
                <w14:lumOff w14:val="5000"/>
              </w14:schemeClr>
            </w14:solidFill>
          </w14:textFill>
        </w:rPr>
        <w:t>根据上述公式计算出的风速V</w:t>
      </w:r>
      <w:r>
        <w:rPr>
          <w:rFonts w:hint="eastAsia"/>
          <w:snapToGrid w:val="0"/>
          <w:color w:val="0D0D0D" w:themeColor="text1" w:themeTint="F2"/>
          <w:spacing w:val="-1"/>
          <w:vertAlign w:val="subscript"/>
          <w14:textFill>
            <w14:solidFill>
              <w14:schemeClr w14:val="tx1">
                <w14:lumMod w14:val="95000"/>
                <w14:lumOff w14:val="5000"/>
              </w14:schemeClr>
            </w14:solidFill>
          </w14:textFill>
        </w:rPr>
        <w:t>C</w:t>
      </w:r>
      <w:r>
        <w:rPr>
          <w:snapToGrid w:val="0"/>
          <w:color w:val="0D0D0D" w:themeColor="text1" w:themeTint="F2"/>
          <w:spacing w:val="-1"/>
          <w14:textFill>
            <w14:solidFill>
              <w14:schemeClr w14:val="tx1">
                <w14:lumMod w14:val="95000"/>
                <w14:lumOff w14:val="5000"/>
              </w14:schemeClr>
            </w14:solidFill>
          </w14:textFill>
        </w:rPr>
        <w:t>为</w:t>
      </w:r>
      <w:r>
        <w:rPr>
          <w:rFonts w:hint="eastAsia"/>
          <w:snapToGrid w:val="0"/>
          <w:color w:val="0D0D0D" w:themeColor="text1" w:themeTint="F2"/>
          <w:spacing w:val="-1"/>
          <w14:textFill>
            <w14:solidFill>
              <w14:schemeClr w14:val="tx1">
                <w14:lumMod w14:val="95000"/>
                <w14:lumOff w14:val="5000"/>
              </w14:schemeClr>
            </w14:solidFill>
          </w14:textFill>
        </w:rPr>
        <w:t>4.85</w:t>
      </w:r>
      <w:r>
        <w:rPr>
          <w:snapToGrid w:val="0"/>
          <w:color w:val="0D0D0D" w:themeColor="text1" w:themeTint="F2"/>
          <w:spacing w:val="-1"/>
          <w14:textFill>
            <w14:solidFill>
              <w14:schemeClr w14:val="tx1">
                <w14:lumMod w14:val="95000"/>
                <w14:lumOff w14:val="5000"/>
              </w14:schemeClr>
            </w14:solidFill>
          </w14:textFill>
        </w:rPr>
        <w:t>m/s</w:t>
      </w:r>
      <w:r>
        <w:rPr>
          <w:rFonts w:hint="eastAsia"/>
          <w:snapToGrid w:val="0"/>
          <w:color w:val="0D0D0D" w:themeColor="text1" w:themeTint="F2"/>
          <w:spacing w:val="-1"/>
          <w14:textFill>
            <w14:solidFill>
              <w14:schemeClr w14:val="tx1">
                <w14:lumMod w14:val="95000"/>
                <w14:lumOff w14:val="5000"/>
              </w14:schemeClr>
            </w14:solidFill>
          </w14:textFill>
        </w:rPr>
        <w:t>。</w:t>
      </w:r>
    </w:p>
    <w:p w14:paraId="60994B95">
      <w:pPr>
        <w:pStyle w:val="2"/>
        <w:ind w:firstLine="240"/>
        <w:rPr>
          <w:snapToGrid w:val="0"/>
        </w:rPr>
      </w:pPr>
      <w:r>
        <w:rPr>
          <w:snapToGrid w:val="0"/>
        </w:rPr>
        <w:br w:type="page"/>
      </w:r>
    </w:p>
    <w:p w14:paraId="30FF0BCB">
      <w:pPr>
        <w:pStyle w:val="11"/>
      </w:pPr>
      <w:r>
        <w:rPr>
          <w:rFonts w:hint="eastAsia"/>
        </w:rPr>
        <w:t xml:space="preserve"> 排气筒烟气出口流速合理性判定结果</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891"/>
        <w:gridCol w:w="1176"/>
        <w:gridCol w:w="1644"/>
        <w:gridCol w:w="651"/>
        <w:gridCol w:w="1046"/>
        <w:gridCol w:w="1156"/>
        <w:gridCol w:w="1046"/>
        <w:gridCol w:w="704"/>
      </w:tblGrid>
      <w:tr w14:paraId="7BBFF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2" w:type="pct"/>
            <w:noWrap/>
            <w:vAlign w:val="center"/>
          </w:tcPr>
          <w:p w14:paraId="4374463C">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编号</w:t>
            </w:r>
          </w:p>
        </w:tc>
        <w:tc>
          <w:tcPr>
            <w:tcW w:w="482" w:type="pct"/>
            <w:vAlign w:val="center"/>
          </w:tcPr>
          <w:p w14:paraId="5EB73D51">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内径</w:t>
            </w:r>
          </w:p>
          <w:p w14:paraId="36B83E3E">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（m）</w:t>
            </w:r>
          </w:p>
        </w:tc>
        <w:tc>
          <w:tcPr>
            <w:tcW w:w="636" w:type="pct"/>
            <w:noWrap/>
            <w:vAlign w:val="center"/>
          </w:tcPr>
          <w:p w14:paraId="5538A6FD">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烟气流量</w:t>
            </w:r>
          </w:p>
          <w:p w14:paraId="796B2946">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snapToGrid w:val="0"/>
                <w:color w:val="0D0D0D" w:themeColor="text1" w:themeTint="F2"/>
                <w:sz w:val="21"/>
                <w:szCs w:val="21"/>
                <w:u w:val="single"/>
                <w:lang w:eastAsia="en-US"/>
                <w14:textFill>
                  <w14:solidFill>
                    <w14:schemeClr w14:val="tx1">
                      <w14:lumMod w14:val="95000"/>
                      <w14:lumOff w14:val="5000"/>
                    </w14:schemeClr>
                  </w14:solidFill>
                </w14:textFill>
              </w:rPr>
              <w:t>（m</w:t>
            </w:r>
            <w:r>
              <w:rPr>
                <w:snapToGrid w:val="0"/>
                <w:color w:val="0D0D0D" w:themeColor="text1" w:themeTint="F2"/>
                <w:sz w:val="21"/>
                <w:szCs w:val="21"/>
                <w:u w:val="single"/>
                <w:vertAlign w:val="superscript"/>
                <w:lang w:eastAsia="en-US"/>
                <w14:textFill>
                  <w14:solidFill>
                    <w14:schemeClr w14:val="tx1">
                      <w14:lumMod w14:val="95000"/>
                      <w14:lumOff w14:val="5000"/>
                    </w14:schemeClr>
                  </w14:solidFill>
                </w14:textFill>
              </w:rPr>
              <w:t>3</w:t>
            </w:r>
            <w:r>
              <w:rPr>
                <w:snapToGrid w:val="0"/>
                <w:color w:val="0D0D0D" w:themeColor="text1" w:themeTint="F2"/>
                <w:sz w:val="21"/>
                <w:szCs w:val="21"/>
                <w:u w:val="single"/>
                <w:lang w:eastAsia="en-US"/>
                <w14:textFill>
                  <w14:solidFill>
                    <w14:schemeClr w14:val="tx1">
                      <w14:lumMod w14:val="95000"/>
                      <w14:lumOff w14:val="5000"/>
                    </w14:schemeClr>
                  </w14:solidFill>
                </w14:textFill>
              </w:rPr>
              <w:t>/h）</w:t>
            </w:r>
          </w:p>
        </w:tc>
        <w:tc>
          <w:tcPr>
            <w:tcW w:w="889" w:type="pct"/>
            <w:noWrap/>
            <w:vAlign w:val="center"/>
          </w:tcPr>
          <w:p w14:paraId="1F1B5BD1">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多年平均风速</w:t>
            </w:r>
          </w:p>
          <w:p w14:paraId="779E1E4A">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（m/s）</w:t>
            </w:r>
          </w:p>
        </w:tc>
        <w:tc>
          <w:tcPr>
            <w:tcW w:w="352" w:type="pct"/>
            <w:noWrap/>
            <w:vAlign w:val="center"/>
          </w:tcPr>
          <w:p w14:paraId="07FCF406">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K</w:t>
            </w:r>
          </w:p>
        </w:tc>
        <w:tc>
          <w:tcPr>
            <w:tcW w:w="566" w:type="pct"/>
            <w:noWrap/>
            <w:vAlign w:val="center"/>
          </w:tcPr>
          <w:p w14:paraId="0E2A3677">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Vc</w:t>
            </w:r>
          </w:p>
          <w:p w14:paraId="0478341F">
            <w:pPr>
              <w:widowControl/>
              <w:adjustRightInd w:val="0"/>
              <w:snapToGri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（m/s）</w:t>
            </w:r>
          </w:p>
        </w:tc>
        <w:tc>
          <w:tcPr>
            <w:tcW w:w="625" w:type="pct"/>
            <w:noWrap/>
            <w:vAlign w:val="center"/>
          </w:tcPr>
          <w:p w14:paraId="12744848">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1.5倍Vc</w:t>
            </w:r>
          </w:p>
          <w:p w14:paraId="12059C6B">
            <w:pPr>
              <w:widowControl/>
              <w:adjustRightInd w:val="0"/>
              <w:snapToGri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（m/s）</w:t>
            </w:r>
          </w:p>
        </w:tc>
        <w:tc>
          <w:tcPr>
            <w:tcW w:w="566" w:type="pct"/>
            <w:noWrap/>
            <w:vAlign w:val="center"/>
          </w:tcPr>
          <w:p w14:paraId="7C4E796D">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Vs</w:t>
            </w:r>
          </w:p>
          <w:p w14:paraId="69955284">
            <w:pPr>
              <w:widowControl/>
              <w:adjustRightInd w:val="0"/>
              <w:snapToGri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（m/s）</w:t>
            </w:r>
          </w:p>
        </w:tc>
        <w:tc>
          <w:tcPr>
            <w:tcW w:w="381" w:type="pct"/>
            <w:vAlign w:val="center"/>
          </w:tcPr>
          <w:p w14:paraId="208B7EFA">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判定</w:t>
            </w:r>
          </w:p>
          <w:p w14:paraId="2292FB50">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结果</w:t>
            </w:r>
          </w:p>
        </w:tc>
      </w:tr>
      <w:tr w14:paraId="4427B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2" w:type="pct"/>
            <w:noWrap/>
            <w:vAlign w:val="center"/>
          </w:tcPr>
          <w:p w14:paraId="0DBE227A">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DA001</w:t>
            </w:r>
          </w:p>
        </w:tc>
        <w:tc>
          <w:tcPr>
            <w:tcW w:w="482" w:type="pct"/>
            <w:vAlign w:val="center"/>
          </w:tcPr>
          <w:p w14:paraId="523D5AE4">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0.8</w:t>
            </w:r>
          </w:p>
        </w:tc>
        <w:tc>
          <w:tcPr>
            <w:tcW w:w="636" w:type="pct"/>
            <w:noWrap/>
            <w:vAlign w:val="center"/>
          </w:tcPr>
          <w:p w14:paraId="16D4BBFD">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24500</w:t>
            </w:r>
          </w:p>
        </w:tc>
        <w:tc>
          <w:tcPr>
            <w:tcW w:w="889" w:type="pct"/>
            <w:noWrap/>
            <w:vAlign w:val="center"/>
          </w:tcPr>
          <w:p w14:paraId="7A3CA69C">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2.22</w:t>
            </w:r>
          </w:p>
        </w:tc>
        <w:tc>
          <w:tcPr>
            <w:tcW w:w="352" w:type="pct"/>
            <w:noWrap/>
            <w:vAlign w:val="center"/>
          </w:tcPr>
          <w:p w14:paraId="03D09660">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1.23</w:t>
            </w:r>
          </w:p>
        </w:tc>
        <w:tc>
          <w:tcPr>
            <w:tcW w:w="566" w:type="pct"/>
            <w:noWrap/>
            <w:vAlign w:val="center"/>
          </w:tcPr>
          <w:p w14:paraId="7425A355">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4.85</w:t>
            </w:r>
          </w:p>
        </w:tc>
        <w:tc>
          <w:tcPr>
            <w:tcW w:w="625" w:type="pct"/>
            <w:noWrap/>
            <w:vAlign w:val="center"/>
          </w:tcPr>
          <w:p w14:paraId="62F7F880">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7.28</w:t>
            </w:r>
          </w:p>
        </w:tc>
        <w:tc>
          <w:tcPr>
            <w:tcW w:w="566" w:type="pct"/>
            <w:noWrap/>
            <w:vAlign w:val="center"/>
          </w:tcPr>
          <w:p w14:paraId="5E0533D2">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13.5</w:t>
            </w:r>
          </w:p>
        </w:tc>
        <w:tc>
          <w:tcPr>
            <w:tcW w:w="381" w:type="pct"/>
            <w:vAlign w:val="center"/>
          </w:tcPr>
          <w:p w14:paraId="08A1D9A8">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合理</w:t>
            </w:r>
          </w:p>
        </w:tc>
      </w:tr>
      <w:tr w14:paraId="60528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2" w:type="pct"/>
            <w:noWrap/>
            <w:vAlign w:val="center"/>
          </w:tcPr>
          <w:p w14:paraId="7DCD42E3">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DA002</w:t>
            </w:r>
          </w:p>
        </w:tc>
        <w:tc>
          <w:tcPr>
            <w:tcW w:w="482" w:type="pct"/>
            <w:vAlign w:val="center"/>
          </w:tcPr>
          <w:p w14:paraId="468BFE71">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0.8</w:t>
            </w:r>
          </w:p>
        </w:tc>
        <w:tc>
          <w:tcPr>
            <w:tcW w:w="636" w:type="pct"/>
            <w:noWrap/>
            <w:vAlign w:val="center"/>
          </w:tcPr>
          <w:p w14:paraId="03AD182F">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25000</w:t>
            </w:r>
          </w:p>
        </w:tc>
        <w:tc>
          <w:tcPr>
            <w:tcW w:w="889" w:type="pct"/>
            <w:noWrap/>
            <w:vAlign w:val="center"/>
          </w:tcPr>
          <w:p w14:paraId="22858277">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2.22</w:t>
            </w:r>
          </w:p>
        </w:tc>
        <w:tc>
          <w:tcPr>
            <w:tcW w:w="352" w:type="pct"/>
            <w:noWrap/>
            <w:vAlign w:val="center"/>
          </w:tcPr>
          <w:p w14:paraId="76EADC54">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1.23</w:t>
            </w:r>
          </w:p>
        </w:tc>
        <w:tc>
          <w:tcPr>
            <w:tcW w:w="566" w:type="pct"/>
            <w:noWrap/>
            <w:vAlign w:val="center"/>
          </w:tcPr>
          <w:p w14:paraId="2B137F33">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4.85</w:t>
            </w:r>
          </w:p>
        </w:tc>
        <w:tc>
          <w:tcPr>
            <w:tcW w:w="625" w:type="pct"/>
            <w:noWrap/>
            <w:vAlign w:val="center"/>
          </w:tcPr>
          <w:p w14:paraId="26038499">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7.28</w:t>
            </w:r>
          </w:p>
        </w:tc>
        <w:tc>
          <w:tcPr>
            <w:tcW w:w="566" w:type="pct"/>
            <w:noWrap/>
            <w:vAlign w:val="center"/>
          </w:tcPr>
          <w:p w14:paraId="7002967B">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13.8</w:t>
            </w:r>
          </w:p>
        </w:tc>
        <w:tc>
          <w:tcPr>
            <w:tcW w:w="381" w:type="pct"/>
            <w:vAlign w:val="center"/>
          </w:tcPr>
          <w:p w14:paraId="2E53CFAA">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合理</w:t>
            </w:r>
          </w:p>
        </w:tc>
      </w:tr>
    </w:tbl>
    <w:p w14:paraId="32F7A894">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大气污染治理工程技术导则》（HJ2000-2010）第5.3.5条：“排气筒的出口直径应根据出口流速确定，流速宜取15m/s左右。当采用钢管烟囱且高度较高时或烟气量较大时，可适当提高出口流速至20m/s～25m/s左右。”，本项目DA001排气筒高度30m，出口烟气速率13.5m/s，DA002排气筒高度40m，出口烟气速率13.8m/s，均在15m/s左右，出口烟气流速满足《大气污染治理工程技术导则》（HJ2000-2010）。</w:t>
      </w:r>
    </w:p>
    <w:p w14:paraId="43D621C8">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综上，项目排气筒设置合理。</w:t>
      </w:r>
    </w:p>
    <w:p w14:paraId="28E3E2B0">
      <w:pPr>
        <w:pStyle w:val="9"/>
      </w:pPr>
      <w:bookmarkStart w:id="167" w:name="_Toc204062631"/>
      <w:r>
        <w:rPr>
          <w:rFonts w:hint="eastAsia"/>
        </w:rPr>
        <w:t>污染物排放量核算</w:t>
      </w:r>
      <w:bookmarkEnd w:id="167"/>
    </w:p>
    <w:p w14:paraId="0881C83C">
      <w:pPr>
        <w:autoSpaceDE w:val="0"/>
        <w:autoSpaceDN w:val="0"/>
        <w:adjustRightInd w:val="0"/>
        <w:ind w:firstLine="480"/>
        <w:jc w:val="left"/>
        <w:rPr>
          <w:rFonts w:cs="Times New Roman"/>
          <w:color w:val="0D0D0D" w:themeColor="text1" w:themeTint="F2"/>
          <w:szCs w:val="24"/>
          <w:lang w:bidi="ar"/>
          <w14:textFill>
            <w14:solidFill>
              <w14:schemeClr w14:val="tx1">
                <w14:lumMod w14:val="95000"/>
                <w14:lumOff w14:val="5000"/>
              </w14:schemeClr>
            </w14:solidFill>
          </w14:textFill>
        </w:rPr>
      </w:pPr>
      <w:r>
        <w:rPr>
          <w:rFonts w:cs="Times New Roman"/>
          <w:color w:val="0D0D0D" w:themeColor="text1" w:themeTint="F2"/>
          <w:szCs w:val="24"/>
          <w:lang w:bidi="ar"/>
          <w14:textFill>
            <w14:solidFill>
              <w14:schemeClr w14:val="tx1">
                <w14:lumMod w14:val="95000"/>
                <w14:lumOff w14:val="5000"/>
              </w14:schemeClr>
            </w14:solidFill>
          </w14:textFill>
        </w:rPr>
        <w:t>项目</w:t>
      </w:r>
      <w:r>
        <w:rPr>
          <w:rFonts w:hint="eastAsia" w:cs="Times New Roman"/>
          <w:color w:val="0D0D0D" w:themeColor="text1" w:themeTint="F2"/>
          <w:szCs w:val="24"/>
          <w:lang w:bidi="ar"/>
          <w14:textFill>
            <w14:solidFill>
              <w14:schemeClr w14:val="tx1">
                <w14:lumMod w14:val="95000"/>
                <w14:lumOff w14:val="5000"/>
              </w14:schemeClr>
            </w14:solidFill>
          </w14:textFill>
        </w:rPr>
        <w:t>运营期</w:t>
      </w:r>
      <w:r>
        <w:rPr>
          <w:rFonts w:cs="Times New Roman"/>
          <w:color w:val="0D0D0D" w:themeColor="text1" w:themeTint="F2"/>
          <w:szCs w:val="24"/>
          <w:lang w:bidi="ar"/>
          <w14:textFill>
            <w14:solidFill>
              <w14:schemeClr w14:val="tx1">
                <w14:lumMod w14:val="95000"/>
                <w14:lumOff w14:val="5000"/>
              </w14:schemeClr>
            </w14:solidFill>
          </w14:textFill>
        </w:rPr>
        <w:t>污染物排放量核算见表</w:t>
      </w:r>
      <w:r>
        <w:rPr>
          <w:rFonts w:hint="eastAsia" w:cs="Times New Roman"/>
          <w:color w:val="0D0D0D" w:themeColor="text1" w:themeTint="F2"/>
          <w:szCs w:val="24"/>
          <w:lang w:bidi="ar"/>
          <w14:textFill>
            <w14:solidFill>
              <w14:schemeClr w14:val="tx1">
                <w14:lumMod w14:val="95000"/>
                <w14:lumOff w14:val="5000"/>
              </w14:schemeClr>
            </w14:solidFill>
          </w14:textFill>
        </w:rPr>
        <w:t>5.2</w:t>
      </w:r>
      <w:r>
        <w:rPr>
          <w:rFonts w:cs="Times New Roman"/>
          <w:color w:val="0D0D0D" w:themeColor="text1" w:themeTint="F2"/>
          <w:szCs w:val="24"/>
          <w:lang w:bidi="ar"/>
          <w14:textFill>
            <w14:solidFill>
              <w14:schemeClr w14:val="tx1">
                <w14:lumMod w14:val="95000"/>
                <w14:lumOff w14:val="5000"/>
              </w14:schemeClr>
            </w14:solidFill>
          </w14:textFill>
        </w:rPr>
        <w:t>-</w:t>
      </w:r>
      <w:r>
        <w:rPr>
          <w:rFonts w:hint="eastAsia" w:cs="Times New Roman"/>
          <w:color w:val="0D0D0D" w:themeColor="text1" w:themeTint="F2"/>
          <w:szCs w:val="24"/>
          <w:lang w:bidi="ar"/>
          <w14:textFill>
            <w14:solidFill>
              <w14:schemeClr w14:val="tx1">
                <w14:lumMod w14:val="95000"/>
                <w14:lumOff w14:val="5000"/>
              </w14:schemeClr>
            </w14:solidFill>
          </w14:textFill>
        </w:rPr>
        <w:t>12</w:t>
      </w:r>
      <w:r>
        <w:rPr>
          <w:rFonts w:cs="Times New Roman"/>
          <w:color w:val="0D0D0D" w:themeColor="text1" w:themeTint="F2"/>
          <w:szCs w:val="24"/>
          <w:lang w:bidi="ar"/>
          <w14:textFill>
            <w14:solidFill>
              <w14:schemeClr w14:val="tx1">
                <w14:lumMod w14:val="95000"/>
                <w14:lumOff w14:val="5000"/>
              </w14:schemeClr>
            </w14:solidFill>
          </w14:textFill>
        </w:rPr>
        <w:t>~</w:t>
      </w:r>
      <w:r>
        <w:rPr>
          <w:rFonts w:hint="eastAsia" w:cs="Times New Roman"/>
          <w:color w:val="0D0D0D" w:themeColor="text1" w:themeTint="F2"/>
          <w:szCs w:val="24"/>
          <w:lang w:bidi="ar"/>
          <w14:textFill>
            <w14:solidFill>
              <w14:schemeClr w14:val="tx1">
                <w14:lumMod w14:val="95000"/>
                <w14:lumOff w14:val="5000"/>
              </w14:schemeClr>
            </w14:solidFill>
          </w14:textFill>
        </w:rPr>
        <w:t>5</w:t>
      </w:r>
      <w:r>
        <w:rPr>
          <w:rFonts w:cs="Times New Roman"/>
          <w:color w:val="0D0D0D" w:themeColor="text1" w:themeTint="F2"/>
          <w:szCs w:val="24"/>
          <w:lang w:bidi="ar"/>
          <w14:textFill>
            <w14:solidFill>
              <w14:schemeClr w14:val="tx1">
                <w14:lumMod w14:val="95000"/>
                <w14:lumOff w14:val="5000"/>
              </w14:schemeClr>
            </w14:solidFill>
          </w14:textFill>
        </w:rPr>
        <w:t>.2-</w:t>
      </w:r>
      <w:r>
        <w:rPr>
          <w:rFonts w:hint="eastAsia" w:cs="Times New Roman"/>
          <w:color w:val="0D0D0D" w:themeColor="text1" w:themeTint="F2"/>
          <w:szCs w:val="24"/>
          <w:lang w:bidi="ar"/>
          <w14:textFill>
            <w14:solidFill>
              <w14:schemeClr w14:val="tx1">
                <w14:lumMod w14:val="95000"/>
                <w14:lumOff w14:val="5000"/>
              </w14:schemeClr>
            </w14:solidFill>
          </w14:textFill>
        </w:rPr>
        <w:t>14</w:t>
      </w:r>
      <w:r>
        <w:rPr>
          <w:rFonts w:cs="Times New Roman"/>
          <w:color w:val="0D0D0D" w:themeColor="text1" w:themeTint="F2"/>
          <w:szCs w:val="24"/>
          <w:lang w:bidi="ar"/>
          <w14:textFill>
            <w14:solidFill>
              <w14:schemeClr w14:val="tx1">
                <w14:lumMod w14:val="95000"/>
                <w14:lumOff w14:val="5000"/>
              </w14:schemeClr>
            </w14:solidFill>
          </w14:textFill>
        </w:rPr>
        <w:t>。</w:t>
      </w:r>
    </w:p>
    <w:p w14:paraId="75EB4A95">
      <w:pPr>
        <w:pStyle w:val="11"/>
      </w:pPr>
      <w:r>
        <w:rPr>
          <w:rFonts w:hint="eastAsia"/>
        </w:rPr>
        <w:t xml:space="preserve"> 大气污染物有组织排放量核算表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39"/>
        <w:gridCol w:w="1328"/>
        <w:gridCol w:w="1066"/>
        <w:gridCol w:w="1328"/>
        <w:gridCol w:w="1592"/>
        <w:gridCol w:w="1592"/>
        <w:gridCol w:w="1591"/>
      </w:tblGrid>
      <w:tr w14:paraId="63143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8" w:type="pct"/>
            <w:vMerge w:val="restart"/>
            <w:vAlign w:val="center"/>
          </w:tcPr>
          <w:p w14:paraId="5E993D73">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r>
              <w:rPr>
                <w:rFonts w:cs="Times New Roman"/>
                <w:bCs/>
                <w:color w:val="0D0D0D" w:themeColor="text1" w:themeTint="F2"/>
                <w:spacing w:val="12"/>
                <w:sz w:val="21"/>
                <w:szCs w:val="21"/>
                <w:u w:val="single"/>
                <w14:textFill>
                  <w14:solidFill>
                    <w14:schemeClr w14:val="tx1">
                      <w14:lumMod w14:val="95000"/>
                      <w14:lumOff w14:val="5000"/>
                    </w14:schemeClr>
                  </w14:solidFill>
                </w14:textFill>
              </w:rPr>
              <w:t>序号</w:t>
            </w:r>
          </w:p>
        </w:tc>
        <w:tc>
          <w:tcPr>
            <w:tcW w:w="735" w:type="pct"/>
            <w:vMerge w:val="restart"/>
            <w:vAlign w:val="center"/>
          </w:tcPr>
          <w:p w14:paraId="37D7406A">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r>
              <w:rPr>
                <w:rFonts w:cs="Times New Roman"/>
                <w:bCs/>
                <w:color w:val="0D0D0D" w:themeColor="text1" w:themeTint="F2"/>
                <w:spacing w:val="12"/>
                <w:sz w:val="21"/>
                <w:szCs w:val="21"/>
                <w:u w:val="single"/>
                <w14:textFill>
                  <w14:solidFill>
                    <w14:schemeClr w14:val="tx1">
                      <w14:lumMod w14:val="95000"/>
                      <w14:lumOff w14:val="5000"/>
                    </w14:schemeClr>
                  </w14:solidFill>
                </w14:textFill>
              </w:rPr>
              <w:t>排放口编号</w:t>
            </w:r>
          </w:p>
        </w:tc>
        <w:tc>
          <w:tcPr>
            <w:tcW w:w="590" w:type="pct"/>
            <w:vMerge w:val="restart"/>
            <w:vAlign w:val="center"/>
          </w:tcPr>
          <w:p w14:paraId="57CF01F7">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r>
              <w:rPr>
                <w:rFonts w:cs="Times New Roman"/>
                <w:bCs/>
                <w:color w:val="0D0D0D" w:themeColor="text1" w:themeTint="F2"/>
                <w:spacing w:val="12"/>
                <w:sz w:val="21"/>
                <w:szCs w:val="21"/>
                <w:u w:val="single"/>
                <w14:textFill>
                  <w14:solidFill>
                    <w14:schemeClr w14:val="tx1">
                      <w14:lumMod w14:val="95000"/>
                      <w14:lumOff w14:val="5000"/>
                    </w14:schemeClr>
                  </w14:solidFill>
                </w14:textFill>
              </w:rPr>
              <w:t>产污环节</w:t>
            </w:r>
          </w:p>
        </w:tc>
        <w:tc>
          <w:tcPr>
            <w:tcW w:w="735" w:type="pct"/>
            <w:vMerge w:val="restart"/>
            <w:vAlign w:val="center"/>
          </w:tcPr>
          <w:p w14:paraId="3B8B4A4E">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r>
              <w:rPr>
                <w:rFonts w:cs="Times New Roman"/>
                <w:bCs/>
                <w:color w:val="0D0D0D" w:themeColor="text1" w:themeTint="F2"/>
                <w:spacing w:val="12"/>
                <w:sz w:val="21"/>
                <w:szCs w:val="21"/>
                <w:u w:val="single"/>
                <w14:textFill>
                  <w14:solidFill>
                    <w14:schemeClr w14:val="tx1">
                      <w14:lumMod w14:val="95000"/>
                      <w14:lumOff w14:val="5000"/>
                    </w14:schemeClr>
                  </w14:solidFill>
                </w14:textFill>
              </w:rPr>
              <w:t>污染物</w:t>
            </w:r>
          </w:p>
        </w:tc>
        <w:tc>
          <w:tcPr>
            <w:tcW w:w="2643" w:type="pct"/>
            <w:gridSpan w:val="3"/>
            <w:vAlign w:val="center"/>
          </w:tcPr>
          <w:p w14:paraId="69AE698D">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u w:val="single"/>
                <w14:textFill>
                  <w14:solidFill>
                    <w14:schemeClr w14:val="tx1">
                      <w14:lumMod w14:val="95000"/>
                      <w14:lumOff w14:val="5000"/>
                    </w14:schemeClr>
                  </w14:solidFill>
                </w14:textFill>
              </w:rPr>
              <w:t>总工程</w:t>
            </w:r>
          </w:p>
        </w:tc>
      </w:tr>
      <w:tr w14:paraId="2640F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8" w:type="pct"/>
            <w:vMerge w:val="continue"/>
            <w:vAlign w:val="center"/>
          </w:tcPr>
          <w:p w14:paraId="18973B09">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735" w:type="pct"/>
            <w:vMerge w:val="continue"/>
            <w:vAlign w:val="center"/>
          </w:tcPr>
          <w:p w14:paraId="7CC08961">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590" w:type="pct"/>
            <w:vMerge w:val="continue"/>
            <w:vAlign w:val="center"/>
          </w:tcPr>
          <w:p w14:paraId="01634887">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735" w:type="pct"/>
            <w:vMerge w:val="continue"/>
            <w:vAlign w:val="center"/>
          </w:tcPr>
          <w:p w14:paraId="58E200F0">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881" w:type="pct"/>
            <w:vAlign w:val="center"/>
          </w:tcPr>
          <w:p w14:paraId="08FF409C">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r>
              <w:rPr>
                <w:rFonts w:cs="Times New Roman"/>
                <w:bCs/>
                <w:color w:val="0D0D0D" w:themeColor="text1" w:themeTint="F2"/>
                <w:spacing w:val="12"/>
                <w:sz w:val="21"/>
                <w:szCs w:val="21"/>
                <w:u w:val="single"/>
                <w14:textFill>
                  <w14:solidFill>
                    <w14:schemeClr w14:val="tx1">
                      <w14:lumMod w14:val="95000"/>
                      <w14:lumOff w14:val="5000"/>
                    </w14:schemeClr>
                  </w14:solidFill>
                </w14:textFill>
              </w:rPr>
              <w:t>核算排放浓度</w:t>
            </w:r>
          </w:p>
          <w:p w14:paraId="714AE33C">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u w:val="single"/>
                <w14:textFill>
                  <w14:solidFill>
                    <w14:schemeClr w14:val="tx1">
                      <w14:lumMod w14:val="95000"/>
                      <w14:lumOff w14:val="5000"/>
                    </w14:schemeClr>
                  </w14:solidFill>
                </w14:textFill>
              </w:rPr>
              <w:t>（</w:t>
            </w:r>
            <w:r>
              <w:rPr>
                <w:rFonts w:cs="Times New Roman"/>
                <w:bCs/>
                <w:color w:val="0D0D0D" w:themeColor="text1" w:themeTint="F2"/>
                <w:spacing w:val="12"/>
                <w:sz w:val="21"/>
                <w:szCs w:val="21"/>
                <w:u w:val="single"/>
                <w14:textFill>
                  <w14:solidFill>
                    <w14:schemeClr w14:val="tx1">
                      <w14:lumMod w14:val="95000"/>
                      <w14:lumOff w14:val="5000"/>
                    </w14:schemeClr>
                  </w14:solidFill>
                </w14:textFill>
              </w:rPr>
              <w:t>mg/m</w:t>
            </w:r>
            <w:r>
              <w:rPr>
                <w:rFonts w:cs="Times New Roman"/>
                <w:bCs/>
                <w:color w:val="0D0D0D" w:themeColor="text1" w:themeTint="F2"/>
                <w:spacing w:val="12"/>
                <w:sz w:val="21"/>
                <w:szCs w:val="21"/>
                <w:u w:val="single"/>
                <w:vertAlign w:val="superscript"/>
                <w14:textFill>
                  <w14:solidFill>
                    <w14:schemeClr w14:val="tx1">
                      <w14:lumMod w14:val="95000"/>
                      <w14:lumOff w14:val="5000"/>
                    </w14:schemeClr>
                  </w14:solidFill>
                </w14:textFill>
              </w:rPr>
              <w:t>3</w:t>
            </w:r>
            <w:r>
              <w:rPr>
                <w:rFonts w:hint="eastAsia" w:cs="Times New Roman"/>
                <w:bCs/>
                <w:color w:val="0D0D0D" w:themeColor="text1" w:themeTint="F2"/>
                <w:spacing w:val="12"/>
                <w:sz w:val="21"/>
                <w:szCs w:val="21"/>
                <w:u w:val="single"/>
                <w14:textFill>
                  <w14:solidFill>
                    <w14:schemeClr w14:val="tx1">
                      <w14:lumMod w14:val="95000"/>
                      <w14:lumOff w14:val="5000"/>
                    </w14:schemeClr>
                  </w14:solidFill>
                </w14:textFill>
              </w:rPr>
              <w:t>）</w:t>
            </w:r>
          </w:p>
        </w:tc>
        <w:tc>
          <w:tcPr>
            <w:tcW w:w="881" w:type="pct"/>
            <w:vAlign w:val="center"/>
          </w:tcPr>
          <w:p w14:paraId="5640A06A">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r>
              <w:rPr>
                <w:rFonts w:cs="Times New Roman"/>
                <w:bCs/>
                <w:color w:val="0D0D0D" w:themeColor="text1" w:themeTint="F2"/>
                <w:spacing w:val="12"/>
                <w:sz w:val="21"/>
                <w:szCs w:val="21"/>
                <w:u w:val="single"/>
                <w14:textFill>
                  <w14:solidFill>
                    <w14:schemeClr w14:val="tx1">
                      <w14:lumMod w14:val="95000"/>
                      <w14:lumOff w14:val="5000"/>
                    </w14:schemeClr>
                  </w14:solidFill>
                </w14:textFill>
              </w:rPr>
              <w:t>核算排放速率</w:t>
            </w:r>
          </w:p>
          <w:p w14:paraId="60FC5740">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u w:val="single"/>
                <w14:textFill>
                  <w14:solidFill>
                    <w14:schemeClr w14:val="tx1">
                      <w14:lumMod w14:val="95000"/>
                      <w14:lumOff w14:val="5000"/>
                    </w14:schemeClr>
                  </w14:solidFill>
                </w14:textFill>
              </w:rPr>
              <w:t>（</w:t>
            </w:r>
            <w:r>
              <w:rPr>
                <w:rFonts w:cs="Times New Roman"/>
                <w:bCs/>
                <w:color w:val="0D0D0D" w:themeColor="text1" w:themeTint="F2"/>
                <w:spacing w:val="12"/>
                <w:sz w:val="21"/>
                <w:szCs w:val="21"/>
                <w:u w:val="single"/>
                <w14:textFill>
                  <w14:solidFill>
                    <w14:schemeClr w14:val="tx1">
                      <w14:lumMod w14:val="95000"/>
                      <w14:lumOff w14:val="5000"/>
                    </w14:schemeClr>
                  </w14:solidFill>
                </w14:textFill>
              </w:rPr>
              <w:t>kg/h</w:t>
            </w:r>
            <w:r>
              <w:rPr>
                <w:rFonts w:hint="eastAsia" w:cs="Times New Roman"/>
                <w:bCs/>
                <w:color w:val="0D0D0D" w:themeColor="text1" w:themeTint="F2"/>
                <w:spacing w:val="12"/>
                <w:sz w:val="21"/>
                <w:szCs w:val="21"/>
                <w:u w:val="single"/>
                <w14:textFill>
                  <w14:solidFill>
                    <w14:schemeClr w14:val="tx1">
                      <w14:lumMod w14:val="95000"/>
                      <w14:lumOff w14:val="5000"/>
                    </w14:schemeClr>
                  </w14:solidFill>
                </w14:textFill>
              </w:rPr>
              <w:t>）</w:t>
            </w:r>
          </w:p>
        </w:tc>
        <w:tc>
          <w:tcPr>
            <w:tcW w:w="880" w:type="pct"/>
            <w:vAlign w:val="center"/>
          </w:tcPr>
          <w:p w14:paraId="0D5470A3">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r>
              <w:rPr>
                <w:rFonts w:cs="Times New Roman"/>
                <w:bCs/>
                <w:color w:val="0D0D0D" w:themeColor="text1" w:themeTint="F2"/>
                <w:spacing w:val="12"/>
                <w:sz w:val="21"/>
                <w:szCs w:val="21"/>
                <w:u w:val="single"/>
                <w14:textFill>
                  <w14:solidFill>
                    <w14:schemeClr w14:val="tx1">
                      <w14:lumMod w14:val="95000"/>
                      <w14:lumOff w14:val="5000"/>
                    </w14:schemeClr>
                  </w14:solidFill>
                </w14:textFill>
              </w:rPr>
              <w:t>核算年排放量</w:t>
            </w:r>
          </w:p>
          <w:p w14:paraId="4BAC262A">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r>
              <w:rPr>
                <w:rFonts w:cs="Times New Roman"/>
                <w:bCs/>
                <w:color w:val="0D0D0D" w:themeColor="text1" w:themeTint="F2"/>
                <w:spacing w:val="12"/>
                <w:sz w:val="21"/>
                <w:szCs w:val="21"/>
                <w:u w:val="single"/>
                <w14:textFill>
                  <w14:solidFill>
                    <w14:schemeClr w14:val="tx1">
                      <w14:lumMod w14:val="95000"/>
                      <w14:lumOff w14:val="5000"/>
                    </w14:schemeClr>
                  </w14:solidFill>
                </w14:textFill>
              </w:rPr>
              <w:t>（</w:t>
            </w:r>
            <w:r>
              <w:rPr>
                <w:rFonts w:hint="eastAsia" w:cs="Times New Roman"/>
                <w:bCs/>
                <w:color w:val="0D0D0D" w:themeColor="text1" w:themeTint="F2"/>
                <w:spacing w:val="12"/>
                <w:sz w:val="21"/>
                <w:szCs w:val="21"/>
                <w:u w:val="single"/>
                <w14:textFill>
                  <w14:solidFill>
                    <w14:schemeClr w14:val="tx1">
                      <w14:lumMod w14:val="95000"/>
                      <w14:lumOff w14:val="5000"/>
                    </w14:schemeClr>
                  </w14:solidFill>
                </w14:textFill>
              </w:rPr>
              <w:t>t</w:t>
            </w:r>
            <w:r>
              <w:rPr>
                <w:rFonts w:cs="Times New Roman"/>
                <w:bCs/>
                <w:color w:val="0D0D0D" w:themeColor="text1" w:themeTint="F2"/>
                <w:spacing w:val="12"/>
                <w:sz w:val="21"/>
                <w:szCs w:val="21"/>
                <w:u w:val="single"/>
                <w14:textFill>
                  <w14:solidFill>
                    <w14:schemeClr w14:val="tx1">
                      <w14:lumMod w14:val="95000"/>
                      <w14:lumOff w14:val="5000"/>
                    </w14:schemeClr>
                  </w14:solidFill>
                </w14:textFill>
              </w:rPr>
              <w:t>/a）</w:t>
            </w:r>
          </w:p>
        </w:tc>
      </w:tr>
      <w:tr w14:paraId="16528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8" w:type="pct"/>
            <w:vMerge w:val="restart"/>
            <w:vAlign w:val="center"/>
          </w:tcPr>
          <w:p w14:paraId="6FB3BE5B">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r>
              <w:rPr>
                <w:rFonts w:cs="Times New Roman"/>
                <w:bCs/>
                <w:color w:val="0D0D0D" w:themeColor="text1" w:themeTint="F2"/>
                <w:spacing w:val="12"/>
                <w:sz w:val="21"/>
                <w:szCs w:val="21"/>
                <w:u w:val="single"/>
                <w14:textFill>
                  <w14:solidFill>
                    <w14:schemeClr w14:val="tx1">
                      <w14:lumMod w14:val="95000"/>
                      <w14:lumOff w14:val="5000"/>
                    </w14:schemeClr>
                  </w14:solidFill>
                </w14:textFill>
              </w:rPr>
              <w:t>1</w:t>
            </w:r>
          </w:p>
        </w:tc>
        <w:tc>
          <w:tcPr>
            <w:tcW w:w="735" w:type="pct"/>
            <w:vMerge w:val="restart"/>
            <w:vAlign w:val="center"/>
          </w:tcPr>
          <w:p w14:paraId="5D9A9195">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u w:val="single"/>
                <w14:textFill>
                  <w14:solidFill>
                    <w14:schemeClr w14:val="tx1">
                      <w14:lumMod w14:val="95000"/>
                      <w14:lumOff w14:val="5000"/>
                    </w14:schemeClr>
                  </w14:solidFill>
                </w14:textFill>
              </w:rPr>
              <w:t>DA001</w:t>
            </w:r>
          </w:p>
        </w:tc>
        <w:tc>
          <w:tcPr>
            <w:tcW w:w="590" w:type="pct"/>
            <w:vMerge w:val="restart"/>
            <w:vAlign w:val="center"/>
          </w:tcPr>
          <w:p w14:paraId="0DCFE9F5">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u w:val="single"/>
                <w14:textFill>
                  <w14:solidFill>
                    <w14:schemeClr w14:val="tx1">
                      <w14:lumMod w14:val="95000"/>
                      <w14:lumOff w14:val="5000"/>
                    </w14:schemeClr>
                  </w14:solidFill>
                </w14:textFill>
              </w:rPr>
              <w:t>生产</w:t>
            </w:r>
          </w:p>
        </w:tc>
        <w:tc>
          <w:tcPr>
            <w:tcW w:w="735" w:type="pct"/>
            <w:vAlign w:val="center"/>
          </w:tcPr>
          <w:p w14:paraId="7C4F13E6">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u w:val="single"/>
                <w14:textFill>
                  <w14:solidFill>
                    <w14:schemeClr w14:val="tx1">
                      <w14:lumMod w14:val="95000"/>
                      <w14:lumOff w14:val="5000"/>
                    </w14:schemeClr>
                  </w14:solidFill>
                </w14:textFill>
              </w:rPr>
              <w:t>非甲烷总烃</w:t>
            </w:r>
          </w:p>
        </w:tc>
        <w:tc>
          <w:tcPr>
            <w:tcW w:w="881" w:type="pct"/>
            <w:vAlign w:val="center"/>
          </w:tcPr>
          <w:p w14:paraId="00BB4BBB">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881" w:type="pct"/>
            <w:vAlign w:val="center"/>
          </w:tcPr>
          <w:p w14:paraId="2C54EB13">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880" w:type="pct"/>
            <w:vAlign w:val="center"/>
          </w:tcPr>
          <w:p w14:paraId="50CAFCD6">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r>
      <w:tr w14:paraId="6EAFA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8" w:type="pct"/>
            <w:vMerge w:val="continue"/>
            <w:vAlign w:val="center"/>
          </w:tcPr>
          <w:p w14:paraId="2052C96B">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735" w:type="pct"/>
            <w:vMerge w:val="continue"/>
            <w:vAlign w:val="center"/>
          </w:tcPr>
          <w:p w14:paraId="2305D5A8">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590" w:type="pct"/>
            <w:vMerge w:val="continue"/>
            <w:vAlign w:val="center"/>
          </w:tcPr>
          <w:p w14:paraId="31E241F5">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735" w:type="pct"/>
            <w:vAlign w:val="center"/>
          </w:tcPr>
          <w:p w14:paraId="5009291F">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u w:val="single"/>
                <w14:textFill>
                  <w14:solidFill>
                    <w14:schemeClr w14:val="tx1">
                      <w14:lumMod w14:val="95000"/>
                      <w14:lumOff w14:val="5000"/>
                    </w14:schemeClr>
                  </w14:solidFill>
                </w14:textFill>
              </w:rPr>
              <w:t>甲醇</w:t>
            </w:r>
          </w:p>
        </w:tc>
        <w:tc>
          <w:tcPr>
            <w:tcW w:w="881" w:type="pct"/>
            <w:vAlign w:val="center"/>
          </w:tcPr>
          <w:p w14:paraId="0A7B714B">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881" w:type="pct"/>
            <w:vAlign w:val="center"/>
          </w:tcPr>
          <w:p w14:paraId="3CB5F45B">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880" w:type="pct"/>
            <w:vAlign w:val="center"/>
          </w:tcPr>
          <w:p w14:paraId="2B6C240C">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r>
      <w:tr w14:paraId="65951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8" w:type="pct"/>
            <w:vMerge w:val="continue"/>
            <w:vAlign w:val="center"/>
          </w:tcPr>
          <w:p w14:paraId="521FE09B">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735" w:type="pct"/>
            <w:vMerge w:val="continue"/>
            <w:vAlign w:val="center"/>
          </w:tcPr>
          <w:p w14:paraId="2BF87C04">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590" w:type="pct"/>
            <w:vMerge w:val="continue"/>
            <w:vAlign w:val="center"/>
          </w:tcPr>
          <w:p w14:paraId="76BA79E5">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735" w:type="pct"/>
            <w:vAlign w:val="center"/>
          </w:tcPr>
          <w:p w14:paraId="6AE33B3A">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NH</w:t>
            </w:r>
            <w:r>
              <w:rPr>
                <w:rFonts w:hint="eastAsia" w:cs="Times New Roman"/>
                <w:color w:val="0D0D0D" w:themeColor="text1" w:themeTint="F2"/>
                <w:sz w:val="21"/>
                <w:szCs w:val="21"/>
                <w:u w:val="single"/>
                <w:vertAlign w:val="subscript"/>
                <w14:textFill>
                  <w14:solidFill>
                    <w14:schemeClr w14:val="tx1">
                      <w14:lumMod w14:val="95000"/>
                      <w14:lumOff w14:val="5000"/>
                    </w14:schemeClr>
                  </w14:solidFill>
                </w14:textFill>
              </w:rPr>
              <w:t>3</w:t>
            </w:r>
          </w:p>
        </w:tc>
        <w:tc>
          <w:tcPr>
            <w:tcW w:w="881" w:type="pct"/>
            <w:vAlign w:val="center"/>
          </w:tcPr>
          <w:p w14:paraId="2A6415C9">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881" w:type="pct"/>
            <w:vAlign w:val="center"/>
          </w:tcPr>
          <w:p w14:paraId="5CA48148">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880" w:type="pct"/>
            <w:vAlign w:val="center"/>
          </w:tcPr>
          <w:p w14:paraId="2E008904">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r>
      <w:tr w14:paraId="24DF5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8" w:type="pct"/>
            <w:vMerge w:val="continue"/>
            <w:vAlign w:val="center"/>
          </w:tcPr>
          <w:p w14:paraId="4ACDF6F6">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735" w:type="pct"/>
            <w:vMerge w:val="continue"/>
            <w:vAlign w:val="center"/>
          </w:tcPr>
          <w:p w14:paraId="5A882B62">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590" w:type="pct"/>
            <w:vMerge w:val="continue"/>
            <w:vAlign w:val="center"/>
          </w:tcPr>
          <w:p w14:paraId="34F53DA5">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735" w:type="pct"/>
            <w:vAlign w:val="center"/>
          </w:tcPr>
          <w:p w14:paraId="3F4AC420">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H</w:t>
            </w:r>
            <w:r>
              <w:rPr>
                <w:rFonts w:hint="eastAsia" w:cs="Times New Roman"/>
                <w:color w:val="0D0D0D" w:themeColor="text1" w:themeTint="F2"/>
                <w:sz w:val="21"/>
                <w:szCs w:val="21"/>
                <w:u w:val="single"/>
                <w:vertAlign w:val="subscript"/>
                <w14:textFill>
                  <w14:solidFill>
                    <w14:schemeClr w14:val="tx1">
                      <w14:lumMod w14:val="95000"/>
                      <w14:lumOff w14:val="5000"/>
                    </w14:schemeClr>
                  </w14:solidFill>
                </w14:textFill>
              </w:rPr>
              <w:t>2</w:t>
            </w:r>
            <w:r>
              <w:rPr>
                <w:rFonts w:hint="eastAsia" w:cs="Times New Roman"/>
                <w:color w:val="0D0D0D" w:themeColor="text1" w:themeTint="F2"/>
                <w:sz w:val="21"/>
                <w:szCs w:val="21"/>
                <w:u w:val="single"/>
                <w14:textFill>
                  <w14:solidFill>
                    <w14:schemeClr w14:val="tx1">
                      <w14:lumMod w14:val="95000"/>
                      <w14:lumOff w14:val="5000"/>
                    </w14:schemeClr>
                  </w14:solidFill>
                </w14:textFill>
              </w:rPr>
              <w:t>S</w:t>
            </w:r>
          </w:p>
        </w:tc>
        <w:tc>
          <w:tcPr>
            <w:tcW w:w="881" w:type="pct"/>
            <w:vAlign w:val="center"/>
          </w:tcPr>
          <w:p w14:paraId="3252C9A8">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881" w:type="pct"/>
            <w:vAlign w:val="center"/>
          </w:tcPr>
          <w:p w14:paraId="2D0EF731">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880" w:type="pct"/>
            <w:vAlign w:val="center"/>
          </w:tcPr>
          <w:p w14:paraId="322DDF61">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r>
      <w:tr w14:paraId="37F3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8" w:type="pct"/>
            <w:vMerge w:val="restart"/>
            <w:vAlign w:val="center"/>
          </w:tcPr>
          <w:p w14:paraId="5AF84A2A">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u w:val="single"/>
                <w14:textFill>
                  <w14:solidFill>
                    <w14:schemeClr w14:val="tx1">
                      <w14:lumMod w14:val="95000"/>
                      <w14:lumOff w14:val="5000"/>
                    </w14:schemeClr>
                  </w14:solidFill>
                </w14:textFill>
              </w:rPr>
              <w:t>2</w:t>
            </w:r>
          </w:p>
        </w:tc>
        <w:tc>
          <w:tcPr>
            <w:tcW w:w="735" w:type="pct"/>
            <w:vMerge w:val="restart"/>
            <w:vAlign w:val="center"/>
          </w:tcPr>
          <w:p w14:paraId="024204B4">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u w:val="single"/>
                <w14:textFill>
                  <w14:solidFill>
                    <w14:schemeClr w14:val="tx1">
                      <w14:lumMod w14:val="95000"/>
                      <w14:lumOff w14:val="5000"/>
                    </w14:schemeClr>
                  </w14:solidFill>
                </w14:textFill>
              </w:rPr>
              <w:t>DA002</w:t>
            </w:r>
          </w:p>
        </w:tc>
        <w:tc>
          <w:tcPr>
            <w:tcW w:w="590" w:type="pct"/>
            <w:vMerge w:val="restart"/>
            <w:vAlign w:val="center"/>
          </w:tcPr>
          <w:p w14:paraId="39BB1FE5">
            <w:pPr>
              <w:spacing w:line="240" w:lineRule="auto"/>
              <w:jc w:val="center"/>
              <w:rPr>
                <w:rFonts w:cs="Times New Roman"/>
                <w:color w:val="0D0D0D" w:themeColor="text1" w:themeTint="F2"/>
                <w:spacing w:val="12"/>
                <w:sz w:val="21"/>
                <w:szCs w:val="21"/>
                <w:u w:val="single"/>
                <w14:textFill>
                  <w14:solidFill>
                    <w14:schemeClr w14:val="tx1">
                      <w14:lumMod w14:val="95000"/>
                      <w14:lumOff w14:val="5000"/>
                    </w14:schemeClr>
                  </w14:solidFill>
                </w14:textFill>
              </w:rPr>
            </w:pPr>
            <w:r>
              <w:rPr>
                <w:rFonts w:hint="eastAsia" w:cs="Times New Roman"/>
                <w:color w:val="0D0D0D" w:themeColor="text1" w:themeTint="F2"/>
                <w:spacing w:val="12"/>
                <w:sz w:val="21"/>
                <w:szCs w:val="21"/>
                <w:u w:val="single"/>
                <w14:textFill>
                  <w14:solidFill>
                    <w14:schemeClr w14:val="tx1">
                      <w14:lumMod w14:val="95000"/>
                      <w14:lumOff w14:val="5000"/>
                    </w14:schemeClr>
                  </w14:solidFill>
                </w14:textFill>
              </w:rPr>
              <w:t>生产</w:t>
            </w:r>
          </w:p>
        </w:tc>
        <w:tc>
          <w:tcPr>
            <w:tcW w:w="735" w:type="pct"/>
            <w:vAlign w:val="center"/>
          </w:tcPr>
          <w:p w14:paraId="5AC3580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u w:val="single"/>
                <w14:textFill>
                  <w14:solidFill>
                    <w14:schemeClr w14:val="tx1">
                      <w14:lumMod w14:val="95000"/>
                      <w14:lumOff w14:val="5000"/>
                    </w14:schemeClr>
                  </w14:solidFill>
                </w14:textFill>
              </w:rPr>
              <w:t>颗粒物</w:t>
            </w:r>
          </w:p>
        </w:tc>
        <w:tc>
          <w:tcPr>
            <w:tcW w:w="881" w:type="pct"/>
            <w:vAlign w:val="center"/>
          </w:tcPr>
          <w:p w14:paraId="1313F79B">
            <w:pPr>
              <w:autoSpaceDE w:val="0"/>
              <w:autoSpaceDN w:val="0"/>
              <w:adjustRightInd w:val="0"/>
              <w:spacing w:line="240" w:lineRule="auto"/>
              <w:jc w:val="center"/>
              <w:textAlignment w:val="baseline"/>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881" w:type="pct"/>
            <w:vAlign w:val="center"/>
          </w:tcPr>
          <w:p w14:paraId="000EB59A">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880" w:type="pct"/>
            <w:vAlign w:val="center"/>
          </w:tcPr>
          <w:p w14:paraId="4F598293">
            <w:pPr>
              <w:spacing w:line="240" w:lineRule="auto"/>
              <w:jc w:val="center"/>
              <w:rPr>
                <w:rFonts w:cs="Times New Roman"/>
                <w:color w:val="0D0D0D" w:themeColor="text1" w:themeTint="F2"/>
                <w:spacing w:val="12"/>
                <w:sz w:val="21"/>
                <w:szCs w:val="21"/>
                <w:u w:val="single"/>
                <w14:textFill>
                  <w14:solidFill>
                    <w14:schemeClr w14:val="tx1">
                      <w14:lumMod w14:val="95000"/>
                      <w14:lumOff w14:val="5000"/>
                    </w14:schemeClr>
                  </w14:solidFill>
                </w14:textFill>
              </w:rPr>
            </w:pPr>
          </w:p>
        </w:tc>
      </w:tr>
      <w:tr w14:paraId="28CE7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98" w:type="pct"/>
            <w:vMerge w:val="continue"/>
            <w:vAlign w:val="center"/>
          </w:tcPr>
          <w:p w14:paraId="2F3B6324">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735" w:type="pct"/>
            <w:vMerge w:val="continue"/>
            <w:vAlign w:val="center"/>
          </w:tcPr>
          <w:p w14:paraId="14573672">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590" w:type="pct"/>
            <w:vMerge w:val="continue"/>
            <w:vAlign w:val="center"/>
          </w:tcPr>
          <w:p w14:paraId="70D06923">
            <w:pPr>
              <w:spacing w:line="240" w:lineRule="auto"/>
              <w:jc w:val="center"/>
              <w:rPr>
                <w:rFonts w:cs="Times New Roman"/>
                <w:color w:val="0D0D0D" w:themeColor="text1" w:themeTint="F2"/>
                <w:spacing w:val="12"/>
                <w:sz w:val="21"/>
                <w:szCs w:val="21"/>
                <w:u w:val="single"/>
                <w14:textFill>
                  <w14:solidFill>
                    <w14:schemeClr w14:val="tx1">
                      <w14:lumMod w14:val="95000"/>
                      <w14:lumOff w14:val="5000"/>
                    </w14:schemeClr>
                  </w14:solidFill>
                </w14:textFill>
              </w:rPr>
            </w:pPr>
          </w:p>
        </w:tc>
        <w:tc>
          <w:tcPr>
            <w:tcW w:w="735" w:type="pct"/>
            <w:vAlign w:val="center"/>
          </w:tcPr>
          <w:p w14:paraId="065E46A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u w:val="single"/>
                <w14:textFill>
                  <w14:solidFill>
                    <w14:schemeClr w14:val="tx1">
                      <w14:lumMod w14:val="95000"/>
                      <w14:lumOff w14:val="5000"/>
                    </w14:schemeClr>
                  </w14:solidFill>
                </w14:textFill>
              </w:rPr>
              <w:t>SO</w:t>
            </w:r>
            <w:r>
              <w:rPr>
                <w:rFonts w:hint="eastAsia" w:cs="Times New Roman"/>
                <w:bCs/>
                <w:color w:val="0D0D0D" w:themeColor="text1" w:themeTint="F2"/>
                <w:spacing w:val="12"/>
                <w:sz w:val="21"/>
                <w:szCs w:val="21"/>
                <w:u w:val="single"/>
                <w:vertAlign w:val="subscript"/>
                <w14:textFill>
                  <w14:solidFill>
                    <w14:schemeClr w14:val="tx1">
                      <w14:lumMod w14:val="95000"/>
                      <w14:lumOff w14:val="5000"/>
                    </w14:schemeClr>
                  </w14:solidFill>
                </w14:textFill>
              </w:rPr>
              <w:t>2</w:t>
            </w:r>
          </w:p>
        </w:tc>
        <w:tc>
          <w:tcPr>
            <w:tcW w:w="881" w:type="pct"/>
            <w:vAlign w:val="center"/>
          </w:tcPr>
          <w:p w14:paraId="69C8129B">
            <w:pPr>
              <w:autoSpaceDE w:val="0"/>
              <w:autoSpaceDN w:val="0"/>
              <w:adjustRightInd w:val="0"/>
              <w:spacing w:line="240" w:lineRule="auto"/>
              <w:jc w:val="center"/>
              <w:textAlignment w:val="baseline"/>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881" w:type="pct"/>
            <w:vAlign w:val="center"/>
          </w:tcPr>
          <w:p w14:paraId="3B7EC423">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880" w:type="pct"/>
            <w:vAlign w:val="center"/>
          </w:tcPr>
          <w:p w14:paraId="093747E9">
            <w:pPr>
              <w:spacing w:line="240" w:lineRule="auto"/>
              <w:jc w:val="center"/>
              <w:rPr>
                <w:rFonts w:cs="Times New Roman"/>
                <w:color w:val="0D0D0D" w:themeColor="text1" w:themeTint="F2"/>
                <w:spacing w:val="12"/>
                <w:sz w:val="21"/>
                <w:szCs w:val="21"/>
                <w:u w:val="single"/>
                <w14:textFill>
                  <w14:solidFill>
                    <w14:schemeClr w14:val="tx1">
                      <w14:lumMod w14:val="95000"/>
                      <w14:lumOff w14:val="5000"/>
                    </w14:schemeClr>
                  </w14:solidFill>
                </w14:textFill>
              </w:rPr>
            </w:pPr>
          </w:p>
        </w:tc>
      </w:tr>
      <w:tr w14:paraId="71FD4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8" w:type="pct"/>
            <w:vMerge w:val="continue"/>
            <w:vAlign w:val="center"/>
          </w:tcPr>
          <w:p w14:paraId="7C87912E">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735" w:type="pct"/>
            <w:vMerge w:val="continue"/>
            <w:vAlign w:val="center"/>
          </w:tcPr>
          <w:p w14:paraId="77D98E17">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590" w:type="pct"/>
            <w:vMerge w:val="continue"/>
            <w:vAlign w:val="center"/>
          </w:tcPr>
          <w:p w14:paraId="702CF646">
            <w:pPr>
              <w:spacing w:line="240" w:lineRule="auto"/>
              <w:jc w:val="center"/>
              <w:rPr>
                <w:rFonts w:cs="Times New Roman"/>
                <w:color w:val="0D0D0D" w:themeColor="text1" w:themeTint="F2"/>
                <w:spacing w:val="12"/>
                <w:sz w:val="21"/>
                <w:szCs w:val="21"/>
                <w:u w:val="single"/>
                <w14:textFill>
                  <w14:solidFill>
                    <w14:schemeClr w14:val="tx1">
                      <w14:lumMod w14:val="95000"/>
                      <w14:lumOff w14:val="5000"/>
                    </w14:schemeClr>
                  </w14:solidFill>
                </w14:textFill>
              </w:rPr>
            </w:pPr>
          </w:p>
        </w:tc>
        <w:tc>
          <w:tcPr>
            <w:tcW w:w="735" w:type="pct"/>
            <w:vAlign w:val="center"/>
          </w:tcPr>
          <w:p w14:paraId="07F0C74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u w:val="single"/>
                <w14:textFill>
                  <w14:solidFill>
                    <w14:schemeClr w14:val="tx1">
                      <w14:lumMod w14:val="95000"/>
                      <w14:lumOff w14:val="5000"/>
                    </w14:schemeClr>
                  </w14:solidFill>
                </w14:textFill>
              </w:rPr>
              <w:t>NOx</w:t>
            </w:r>
          </w:p>
        </w:tc>
        <w:tc>
          <w:tcPr>
            <w:tcW w:w="881" w:type="pct"/>
            <w:vAlign w:val="center"/>
          </w:tcPr>
          <w:p w14:paraId="3B18CAC7">
            <w:pPr>
              <w:autoSpaceDE w:val="0"/>
              <w:autoSpaceDN w:val="0"/>
              <w:adjustRightInd w:val="0"/>
              <w:spacing w:line="240" w:lineRule="auto"/>
              <w:jc w:val="center"/>
              <w:textAlignment w:val="baseline"/>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881" w:type="pct"/>
            <w:vAlign w:val="center"/>
          </w:tcPr>
          <w:p w14:paraId="4127F6AE">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880" w:type="pct"/>
            <w:vAlign w:val="center"/>
          </w:tcPr>
          <w:p w14:paraId="352F4881">
            <w:pPr>
              <w:spacing w:line="240" w:lineRule="auto"/>
              <w:jc w:val="center"/>
              <w:rPr>
                <w:rFonts w:cs="Times New Roman"/>
                <w:color w:val="0D0D0D" w:themeColor="text1" w:themeTint="F2"/>
                <w:spacing w:val="12"/>
                <w:sz w:val="21"/>
                <w:szCs w:val="21"/>
                <w:u w:val="single"/>
                <w14:textFill>
                  <w14:solidFill>
                    <w14:schemeClr w14:val="tx1">
                      <w14:lumMod w14:val="95000"/>
                      <w14:lumOff w14:val="5000"/>
                    </w14:schemeClr>
                  </w14:solidFill>
                </w14:textFill>
              </w:rPr>
            </w:pPr>
          </w:p>
        </w:tc>
      </w:tr>
      <w:tr w14:paraId="3EEA5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23" w:type="pct"/>
            <w:gridSpan w:val="3"/>
            <w:vMerge w:val="restart"/>
            <w:vAlign w:val="center"/>
          </w:tcPr>
          <w:p w14:paraId="23ACB2B0">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r>
              <w:rPr>
                <w:rFonts w:cs="Times New Roman"/>
                <w:bCs/>
                <w:color w:val="0D0D0D" w:themeColor="text1" w:themeTint="F2"/>
                <w:spacing w:val="12"/>
                <w:sz w:val="21"/>
                <w:szCs w:val="21"/>
                <w:u w:val="single"/>
                <w14:textFill>
                  <w14:solidFill>
                    <w14:schemeClr w14:val="tx1">
                      <w14:lumMod w14:val="95000"/>
                      <w14:lumOff w14:val="5000"/>
                    </w14:schemeClr>
                  </w14:solidFill>
                </w14:textFill>
              </w:rPr>
              <w:t>有组织排放总计</w:t>
            </w:r>
          </w:p>
        </w:tc>
        <w:tc>
          <w:tcPr>
            <w:tcW w:w="735" w:type="pct"/>
            <w:vAlign w:val="center"/>
          </w:tcPr>
          <w:p w14:paraId="334FBD90">
            <w:pPr>
              <w:spacing w:line="240" w:lineRule="auto"/>
              <w:jc w:val="center"/>
              <w:rPr>
                <w:rFonts w:cs="Times New Roman"/>
                <w:color w:val="0D0D0D" w:themeColor="text1" w:themeTint="F2"/>
                <w:spacing w:val="1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u w:val="single"/>
                <w14:textFill>
                  <w14:solidFill>
                    <w14:schemeClr w14:val="tx1">
                      <w14:lumMod w14:val="95000"/>
                      <w14:lumOff w14:val="5000"/>
                    </w14:schemeClr>
                  </w14:solidFill>
                </w14:textFill>
              </w:rPr>
              <w:t>SO</w:t>
            </w:r>
            <w:r>
              <w:rPr>
                <w:rFonts w:hint="eastAsia" w:cs="Times New Roman"/>
                <w:bCs/>
                <w:color w:val="0D0D0D" w:themeColor="text1" w:themeTint="F2"/>
                <w:spacing w:val="12"/>
                <w:sz w:val="21"/>
                <w:szCs w:val="21"/>
                <w:u w:val="single"/>
                <w:vertAlign w:val="subscript"/>
                <w14:textFill>
                  <w14:solidFill>
                    <w14:schemeClr w14:val="tx1">
                      <w14:lumMod w14:val="95000"/>
                      <w14:lumOff w14:val="5000"/>
                    </w14:schemeClr>
                  </w14:solidFill>
                </w14:textFill>
              </w:rPr>
              <w:t>2</w:t>
            </w:r>
          </w:p>
        </w:tc>
        <w:tc>
          <w:tcPr>
            <w:tcW w:w="2643" w:type="pct"/>
            <w:gridSpan w:val="3"/>
            <w:vAlign w:val="center"/>
          </w:tcPr>
          <w:p w14:paraId="15281CED">
            <w:pPr>
              <w:spacing w:line="240" w:lineRule="auto"/>
              <w:jc w:val="center"/>
              <w:rPr>
                <w:rFonts w:cs="Times New Roman"/>
                <w:color w:val="0D0D0D" w:themeColor="text1" w:themeTint="F2"/>
                <w:spacing w:val="12"/>
                <w:sz w:val="21"/>
                <w:szCs w:val="21"/>
                <w:u w:val="single"/>
                <w14:textFill>
                  <w14:solidFill>
                    <w14:schemeClr w14:val="tx1">
                      <w14:lumMod w14:val="95000"/>
                      <w14:lumOff w14:val="5000"/>
                    </w14:schemeClr>
                  </w14:solidFill>
                </w14:textFill>
              </w:rPr>
            </w:pPr>
          </w:p>
        </w:tc>
      </w:tr>
      <w:tr w14:paraId="5B8F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23" w:type="pct"/>
            <w:gridSpan w:val="3"/>
            <w:vMerge w:val="continue"/>
            <w:vAlign w:val="center"/>
          </w:tcPr>
          <w:p w14:paraId="31B4E549">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735" w:type="pct"/>
            <w:vAlign w:val="center"/>
          </w:tcPr>
          <w:p w14:paraId="03CCF95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u w:val="single"/>
                <w14:textFill>
                  <w14:solidFill>
                    <w14:schemeClr w14:val="tx1">
                      <w14:lumMod w14:val="95000"/>
                      <w14:lumOff w14:val="5000"/>
                    </w14:schemeClr>
                  </w14:solidFill>
                </w14:textFill>
              </w:rPr>
              <w:t>NOx</w:t>
            </w:r>
          </w:p>
        </w:tc>
        <w:tc>
          <w:tcPr>
            <w:tcW w:w="2643" w:type="pct"/>
            <w:gridSpan w:val="3"/>
            <w:vAlign w:val="center"/>
          </w:tcPr>
          <w:p w14:paraId="69862D95">
            <w:pPr>
              <w:spacing w:line="240" w:lineRule="auto"/>
              <w:jc w:val="center"/>
              <w:rPr>
                <w:rFonts w:cs="Times New Roman"/>
                <w:color w:val="0D0D0D" w:themeColor="text1" w:themeTint="F2"/>
                <w:spacing w:val="12"/>
                <w:sz w:val="21"/>
                <w:szCs w:val="21"/>
                <w:u w:val="single"/>
                <w14:textFill>
                  <w14:solidFill>
                    <w14:schemeClr w14:val="tx1">
                      <w14:lumMod w14:val="95000"/>
                      <w14:lumOff w14:val="5000"/>
                    </w14:schemeClr>
                  </w14:solidFill>
                </w14:textFill>
              </w:rPr>
            </w:pPr>
          </w:p>
        </w:tc>
      </w:tr>
      <w:tr w14:paraId="6DE06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23" w:type="pct"/>
            <w:gridSpan w:val="3"/>
            <w:vMerge w:val="continue"/>
            <w:vAlign w:val="center"/>
          </w:tcPr>
          <w:p w14:paraId="2F279A03">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735" w:type="pct"/>
            <w:vAlign w:val="center"/>
          </w:tcPr>
          <w:p w14:paraId="1D4C40E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u w:val="single"/>
                <w14:textFill>
                  <w14:solidFill>
                    <w14:schemeClr w14:val="tx1">
                      <w14:lumMod w14:val="95000"/>
                      <w14:lumOff w14:val="5000"/>
                    </w14:schemeClr>
                  </w14:solidFill>
                </w14:textFill>
              </w:rPr>
              <w:t>颗粒物</w:t>
            </w:r>
          </w:p>
        </w:tc>
        <w:tc>
          <w:tcPr>
            <w:tcW w:w="2643" w:type="pct"/>
            <w:gridSpan w:val="3"/>
            <w:vAlign w:val="center"/>
          </w:tcPr>
          <w:p w14:paraId="1161BEC6">
            <w:pPr>
              <w:spacing w:line="240" w:lineRule="auto"/>
              <w:jc w:val="center"/>
              <w:rPr>
                <w:rFonts w:cs="Times New Roman"/>
                <w:color w:val="0D0D0D" w:themeColor="text1" w:themeTint="F2"/>
                <w:spacing w:val="12"/>
                <w:sz w:val="21"/>
                <w:szCs w:val="21"/>
                <w:u w:val="single"/>
                <w14:textFill>
                  <w14:solidFill>
                    <w14:schemeClr w14:val="tx1">
                      <w14:lumMod w14:val="95000"/>
                      <w14:lumOff w14:val="5000"/>
                    </w14:schemeClr>
                  </w14:solidFill>
                </w14:textFill>
              </w:rPr>
            </w:pPr>
          </w:p>
        </w:tc>
      </w:tr>
      <w:tr w14:paraId="51209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23" w:type="pct"/>
            <w:gridSpan w:val="3"/>
            <w:vMerge w:val="continue"/>
            <w:vAlign w:val="center"/>
          </w:tcPr>
          <w:p w14:paraId="4304BFDE">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735" w:type="pct"/>
            <w:vAlign w:val="center"/>
          </w:tcPr>
          <w:p w14:paraId="2841877C">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u w:val="single"/>
                <w14:textFill>
                  <w14:solidFill>
                    <w14:schemeClr w14:val="tx1">
                      <w14:lumMod w14:val="95000"/>
                      <w14:lumOff w14:val="5000"/>
                    </w14:schemeClr>
                  </w14:solidFill>
                </w14:textFill>
              </w:rPr>
              <w:t>非甲烷总烃</w:t>
            </w:r>
          </w:p>
        </w:tc>
        <w:tc>
          <w:tcPr>
            <w:tcW w:w="2643" w:type="pct"/>
            <w:gridSpan w:val="3"/>
            <w:vAlign w:val="center"/>
          </w:tcPr>
          <w:p w14:paraId="74F75FBC">
            <w:pPr>
              <w:spacing w:line="240" w:lineRule="auto"/>
              <w:jc w:val="center"/>
              <w:rPr>
                <w:rFonts w:cs="Times New Roman"/>
                <w:color w:val="0D0D0D" w:themeColor="text1" w:themeTint="F2"/>
                <w:spacing w:val="12"/>
                <w:sz w:val="21"/>
                <w:szCs w:val="21"/>
                <w:u w:val="single"/>
                <w14:textFill>
                  <w14:solidFill>
                    <w14:schemeClr w14:val="tx1">
                      <w14:lumMod w14:val="95000"/>
                      <w14:lumOff w14:val="5000"/>
                    </w14:schemeClr>
                  </w14:solidFill>
                </w14:textFill>
              </w:rPr>
            </w:pPr>
          </w:p>
        </w:tc>
      </w:tr>
      <w:tr w14:paraId="471B7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23" w:type="pct"/>
            <w:gridSpan w:val="3"/>
            <w:vMerge w:val="continue"/>
            <w:vAlign w:val="center"/>
          </w:tcPr>
          <w:p w14:paraId="7215515E">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735" w:type="pct"/>
            <w:vAlign w:val="center"/>
          </w:tcPr>
          <w:p w14:paraId="36DF83C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u w:val="single"/>
                <w14:textFill>
                  <w14:solidFill>
                    <w14:schemeClr w14:val="tx1">
                      <w14:lumMod w14:val="95000"/>
                      <w14:lumOff w14:val="5000"/>
                    </w14:schemeClr>
                  </w14:solidFill>
                </w14:textFill>
              </w:rPr>
              <w:t>甲醇</w:t>
            </w:r>
          </w:p>
        </w:tc>
        <w:tc>
          <w:tcPr>
            <w:tcW w:w="2643" w:type="pct"/>
            <w:gridSpan w:val="3"/>
            <w:vAlign w:val="center"/>
          </w:tcPr>
          <w:p w14:paraId="37D024AB">
            <w:pPr>
              <w:spacing w:line="240" w:lineRule="auto"/>
              <w:jc w:val="center"/>
              <w:rPr>
                <w:rFonts w:cs="Times New Roman"/>
                <w:color w:val="0D0D0D" w:themeColor="text1" w:themeTint="F2"/>
                <w:spacing w:val="12"/>
                <w:sz w:val="21"/>
                <w:szCs w:val="21"/>
                <w:u w:val="single"/>
                <w14:textFill>
                  <w14:solidFill>
                    <w14:schemeClr w14:val="tx1">
                      <w14:lumMod w14:val="95000"/>
                      <w14:lumOff w14:val="5000"/>
                    </w14:schemeClr>
                  </w14:solidFill>
                </w14:textFill>
              </w:rPr>
            </w:pPr>
          </w:p>
        </w:tc>
      </w:tr>
      <w:tr w14:paraId="5FAE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23" w:type="pct"/>
            <w:gridSpan w:val="3"/>
            <w:vMerge w:val="continue"/>
            <w:vAlign w:val="center"/>
          </w:tcPr>
          <w:p w14:paraId="03F7D85B">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735" w:type="pct"/>
            <w:vAlign w:val="center"/>
          </w:tcPr>
          <w:p w14:paraId="5633D53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NH</w:t>
            </w:r>
            <w:r>
              <w:rPr>
                <w:rFonts w:hint="eastAsia" w:cs="Times New Roman"/>
                <w:color w:val="0D0D0D" w:themeColor="text1" w:themeTint="F2"/>
                <w:sz w:val="21"/>
                <w:szCs w:val="21"/>
                <w:u w:val="single"/>
                <w:vertAlign w:val="subscript"/>
                <w14:textFill>
                  <w14:solidFill>
                    <w14:schemeClr w14:val="tx1">
                      <w14:lumMod w14:val="95000"/>
                      <w14:lumOff w14:val="5000"/>
                    </w14:schemeClr>
                  </w14:solidFill>
                </w14:textFill>
              </w:rPr>
              <w:t>3</w:t>
            </w:r>
          </w:p>
        </w:tc>
        <w:tc>
          <w:tcPr>
            <w:tcW w:w="2643" w:type="pct"/>
            <w:gridSpan w:val="3"/>
            <w:vAlign w:val="center"/>
          </w:tcPr>
          <w:p w14:paraId="1D8703EF">
            <w:pPr>
              <w:spacing w:line="240" w:lineRule="auto"/>
              <w:jc w:val="center"/>
              <w:rPr>
                <w:rFonts w:cs="Times New Roman"/>
                <w:color w:val="0D0D0D" w:themeColor="text1" w:themeTint="F2"/>
                <w:spacing w:val="12"/>
                <w:sz w:val="21"/>
                <w:szCs w:val="21"/>
                <w:u w:val="single"/>
                <w14:textFill>
                  <w14:solidFill>
                    <w14:schemeClr w14:val="tx1">
                      <w14:lumMod w14:val="95000"/>
                      <w14:lumOff w14:val="5000"/>
                    </w14:schemeClr>
                  </w14:solidFill>
                </w14:textFill>
              </w:rPr>
            </w:pPr>
          </w:p>
        </w:tc>
      </w:tr>
      <w:tr w14:paraId="4EBE2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23" w:type="pct"/>
            <w:gridSpan w:val="3"/>
            <w:vMerge w:val="continue"/>
            <w:vAlign w:val="center"/>
          </w:tcPr>
          <w:p w14:paraId="3FAD5F14">
            <w:pPr>
              <w:spacing w:line="240" w:lineRule="auto"/>
              <w:jc w:val="center"/>
              <w:rPr>
                <w:rFonts w:cs="Times New Roman"/>
                <w:bCs/>
                <w:color w:val="0D0D0D" w:themeColor="text1" w:themeTint="F2"/>
                <w:spacing w:val="12"/>
                <w:sz w:val="21"/>
                <w:szCs w:val="21"/>
                <w:u w:val="single"/>
                <w14:textFill>
                  <w14:solidFill>
                    <w14:schemeClr w14:val="tx1">
                      <w14:lumMod w14:val="95000"/>
                      <w14:lumOff w14:val="5000"/>
                    </w14:schemeClr>
                  </w14:solidFill>
                </w14:textFill>
              </w:rPr>
            </w:pPr>
          </w:p>
        </w:tc>
        <w:tc>
          <w:tcPr>
            <w:tcW w:w="735" w:type="pct"/>
            <w:vAlign w:val="center"/>
          </w:tcPr>
          <w:p w14:paraId="792546F9">
            <w:pPr>
              <w:spacing w:line="240" w:lineRule="auto"/>
              <w:jc w:val="center"/>
              <w:rPr>
                <w:rFonts w:cs="Times New Roman"/>
                <w:color w:val="0D0D0D" w:themeColor="text1" w:themeTint="F2"/>
                <w:spacing w:val="1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H</w:t>
            </w:r>
            <w:r>
              <w:rPr>
                <w:rFonts w:hint="eastAsia" w:cs="Times New Roman"/>
                <w:color w:val="0D0D0D" w:themeColor="text1" w:themeTint="F2"/>
                <w:sz w:val="21"/>
                <w:szCs w:val="21"/>
                <w:u w:val="single"/>
                <w:vertAlign w:val="subscript"/>
                <w14:textFill>
                  <w14:solidFill>
                    <w14:schemeClr w14:val="tx1">
                      <w14:lumMod w14:val="95000"/>
                      <w14:lumOff w14:val="5000"/>
                    </w14:schemeClr>
                  </w14:solidFill>
                </w14:textFill>
              </w:rPr>
              <w:t>2</w:t>
            </w:r>
            <w:r>
              <w:rPr>
                <w:rFonts w:hint="eastAsia" w:cs="Times New Roman"/>
                <w:color w:val="0D0D0D" w:themeColor="text1" w:themeTint="F2"/>
                <w:sz w:val="21"/>
                <w:szCs w:val="21"/>
                <w:u w:val="single"/>
                <w14:textFill>
                  <w14:solidFill>
                    <w14:schemeClr w14:val="tx1">
                      <w14:lumMod w14:val="95000"/>
                      <w14:lumOff w14:val="5000"/>
                    </w14:schemeClr>
                  </w14:solidFill>
                </w14:textFill>
              </w:rPr>
              <w:t>S</w:t>
            </w:r>
          </w:p>
        </w:tc>
        <w:tc>
          <w:tcPr>
            <w:tcW w:w="2643" w:type="pct"/>
            <w:gridSpan w:val="3"/>
            <w:vAlign w:val="center"/>
          </w:tcPr>
          <w:p w14:paraId="2620ADF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bl>
    <w:p w14:paraId="700DC6F2">
      <w:pPr>
        <w:pStyle w:val="11"/>
      </w:pPr>
      <w:r>
        <w:rPr>
          <w:rFonts w:hint="eastAsia"/>
        </w:rPr>
        <w:t xml:space="preserve"> </w:t>
      </w:r>
      <w:r>
        <w:t>大气污染物无组织排放量核算表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617"/>
        <w:gridCol w:w="1177"/>
        <w:gridCol w:w="933"/>
        <w:gridCol w:w="948"/>
        <w:gridCol w:w="2932"/>
        <w:gridCol w:w="1227"/>
        <w:gridCol w:w="868"/>
      </w:tblGrid>
      <w:tr w14:paraId="54CC8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92" w:type="pct"/>
            <w:vMerge w:val="restart"/>
            <w:vAlign w:val="center"/>
          </w:tcPr>
          <w:p w14:paraId="5B961FAF">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序号</w:t>
            </w:r>
          </w:p>
        </w:tc>
        <w:tc>
          <w:tcPr>
            <w:tcW w:w="334" w:type="pct"/>
            <w:vMerge w:val="restart"/>
            <w:vAlign w:val="center"/>
          </w:tcPr>
          <w:p w14:paraId="294A5A76">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排放口编号</w:t>
            </w:r>
          </w:p>
        </w:tc>
        <w:tc>
          <w:tcPr>
            <w:tcW w:w="637" w:type="pct"/>
            <w:vMerge w:val="restart"/>
            <w:vAlign w:val="center"/>
          </w:tcPr>
          <w:p w14:paraId="247D2B33">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产污环节</w:t>
            </w:r>
          </w:p>
        </w:tc>
        <w:tc>
          <w:tcPr>
            <w:tcW w:w="505" w:type="pct"/>
            <w:vMerge w:val="restart"/>
            <w:vAlign w:val="center"/>
          </w:tcPr>
          <w:p w14:paraId="70EEFE32">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污染物</w:t>
            </w:r>
          </w:p>
        </w:tc>
        <w:tc>
          <w:tcPr>
            <w:tcW w:w="513" w:type="pct"/>
            <w:vMerge w:val="restart"/>
            <w:vAlign w:val="center"/>
          </w:tcPr>
          <w:p w14:paraId="1B9AA69F">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主要</w:t>
            </w:r>
          </w:p>
          <w:p w14:paraId="16F6EF51">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污染</w:t>
            </w:r>
          </w:p>
          <w:p w14:paraId="1A47A9D4">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防治</w:t>
            </w:r>
          </w:p>
          <w:p w14:paraId="4A4AF4B8">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措施</w:t>
            </w:r>
          </w:p>
        </w:tc>
        <w:tc>
          <w:tcPr>
            <w:tcW w:w="2250" w:type="pct"/>
            <w:gridSpan w:val="2"/>
            <w:vAlign w:val="center"/>
          </w:tcPr>
          <w:p w14:paraId="389B145B">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国家或地方污染物排放标准</w:t>
            </w:r>
          </w:p>
        </w:tc>
        <w:tc>
          <w:tcPr>
            <w:tcW w:w="469" w:type="pct"/>
            <w:vMerge w:val="restart"/>
            <w:vAlign w:val="center"/>
          </w:tcPr>
          <w:p w14:paraId="3068B4E9">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年排</w:t>
            </w:r>
          </w:p>
          <w:p w14:paraId="3BF11DEB">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放量</w:t>
            </w:r>
          </w:p>
          <w:p w14:paraId="2C15A0F5">
            <w:pPr>
              <w:pBdr>
                <w:top w:val="none" w:color="auto" w:sz="0" w:space="1"/>
                <w:left w:val="none" w:color="auto" w:sz="0" w:space="4"/>
                <w:bottom w:val="none" w:color="auto" w:sz="0" w:space="1"/>
                <w:right w:val="none" w:color="auto" w:sz="0" w:space="4"/>
              </w:pBdr>
              <w:snapToGrid w:val="0"/>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（t/a）</w:t>
            </w:r>
          </w:p>
        </w:tc>
      </w:tr>
      <w:tr w14:paraId="09727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92" w:type="pct"/>
            <w:vMerge w:val="continue"/>
            <w:vAlign w:val="center"/>
          </w:tcPr>
          <w:p w14:paraId="46AFB96F">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334" w:type="pct"/>
            <w:vMerge w:val="continue"/>
            <w:vAlign w:val="center"/>
          </w:tcPr>
          <w:p w14:paraId="5E69A0E7">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637" w:type="pct"/>
            <w:vMerge w:val="continue"/>
            <w:vAlign w:val="center"/>
          </w:tcPr>
          <w:p w14:paraId="154EA5FF">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505" w:type="pct"/>
            <w:vMerge w:val="continue"/>
            <w:vAlign w:val="center"/>
          </w:tcPr>
          <w:p w14:paraId="0542E695">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513" w:type="pct"/>
            <w:vMerge w:val="continue"/>
            <w:vAlign w:val="center"/>
          </w:tcPr>
          <w:p w14:paraId="7294856B">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1586" w:type="pct"/>
            <w:vAlign w:val="center"/>
          </w:tcPr>
          <w:p w14:paraId="46CF48EA">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标准名称</w:t>
            </w:r>
          </w:p>
        </w:tc>
        <w:tc>
          <w:tcPr>
            <w:tcW w:w="664" w:type="pct"/>
            <w:vAlign w:val="center"/>
          </w:tcPr>
          <w:p w14:paraId="192D1A58">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浓度限值</w:t>
            </w:r>
          </w:p>
          <w:p w14:paraId="72585392">
            <w:pPr>
              <w:pBdr>
                <w:top w:val="none" w:color="auto" w:sz="0" w:space="1"/>
                <w:left w:val="none" w:color="auto" w:sz="0" w:space="4"/>
                <w:bottom w:val="none" w:color="auto" w:sz="0" w:space="1"/>
                <w:right w:val="none" w:color="auto" w:sz="0" w:space="4"/>
              </w:pBdr>
              <w:snapToGrid w:val="0"/>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（mg/m</w:t>
            </w:r>
            <w:r>
              <w:rPr>
                <w:rFonts w:cs="Times New Roman"/>
                <w:color w:val="0D0D0D" w:themeColor="text1" w:themeTint="F2"/>
                <w:sz w:val="21"/>
                <w:u w:val="single"/>
                <w:vertAlign w:val="superscript"/>
                <w14:textFill>
                  <w14:solidFill>
                    <w14:schemeClr w14:val="tx1">
                      <w14:lumMod w14:val="95000"/>
                      <w14:lumOff w14:val="5000"/>
                    </w14:schemeClr>
                  </w14:solidFill>
                </w14:textFill>
              </w:rPr>
              <w:t>3</w:t>
            </w:r>
            <w:r>
              <w:rPr>
                <w:rFonts w:cs="Times New Roman"/>
                <w:color w:val="0D0D0D" w:themeColor="text1" w:themeTint="F2"/>
                <w:sz w:val="21"/>
                <w:u w:val="single"/>
                <w14:textFill>
                  <w14:solidFill>
                    <w14:schemeClr w14:val="tx1">
                      <w14:lumMod w14:val="95000"/>
                      <w14:lumOff w14:val="5000"/>
                    </w14:schemeClr>
                  </w14:solidFill>
                </w14:textFill>
              </w:rPr>
              <w:t>）</w:t>
            </w:r>
          </w:p>
        </w:tc>
        <w:tc>
          <w:tcPr>
            <w:tcW w:w="469" w:type="pct"/>
            <w:vMerge w:val="continue"/>
            <w:vAlign w:val="center"/>
          </w:tcPr>
          <w:p w14:paraId="418AEB52">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r>
      <w:tr w14:paraId="63774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Align w:val="center"/>
          </w:tcPr>
          <w:p w14:paraId="3BD578B2">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1</w:t>
            </w:r>
          </w:p>
        </w:tc>
        <w:tc>
          <w:tcPr>
            <w:tcW w:w="334" w:type="pct"/>
            <w:vAlign w:val="center"/>
          </w:tcPr>
          <w:p w14:paraId="07842806">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w:t>
            </w:r>
          </w:p>
        </w:tc>
        <w:tc>
          <w:tcPr>
            <w:tcW w:w="637" w:type="pct"/>
            <w:vAlign w:val="center"/>
          </w:tcPr>
          <w:p w14:paraId="74001C1C">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白土投料</w:t>
            </w:r>
          </w:p>
        </w:tc>
        <w:tc>
          <w:tcPr>
            <w:tcW w:w="505" w:type="pct"/>
            <w:vAlign w:val="center"/>
          </w:tcPr>
          <w:p w14:paraId="43434546">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颗粒物</w:t>
            </w:r>
          </w:p>
        </w:tc>
        <w:tc>
          <w:tcPr>
            <w:tcW w:w="513" w:type="pct"/>
            <w:vAlign w:val="center"/>
          </w:tcPr>
          <w:p w14:paraId="06C565E0">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w:t>
            </w:r>
          </w:p>
        </w:tc>
        <w:tc>
          <w:tcPr>
            <w:tcW w:w="1586" w:type="pct"/>
            <w:vAlign w:val="center"/>
          </w:tcPr>
          <w:p w14:paraId="5DE1F4E0">
            <w:pPr>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《大气污染物综合排放标准》（GB16297-1996）</w:t>
            </w:r>
          </w:p>
        </w:tc>
        <w:tc>
          <w:tcPr>
            <w:tcW w:w="664" w:type="pct"/>
            <w:vAlign w:val="center"/>
          </w:tcPr>
          <w:p w14:paraId="407C1F8C">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12</w:t>
            </w:r>
          </w:p>
        </w:tc>
        <w:tc>
          <w:tcPr>
            <w:tcW w:w="469" w:type="pct"/>
            <w:vAlign w:val="center"/>
          </w:tcPr>
          <w:p w14:paraId="74D32675">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r>
      <w:tr w14:paraId="65056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restart"/>
            <w:vAlign w:val="center"/>
          </w:tcPr>
          <w:p w14:paraId="072D01A2">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2</w:t>
            </w:r>
          </w:p>
        </w:tc>
        <w:tc>
          <w:tcPr>
            <w:tcW w:w="334" w:type="pct"/>
            <w:vMerge w:val="restart"/>
            <w:vAlign w:val="center"/>
          </w:tcPr>
          <w:p w14:paraId="64A4506F">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w:t>
            </w:r>
          </w:p>
        </w:tc>
        <w:tc>
          <w:tcPr>
            <w:tcW w:w="637" w:type="pct"/>
            <w:vMerge w:val="restart"/>
            <w:vAlign w:val="center"/>
          </w:tcPr>
          <w:p w14:paraId="0EAE8F17">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污水处理站</w:t>
            </w:r>
          </w:p>
        </w:tc>
        <w:tc>
          <w:tcPr>
            <w:tcW w:w="505" w:type="pct"/>
            <w:vAlign w:val="center"/>
          </w:tcPr>
          <w:p w14:paraId="59B413E2">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lang w:bidi="ar"/>
                <w14:textFill>
                  <w14:solidFill>
                    <w14:schemeClr w14:val="tx1">
                      <w14:lumMod w14:val="95000"/>
                      <w14:lumOff w14:val="5000"/>
                    </w14:schemeClr>
                  </w14:solidFill>
                </w14:textFill>
              </w:rPr>
              <w:t>NH</w:t>
            </w:r>
            <w:r>
              <w:rPr>
                <w:rFonts w:cs="Times New Roman"/>
                <w:color w:val="0D0D0D" w:themeColor="text1" w:themeTint="F2"/>
                <w:sz w:val="21"/>
                <w:u w:val="single"/>
                <w:vertAlign w:val="subscript"/>
                <w:lang w:bidi="ar"/>
                <w14:textFill>
                  <w14:solidFill>
                    <w14:schemeClr w14:val="tx1">
                      <w14:lumMod w14:val="95000"/>
                      <w14:lumOff w14:val="5000"/>
                    </w14:schemeClr>
                  </w14:solidFill>
                </w14:textFill>
              </w:rPr>
              <w:t>3</w:t>
            </w:r>
          </w:p>
        </w:tc>
        <w:tc>
          <w:tcPr>
            <w:tcW w:w="513" w:type="pct"/>
            <w:vMerge w:val="restart"/>
            <w:vAlign w:val="center"/>
          </w:tcPr>
          <w:p w14:paraId="6C6BBD95">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w:t>
            </w:r>
          </w:p>
        </w:tc>
        <w:tc>
          <w:tcPr>
            <w:tcW w:w="1586" w:type="pct"/>
            <w:vMerge w:val="restart"/>
            <w:vAlign w:val="center"/>
          </w:tcPr>
          <w:p w14:paraId="7C550053">
            <w:pPr>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《恶臭污染物排放标准》（GB14554-93）</w:t>
            </w:r>
          </w:p>
        </w:tc>
        <w:tc>
          <w:tcPr>
            <w:tcW w:w="664" w:type="pct"/>
            <w:vAlign w:val="center"/>
          </w:tcPr>
          <w:p w14:paraId="63FA7273">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1.5</w:t>
            </w:r>
          </w:p>
        </w:tc>
        <w:tc>
          <w:tcPr>
            <w:tcW w:w="469" w:type="pct"/>
            <w:vAlign w:val="center"/>
          </w:tcPr>
          <w:p w14:paraId="1A05A130">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r>
      <w:tr w14:paraId="08D4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vAlign w:val="center"/>
          </w:tcPr>
          <w:p w14:paraId="1B78B4F3">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334" w:type="pct"/>
            <w:vMerge w:val="continue"/>
            <w:vAlign w:val="center"/>
          </w:tcPr>
          <w:p w14:paraId="00C28488">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637" w:type="pct"/>
            <w:vMerge w:val="continue"/>
            <w:vAlign w:val="center"/>
          </w:tcPr>
          <w:p w14:paraId="4162F600">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505" w:type="pct"/>
            <w:vAlign w:val="center"/>
          </w:tcPr>
          <w:p w14:paraId="0C84385E">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lang w:bidi="ar"/>
                <w14:textFill>
                  <w14:solidFill>
                    <w14:schemeClr w14:val="tx1">
                      <w14:lumMod w14:val="95000"/>
                      <w14:lumOff w14:val="5000"/>
                    </w14:schemeClr>
                  </w14:solidFill>
                </w14:textFill>
              </w:rPr>
              <w:t>H</w:t>
            </w:r>
            <w:r>
              <w:rPr>
                <w:rFonts w:cs="Times New Roman"/>
                <w:color w:val="0D0D0D" w:themeColor="text1" w:themeTint="F2"/>
                <w:sz w:val="21"/>
                <w:u w:val="single"/>
                <w:vertAlign w:val="subscript"/>
                <w:lang w:bidi="ar"/>
                <w14:textFill>
                  <w14:solidFill>
                    <w14:schemeClr w14:val="tx1">
                      <w14:lumMod w14:val="95000"/>
                      <w14:lumOff w14:val="5000"/>
                    </w14:schemeClr>
                  </w14:solidFill>
                </w14:textFill>
              </w:rPr>
              <w:t>2</w:t>
            </w:r>
            <w:r>
              <w:rPr>
                <w:rFonts w:cs="Times New Roman"/>
                <w:color w:val="0D0D0D" w:themeColor="text1" w:themeTint="F2"/>
                <w:sz w:val="21"/>
                <w:u w:val="single"/>
                <w:lang w:bidi="ar"/>
                <w14:textFill>
                  <w14:solidFill>
                    <w14:schemeClr w14:val="tx1">
                      <w14:lumMod w14:val="95000"/>
                      <w14:lumOff w14:val="5000"/>
                    </w14:schemeClr>
                  </w14:solidFill>
                </w14:textFill>
              </w:rPr>
              <w:t>S</w:t>
            </w:r>
          </w:p>
        </w:tc>
        <w:tc>
          <w:tcPr>
            <w:tcW w:w="513" w:type="pct"/>
            <w:vMerge w:val="continue"/>
            <w:vAlign w:val="center"/>
          </w:tcPr>
          <w:p w14:paraId="47732F56">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1586" w:type="pct"/>
            <w:vMerge w:val="continue"/>
            <w:vAlign w:val="center"/>
          </w:tcPr>
          <w:p w14:paraId="28EBD122">
            <w:pPr>
              <w:spacing w:line="240" w:lineRule="auto"/>
              <w:rPr>
                <w:rFonts w:cs="Times New Roman"/>
                <w:color w:val="0D0D0D" w:themeColor="text1" w:themeTint="F2"/>
                <w:sz w:val="21"/>
                <w:u w:val="single"/>
                <w14:textFill>
                  <w14:solidFill>
                    <w14:schemeClr w14:val="tx1">
                      <w14:lumMod w14:val="95000"/>
                      <w14:lumOff w14:val="5000"/>
                    </w14:schemeClr>
                  </w14:solidFill>
                </w14:textFill>
              </w:rPr>
            </w:pPr>
          </w:p>
        </w:tc>
        <w:tc>
          <w:tcPr>
            <w:tcW w:w="664" w:type="pct"/>
            <w:vAlign w:val="center"/>
          </w:tcPr>
          <w:p w14:paraId="79C2C57D">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0.06</w:t>
            </w:r>
          </w:p>
        </w:tc>
        <w:tc>
          <w:tcPr>
            <w:tcW w:w="469" w:type="pct"/>
            <w:vAlign w:val="center"/>
          </w:tcPr>
          <w:p w14:paraId="401F38D5">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r>
      <w:tr w14:paraId="1D661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vAlign w:val="center"/>
          </w:tcPr>
          <w:p w14:paraId="24C8D549">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334" w:type="pct"/>
            <w:vMerge w:val="continue"/>
            <w:vAlign w:val="center"/>
          </w:tcPr>
          <w:p w14:paraId="47AB1A46">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637" w:type="pct"/>
            <w:vMerge w:val="continue"/>
            <w:vAlign w:val="center"/>
          </w:tcPr>
          <w:p w14:paraId="0A1BD795">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505" w:type="pct"/>
            <w:vAlign w:val="center"/>
          </w:tcPr>
          <w:p w14:paraId="692A3509">
            <w:pPr>
              <w:spacing w:line="240" w:lineRule="auto"/>
              <w:jc w:val="center"/>
              <w:rPr>
                <w:rFonts w:cs="Times New Roman"/>
                <w:color w:val="0D0D0D" w:themeColor="text1" w:themeTint="F2"/>
                <w:sz w:val="21"/>
                <w:u w:val="single"/>
                <w:lang w:bidi="ar"/>
                <w14:textFill>
                  <w14:solidFill>
                    <w14:schemeClr w14:val="tx1">
                      <w14:lumMod w14:val="95000"/>
                      <w14:lumOff w14:val="5000"/>
                    </w14:schemeClr>
                  </w14:solidFill>
                </w14:textFill>
              </w:rPr>
            </w:pPr>
            <w:r>
              <w:rPr>
                <w:rFonts w:hint="eastAsia" w:cs="Times New Roman"/>
                <w:color w:val="0D0D0D" w:themeColor="text1" w:themeTint="F2"/>
                <w:sz w:val="21"/>
                <w:u w:val="single"/>
                <w:lang w:bidi="ar"/>
                <w14:textFill>
                  <w14:solidFill>
                    <w14:schemeClr w14:val="tx1">
                      <w14:lumMod w14:val="95000"/>
                      <w14:lumOff w14:val="5000"/>
                    </w14:schemeClr>
                  </w14:solidFill>
                </w14:textFill>
              </w:rPr>
              <w:t>非甲烷总烃</w:t>
            </w:r>
          </w:p>
        </w:tc>
        <w:tc>
          <w:tcPr>
            <w:tcW w:w="513" w:type="pct"/>
            <w:vAlign w:val="center"/>
          </w:tcPr>
          <w:p w14:paraId="1341862B">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w:t>
            </w:r>
          </w:p>
        </w:tc>
        <w:tc>
          <w:tcPr>
            <w:tcW w:w="1586" w:type="pct"/>
            <w:vAlign w:val="center"/>
          </w:tcPr>
          <w:p w14:paraId="53C4E8AD">
            <w:pPr>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《石油炼制工业污染物排放标准》（GB31570-2015）</w:t>
            </w:r>
          </w:p>
        </w:tc>
        <w:tc>
          <w:tcPr>
            <w:tcW w:w="664" w:type="pct"/>
            <w:vAlign w:val="center"/>
          </w:tcPr>
          <w:p w14:paraId="441F1282">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4.0</w:t>
            </w:r>
          </w:p>
        </w:tc>
        <w:tc>
          <w:tcPr>
            <w:tcW w:w="469" w:type="pct"/>
            <w:vAlign w:val="center"/>
          </w:tcPr>
          <w:p w14:paraId="7715E103">
            <w:pPr>
              <w:spacing w:line="240" w:lineRule="auto"/>
              <w:jc w:val="center"/>
              <w:rPr>
                <w:color w:val="0D0D0D" w:themeColor="text1" w:themeTint="F2"/>
                <w:sz w:val="21"/>
                <w:u w:val="single"/>
                <w14:textFill>
                  <w14:solidFill>
                    <w14:schemeClr w14:val="tx1">
                      <w14:lumMod w14:val="95000"/>
                      <w14:lumOff w14:val="5000"/>
                    </w14:schemeClr>
                  </w14:solidFill>
                </w14:textFill>
              </w:rPr>
            </w:pPr>
          </w:p>
        </w:tc>
      </w:tr>
      <w:tr w14:paraId="71EF9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restart"/>
            <w:vAlign w:val="center"/>
          </w:tcPr>
          <w:p w14:paraId="73EC2CA7">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3</w:t>
            </w:r>
          </w:p>
        </w:tc>
        <w:tc>
          <w:tcPr>
            <w:tcW w:w="334" w:type="pct"/>
            <w:vMerge w:val="restart"/>
            <w:vAlign w:val="center"/>
          </w:tcPr>
          <w:p w14:paraId="4679F48F">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w:t>
            </w:r>
          </w:p>
        </w:tc>
        <w:tc>
          <w:tcPr>
            <w:tcW w:w="637" w:type="pct"/>
            <w:vMerge w:val="restart"/>
            <w:vAlign w:val="center"/>
          </w:tcPr>
          <w:p w14:paraId="4FA7EF62">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生物柴油车间</w:t>
            </w:r>
          </w:p>
        </w:tc>
        <w:tc>
          <w:tcPr>
            <w:tcW w:w="505" w:type="pct"/>
            <w:vAlign w:val="center"/>
          </w:tcPr>
          <w:p w14:paraId="78976FD8">
            <w:pPr>
              <w:spacing w:line="240" w:lineRule="auto"/>
              <w:jc w:val="center"/>
              <w:rPr>
                <w:rFonts w:cs="Times New Roman"/>
                <w:color w:val="0D0D0D" w:themeColor="text1" w:themeTint="F2"/>
                <w:sz w:val="21"/>
                <w:u w:val="single"/>
                <w:lang w:bidi="ar"/>
                <w14:textFill>
                  <w14:solidFill>
                    <w14:schemeClr w14:val="tx1">
                      <w14:lumMod w14:val="95000"/>
                      <w14:lumOff w14:val="5000"/>
                    </w14:schemeClr>
                  </w14:solidFill>
                </w14:textFill>
              </w:rPr>
            </w:pPr>
            <w:r>
              <w:rPr>
                <w:rFonts w:hint="eastAsia" w:cs="Times New Roman"/>
                <w:color w:val="0D0D0D" w:themeColor="text1" w:themeTint="F2"/>
                <w:sz w:val="21"/>
                <w:u w:val="single"/>
                <w:lang w:bidi="ar"/>
                <w14:textFill>
                  <w14:solidFill>
                    <w14:schemeClr w14:val="tx1">
                      <w14:lumMod w14:val="95000"/>
                      <w14:lumOff w14:val="5000"/>
                    </w14:schemeClr>
                  </w14:solidFill>
                </w14:textFill>
              </w:rPr>
              <w:t>甲醇</w:t>
            </w:r>
          </w:p>
        </w:tc>
        <w:tc>
          <w:tcPr>
            <w:tcW w:w="513" w:type="pct"/>
            <w:vAlign w:val="center"/>
          </w:tcPr>
          <w:p w14:paraId="64AAAB3A">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w:t>
            </w:r>
          </w:p>
        </w:tc>
        <w:tc>
          <w:tcPr>
            <w:tcW w:w="1586" w:type="pct"/>
            <w:vMerge w:val="restart"/>
            <w:vAlign w:val="center"/>
          </w:tcPr>
          <w:p w14:paraId="0277B05B">
            <w:pPr>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《石油炼制工业污染物排放标准》（GB31570-2015）</w:t>
            </w:r>
          </w:p>
        </w:tc>
        <w:tc>
          <w:tcPr>
            <w:tcW w:w="664" w:type="pct"/>
            <w:vAlign w:val="center"/>
          </w:tcPr>
          <w:p w14:paraId="44B55632">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4.0</w:t>
            </w:r>
          </w:p>
        </w:tc>
        <w:tc>
          <w:tcPr>
            <w:tcW w:w="469" w:type="pct"/>
            <w:vAlign w:val="center"/>
          </w:tcPr>
          <w:p w14:paraId="7BB88C69">
            <w:pPr>
              <w:spacing w:line="240" w:lineRule="auto"/>
              <w:jc w:val="center"/>
              <w:rPr>
                <w:color w:val="0D0D0D" w:themeColor="text1" w:themeTint="F2"/>
                <w:sz w:val="21"/>
                <w:u w:val="single"/>
                <w14:textFill>
                  <w14:solidFill>
                    <w14:schemeClr w14:val="tx1">
                      <w14:lumMod w14:val="95000"/>
                      <w14:lumOff w14:val="5000"/>
                    </w14:schemeClr>
                  </w14:solidFill>
                </w14:textFill>
              </w:rPr>
            </w:pPr>
          </w:p>
        </w:tc>
      </w:tr>
      <w:tr w14:paraId="3DF95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Merge w:val="continue"/>
            <w:vAlign w:val="center"/>
          </w:tcPr>
          <w:p w14:paraId="54C16E23">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334" w:type="pct"/>
            <w:vMerge w:val="continue"/>
            <w:vAlign w:val="center"/>
          </w:tcPr>
          <w:p w14:paraId="1BAB2AA8">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637" w:type="pct"/>
            <w:vMerge w:val="continue"/>
            <w:vAlign w:val="center"/>
          </w:tcPr>
          <w:p w14:paraId="10901EC4">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505" w:type="pct"/>
            <w:vAlign w:val="center"/>
          </w:tcPr>
          <w:p w14:paraId="03F8ED5E">
            <w:pPr>
              <w:spacing w:line="240" w:lineRule="auto"/>
              <w:jc w:val="center"/>
              <w:rPr>
                <w:rFonts w:cs="Times New Roman"/>
                <w:color w:val="0D0D0D" w:themeColor="text1" w:themeTint="F2"/>
                <w:sz w:val="21"/>
                <w:u w:val="single"/>
                <w:lang w:bidi="ar"/>
                <w14:textFill>
                  <w14:solidFill>
                    <w14:schemeClr w14:val="tx1">
                      <w14:lumMod w14:val="95000"/>
                      <w14:lumOff w14:val="5000"/>
                    </w14:schemeClr>
                  </w14:solidFill>
                </w14:textFill>
              </w:rPr>
            </w:pPr>
            <w:r>
              <w:rPr>
                <w:rFonts w:hint="eastAsia" w:cs="Times New Roman"/>
                <w:color w:val="0D0D0D" w:themeColor="text1" w:themeTint="F2"/>
                <w:sz w:val="21"/>
                <w:u w:val="single"/>
                <w:lang w:bidi="ar"/>
                <w14:textFill>
                  <w14:solidFill>
                    <w14:schemeClr w14:val="tx1">
                      <w14:lumMod w14:val="95000"/>
                      <w14:lumOff w14:val="5000"/>
                    </w14:schemeClr>
                  </w14:solidFill>
                </w14:textFill>
              </w:rPr>
              <w:t>非甲烷总烃</w:t>
            </w:r>
          </w:p>
        </w:tc>
        <w:tc>
          <w:tcPr>
            <w:tcW w:w="513" w:type="pct"/>
            <w:vAlign w:val="center"/>
          </w:tcPr>
          <w:p w14:paraId="7FB6F068">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w:t>
            </w:r>
          </w:p>
        </w:tc>
        <w:tc>
          <w:tcPr>
            <w:tcW w:w="1586" w:type="pct"/>
            <w:vMerge w:val="continue"/>
            <w:vAlign w:val="center"/>
          </w:tcPr>
          <w:p w14:paraId="2831CE01">
            <w:pPr>
              <w:spacing w:line="240" w:lineRule="auto"/>
              <w:rPr>
                <w:rFonts w:cs="Times New Roman"/>
                <w:color w:val="0D0D0D" w:themeColor="text1" w:themeTint="F2"/>
                <w:sz w:val="21"/>
                <w:u w:val="single"/>
                <w14:textFill>
                  <w14:solidFill>
                    <w14:schemeClr w14:val="tx1">
                      <w14:lumMod w14:val="95000"/>
                      <w14:lumOff w14:val="5000"/>
                    </w14:schemeClr>
                  </w14:solidFill>
                </w14:textFill>
              </w:rPr>
            </w:pPr>
          </w:p>
        </w:tc>
        <w:tc>
          <w:tcPr>
            <w:tcW w:w="664" w:type="pct"/>
            <w:vAlign w:val="center"/>
          </w:tcPr>
          <w:p w14:paraId="19B8B889">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4.0</w:t>
            </w:r>
          </w:p>
        </w:tc>
        <w:tc>
          <w:tcPr>
            <w:tcW w:w="469" w:type="pct"/>
            <w:vAlign w:val="center"/>
          </w:tcPr>
          <w:p w14:paraId="5E8C0DC6">
            <w:pPr>
              <w:spacing w:line="240" w:lineRule="auto"/>
              <w:jc w:val="center"/>
              <w:rPr>
                <w:color w:val="0D0D0D" w:themeColor="text1" w:themeTint="F2"/>
                <w:sz w:val="21"/>
                <w:u w:val="single"/>
                <w14:textFill>
                  <w14:solidFill>
                    <w14:schemeClr w14:val="tx1">
                      <w14:lumMod w14:val="95000"/>
                      <w14:lumOff w14:val="5000"/>
                    </w14:schemeClr>
                  </w14:solidFill>
                </w14:textFill>
              </w:rPr>
            </w:pPr>
          </w:p>
        </w:tc>
      </w:tr>
      <w:tr w14:paraId="6CBA2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Align w:val="center"/>
          </w:tcPr>
          <w:p w14:paraId="65369DAE">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4</w:t>
            </w:r>
          </w:p>
        </w:tc>
        <w:tc>
          <w:tcPr>
            <w:tcW w:w="334" w:type="pct"/>
            <w:vAlign w:val="center"/>
          </w:tcPr>
          <w:p w14:paraId="7B4C0EEC">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w:t>
            </w:r>
          </w:p>
        </w:tc>
        <w:tc>
          <w:tcPr>
            <w:tcW w:w="637" w:type="pct"/>
            <w:vAlign w:val="center"/>
          </w:tcPr>
          <w:p w14:paraId="2FE57776">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工业级混合油车间</w:t>
            </w:r>
          </w:p>
        </w:tc>
        <w:tc>
          <w:tcPr>
            <w:tcW w:w="505" w:type="pct"/>
            <w:vAlign w:val="center"/>
          </w:tcPr>
          <w:p w14:paraId="1124A9EF">
            <w:pPr>
              <w:spacing w:line="240" w:lineRule="auto"/>
              <w:jc w:val="center"/>
              <w:rPr>
                <w:rFonts w:cs="Times New Roman"/>
                <w:color w:val="0D0D0D" w:themeColor="text1" w:themeTint="F2"/>
                <w:sz w:val="21"/>
                <w:u w:val="single"/>
                <w:lang w:bidi="ar"/>
                <w14:textFill>
                  <w14:solidFill>
                    <w14:schemeClr w14:val="tx1">
                      <w14:lumMod w14:val="95000"/>
                      <w14:lumOff w14:val="5000"/>
                    </w14:schemeClr>
                  </w14:solidFill>
                </w14:textFill>
              </w:rPr>
            </w:pPr>
            <w:r>
              <w:rPr>
                <w:rFonts w:hint="eastAsia" w:cs="Times New Roman"/>
                <w:color w:val="0D0D0D" w:themeColor="text1" w:themeTint="F2"/>
                <w:sz w:val="21"/>
                <w:u w:val="single"/>
                <w:lang w:bidi="ar"/>
                <w14:textFill>
                  <w14:solidFill>
                    <w14:schemeClr w14:val="tx1">
                      <w14:lumMod w14:val="95000"/>
                      <w14:lumOff w14:val="5000"/>
                    </w14:schemeClr>
                  </w14:solidFill>
                </w14:textFill>
              </w:rPr>
              <w:t>非甲烷总烃</w:t>
            </w:r>
          </w:p>
        </w:tc>
        <w:tc>
          <w:tcPr>
            <w:tcW w:w="513" w:type="pct"/>
            <w:vAlign w:val="center"/>
          </w:tcPr>
          <w:p w14:paraId="4697F4EA">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w:t>
            </w:r>
          </w:p>
        </w:tc>
        <w:tc>
          <w:tcPr>
            <w:tcW w:w="1586" w:type="pct"/>
            <w:vAlign w:val="center"/>
          </w:tcPr>
          <w:p w14:paraId="4E9B8C99">
            <w:pPr>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《石油炼制工业污染物排放标准》（GB31570-2015）</w:t>
            </w:r>
          </w:p>
        </w:tc>
        <w:tc>
          <w:tcPr>
            <w:tcW w:w="664" w:type="pct"/>
            <w:vAlign w:val="center"/>
          </w:tcPr>
          <w:p w14:paraId="406DB062">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4.0</w:t>
            </w:r>
          </w:p>
        </w:tc>
        <w:tc>
          <w:tcPr>
            <w:tcW w:w="469" w:type="pct"/>
            <w:vAlign w:val="center"/>
          </w:tcPr>
          <w:p w14:paraId="4B148188">
            <w:pPr>
              <w:spacing w:line="240" w:lineRule="auto"/>
              <w:jc w:val="center"/>
              <w:rPr>
                <w:color w:val="0D0D0D" w:themeColor="text1" w:themeTint="F2"/>
                <w:sz w:val="21"/>
                <w:u w:val="single"/>
                <w14:textFill>
                  <w14:solidFill>
                    <w14:schemeClr w14:val="tx1">
                      <w14:lumMod w14:val="95000"/>
                      <w14:lumOff w14:val="5000"/>
                    </w14:schemeClr>
                  </w14:solidFill>
                </w14:textFill>
              </w:rPr>
            </w:pPr>
          </w:p>
        </w:tc>
      </w:tr>
      <w:tr w14:paraId="68024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Align w:val="center"/>
          </w:tcPr>
          <w:p w14:paraId="06133265">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5</w:t>
            </w:r>
          </w:p>
        </w:tc>
        <w:tc>
          <w:tcPr>
            <w:tcW w:w="334" w:type="pct"/>
            <w:vAlign w:val="center"/>
          </w:tcPr>
          <w:p w14:paraId="2980EDBD">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w:t>
            </w:r>
          </w:p>
        </w:tc>
        <w:tc>
          <w:tcPr>
            <w:tcW w:w="637" w:type="pct"/>
            <w:vAlign w:val="center"/>
          </w:tcPr>
          <w:p w14:paraId="522D231B">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甲醇罐区</w:t>
            </w:r>
          </w:p>
        </w:tc>
        <w:tc>
          <w:tcPr>
            <w:tcW w:w="505" w:type="pct"/>
            <w:vAlign w:val="center"/>
          </w:tcPr>
          <w:p w14:paraId="28A8AC89">
            <w:pPr>
              <w:spacing w:line="240" w:lineRule="auto"/>
              <w:jc w:val="center"/>
              <w:rPr>
                <w:rFonts w:cs="Times New Roman"/>
                <w:color w:val="0D0D0D" w:themeColor="text1" w:themeTint="F2"/>
                <w:sz w:val="21"/>
                <w:u w:val="single"/>
                <w:lang w:bidi="ar"/>
                <w14:textFill>
                  <w14:solidFill>
                    <w14:schemeClr w14:val="tx1">
                      <w14:lumMod w14:val="95000"/>
                      <w14:lumOff w14:val="5000"/>
                    </w14:schemeClr>
                  </w14:solidFill>
                </w14:textFill>
              </w:rPr>
            </w:pPr>
            <w:r>
              <w:rPr>
                <w:rFonts w:hint="eastAsia" w:cs="Times New Roman"/>
                <w:color w:val="0D0D0D" w:themeColor="text1" w:themeTint="F2"/>
                <w:sz w:val="21"/>
                <w:u w:val="single"/>
                <w:lang w:bidi="ar"/>
                <w14:textFill>
                  <w14:solidFill>
                    <w14:schemeClr w14:val="tx1">
                      <w14:lumMod w14:val="95000"/>
                      <w14:lumOff w14:val="5000"/>
                    </w14:schemeClr>
                  </w14:solidFill>
                </w14:textFill>
              </w:rPr>
              <w:t>甲醇</w:t>
            </w:r>
          </w:p>
        </w:tc>
        <w:tc>
          <w:tcPr>
            <w:tcW w:w="513" w:type="pct"/>
            <w:vAlign w:val="center"/>
          </w:tcPr>
          <w:p w14:paraId="69EFC28F">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w:t>
            </w:r>
          </w:p>
        </w:tc>
        <w:tc>
          <w:tcPr>
            <w:tcW w:w="1586" w:type="pct"/>
            <w:vMerge w:val="restart"/>
            <w:vAlign w:val="center"/>
          </w:tcPr>
          <w:p w14:paraId="2E07CA08">
            <w:pPr>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《石油炼制工业污染物排放标准》（GB31570-2015）</w:t>
            </w:r>
          </w:p>
        </w:tc>
        <w:tc>
          <w:tcPr>
            <w:tcW w:w="664" w:type="pct"/>
            <w:vAlign w:val="center"/>
          </w:tcPr>
          <w:p w14:paraId="7BDE65D3">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4.0</w:t>
            </w:r>
          </w:p>
        </w:tc>
        <w:tc>
          <w:tcPr>
            <w:tcW w:w="469" w:type="pct"/>
            <w:vAlign w:val="center"/>
          </w:tcPr>
          <w:p w14:paraId="1DF55673">
            <w:pPr>
              <w:spacing w:line="240" w:lineRule="auto"/>
              <w:jc w:val="center"/>
              <w:rPr>
                <w:color w:val="0D0D0D" w:themeColor="text1" w:themeTint="F2"/>
                <w:sz w:val="21"/>
                <w:u w:val="single"/>
                <w14:textFill>
                  <w14:solidFill>
                    <w14:schemeClr w14:val="tx1">
                      <w14:lumMod w14:val="95000"/>
                      <w14:lumOff w14:val="5000"/>
                    </w14:schemeClr>
                  </w14:solidFill>
                </w14:textFill>
              </w:rPr>
            </w:pPr>
          </w:p>
        </w:tc>
      </w:tr>
      <w:tr w14:paraId="2900D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Align w:val="center"/>
          </w:tcPr>
          <w:p w14:paraId="38A5A25B">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6</w:t>
            </w:r>
          </w:p>
        </w:tc>
        <w:tc>
          <w:tcPr>
            <w:tcW w:w="334" w:type="pct"/>
            <w:vAlign w:val="center"/>
          </w:tcPr>
          <w:p w14:paraId="455241EB">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w:t>
            </w:r>
          </w:p>
        </w:tc>
        <w:tc>
          <w:tcPr>
            <w:tcW w:w="637" w:type="pct"/>
            <w:vAlign w:val="center"/>
          </w:tcPr>
          <w:p w14:paraId="7FB7AB6F">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中转罐区</w:t>
            </w:r>
          </w:p>
        </w:tc>
        <w:tc>
          <w:tcPr>
            <w:tcW w:w="505" w:type="pct"/>
            <w:vAlign w:val="center"/>
          </w:tcPr>
          <w:p w14:paraId="4438C413">
            <w:pPr>
              <w:spacing w:line="240" w:lineRule="auto"/>
              <w:jc w:val="center"/>
              <w:rPr>
                <w:rFonts w:cs="Times New Roman"/>
                <w:color w:val="0D0D0D" w:themeColor="text1" w:themeTint="F2"/>
                <w:sz w:val="21"/>
                <w:u w:val="single"/>
                <w:lang w:bidi="ar"/>
                <w14:textFill>
                  <w14:solidFill>
                    <w14:schemeClr w14:val="tx1">
                      <w14:lumMod w14:val="95000"/>
                      <w14:lumOff w14:val="5000"/>
                    </w14:schemeClr>
                  </w14:solidFill>
                </w14:textFill>
              </w:rPr>
            </w:pPr>
            <w:r>
              <w:rPr>
                <w:rFonts w:hint="eastAsia" w:cs="Times New Roman"/>
                <w:color w:val="0D0D0D" w:themeColor="text1" w:themeTint="F2"/>
                <w:sz w:val="21"/>
                <w:u w:val="single"/>
                <w:lang w:bidi="ar"/>
                <w14:textFill>
                  <w14:solidFill>
                    <w14:schemeClr w14:val="tx1">
                      <w14:lumMod w14:val="95000"/>
                      <w14:lumOff w14:val="5000"/>
                    </w14:schemeClr>
                  </w14:solidFill>
                </w14:textFill>
              </w:rPr>
              <w:t>非甲烷总烃</w:t>
            </w:r>
          </w:p>
        </w:tc>
        <w:tc>
          <w:tcPr>
            <w:tcW w:w="513" w:type="pct"/>
            <w:vAlign w:val="center"/>
          </w:tcPr>
          <w:p w14:paraId="50C6E564">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w:t>
            </w:r>
          </w:p>
        </w:tc>
        <w:tc>
          <w:tcPr>
            <w:tcW w:w="1586" w:type="pct"/>
            <w:vMerge w:val="continue"/>
            <w:vAlign w:val="center"/>
          </w:tcPr>
          <w:p w14:paraId="795B1B05">
            <w:pPr>
              <w:spacing w:line="240" w:lineRule="auto"/>
              <w:ind w:firstLine="420"/>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664" w:type="pct"/>
            <w:vAlign w:val="center"/>
          </w:tcPr>
          <w:p w14:paraId="37288C06">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4.0</w:t>
            </w:r>
          </w:p>
        </w:tc>
        <w:tc>
          <w:tcPr>
            <w:tcW w:w="469" w:type="pct"/>
            <w:vAlign w:val="center"/>
          </w:tcPr>
          <w:p w14:paraId="299089BD">
            <w:pPr>
              <w:spacing w:line="240" w:lineRule="auto"/>
              <w:jc w:val="center"/>
              <w:rPr>
                <w:color w:val="0D0D0D" w:themeColor="text1" w:themeTint="F2"/>
                <w:sz w:val="21"/>
                <w:u w:val="single"/>
                <w14:textFill>
                  <w14:solidFill>
                    <w14:schemeClr w14:val="tx1">
                      <w14:lumMod w14:val="95000"/>
                      <w14:lumOff w14:val="5000"/>
                    </w14:schemeClr>
                  </w14:solidFill>
                </w14:textFill>
              </w:rPr>
            </w:pPr>
          </w:p>
        </w:tc>
      </w:tr>
      <w:tr w14:paraId="04BD1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vAlign w:val="center"/>
          </w:tcPr>
          <w:p w14:paraId="0121358A">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7</w:t>
            </w:r>
          </w:p>
        </w:tc>
        <w:tc>
          <w:tcPr>
            <w:tcW w:w="334" w:type="pct"/>
            <w:vAlign w:val="center"/>
          </w:tcPr>
          <w:p w14:paraId="720F9BF0">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w:t>
            </w:r>
          </w:p>
        </w:tc>
        <w:tc>
          <w:tcPr>
            <w:tcW w:w="637" w:type="pct"/>
            <w:vAlign w:val="center"/>
          </w:tcPr>
          <w:p w14:paraId="5BDE37DB">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生物柴油和废弃油脂罐区</w:t>
            </w:r>
          </w:p>
        </w:tc>
        <w:tc>
          <w:tcPr>
            <w:tcW w:w="505" w:type="pct"/>
            <w:vAlign w:val="center"/>
          </w:tcPr>
          <w:p w14:paraId="7711A0B3">
            <w:pPr>
              <w:spacing w:line="240" w:lineRule="auto"/>
              <w:jc w:val="center"/>
              <w:rPr>
                <w:rFonts w:cs="Times New Roman"/>
                <w:color w:val="0D0D0D" w:themeColor="text1" w:themeTint="F2"/>
                <w:sz w:val="21"/>
                <w:u w:val="single"/>
                <w:lang w:bidi="ar"/>
                <w14:textFill>
                  <w14:solidFill>
                    <w14:schemeClr w14:val="tx1">
                      <w14:lumMod w14:val="95000"/>
                      <w14:lumOff w14:val="5000"/>
                    </w14:schemeClr>
                  </w14:solidFill>
                </w14:textFill>
              </w:rPr>
            </w:pPr>
            <w:r>
              <w:rPr>
                <w:rFonts w:hint="eastAsia" w:cs="Times New Roman"/>
                <w:color w:val="0D0D0D" w:themeColor="text1" w:themeTint="F2"/>
                <w:sz w:val="21"/>
                <w:u w:val="single"/>
                <w:lang w:bidi="ar"/>
                <w14:textFill>
                  <w14:solidFill>
                    <w14:schemeClr w14:val="tx1">
                      <w14:lumMod w14:val="95000"/>
                      <w14:lumOff w14:val="5000"/>
                    </w14:schemeClr>
                  </w14:solidFill>
                </w14:textFill>
              </w:rPr>
              <w:t>非甲烷总烃</w:t>
            </w:r>
          </w:p>
        </w:tc>
        <w:tc>
          <w:tcPr>
            <w:tcW w:w="513" w:type="pct"/>
            <w:vAlign w:val="center"/>
          </w:tcPr>
          <w:p w14:paraId="7A4EF28D">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w:t>
            </w:r>
          </w:p>
        </w:tc>
        <w:tc>
          <w:tcPr>
            <w:tcW w:w="1586" w:type="pct"/>
            <w:vMerge w:val="continue"/>
            <w:vAlign w:val="center"/>
          </w:tcPr>
          <w:p w14:paraId="41BC116B">
            <w:pPr>
              <w:spacing w:line="240" w:lineRule="auto"/>
              <w:ind w:firstLine="420"/>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664" w:type="pct"/>
            <w:vAlign w:val="center"/>
          </w:tcPr>
          <w:p w14:paraId="66F51BFF">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4.0</w:t>
            </w:r>
          </w:p>
        </w:tc>
        <w:tc>
          <w:tcPr>
            <w:tcW w:w="469" w:type="pct"/>
            <w:vAlign w:val="center"/>
          </w:tcPr>
          <w:p w14:paraId="643FF594">
            <w:pPr>
              <w:spacing w:line="240" w:lineRule="auto"/>
              <w:jc w:val="center"/>
              <w:rPr>
                <w:color w:val="0D0D0D" w:themeColor="text1" w:themeTint="F2"/>
                <w:sz w:val="21"/>
                <w:u w:val="single"/>
                <w14:textFill>
                  <w14:solidFill>
                    <w14:schemeClr w14:val="tx1">
                      <w14:lumMod w14:val="95000"/>
                      <w14:lumOff w14:val="5000"/>
                    </w14:schemeClr>
                  </w14:solidFill>
                </w14:textFill>
              </w:rPr>
            </w:pPr>
          </w:p>
        </w:tc>
      </w:tr>
      <w:tr w14:paraId="30C0A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8"/>
            <w:vAlign w:val="center"/>
          </w:tcPr>
          <w:p w14:paraId="0CC305C2">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无组织排放总计</w:t>
            </w:r>
            <w:r>
              <w:rPr>
                <w:rFonts w:hint="eastAsia" w:cs="Times New Roman"/>
                <w:color w:val="0D0D0D" w:themeColor="text1" w:themeTint="F2"/>
                <w:sz w:val="21"/>
                <w:u w:val="single"/>
                <w14:textFill>
                  <w14:solidFill>
                    <w14:schemeClr w14:val="tx1">
                      <w14:lumMod w14:val="95000"/>
                      <w14:lumOff w14:val="5000"/>
                    </w14:schemeClr>
                  </w14:solidFill>
                </w14:textFill>
              </w:rPr>
              <w:t>（t/a）</w:t>
            </w:r>
          </w:p>
        </w:tc>
      </w:tr>
      <w:tr w14:paraId="5FC08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6" w:type="pct"/>
            <w:gridSpan w:val="2"/>
            <w:vMerge w:val="restart"/>
            <w:vAlign w:val="center"/>
          </w:tcPr>
          <w:p w14:paraId="3D306C36">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无组织排放总计</w:t>
            </w:r>
          </w:p>
        </w:tc>
        <w:tc>
          <w:tcPr>
            <w:tcW w:w="1655" w:type="pct"/>
            <w:gridSpan w:val="3"/>
            <w:vAlign w:val="center"/>
          </w:tcPr>
          <w:p w14:paraId="05B42F42">
            <w:pPr>
              <w:autoSpaceDE w:val="0"/>
              <w:autoSpaceDN w:val="0"/>
              <w:adjustRightInd w:val="0"/>
              <w:spacing w:line="240" w:lineRule="auto"/>
              <w:jc w:val="center"/>
              <w:rPr>
                <w:rFonts w:cs="Times New Roman"/>
                <w:color w:val="0D0D0D" w:themeColor="text1" w:themeTint="F2"/>
                <w:sz w:val="21"/>
                <w:u w:val="single"/>
                <w:lang w:bidi="ar"/>
                <w14:textFill>
                  <w14:solidFill>
                    <w14:schemeClr w14:val="tx1">
                      <w14:lumMod w14:val="95000"/>
                      <w14:lumOff w14:val="5000"/>
                    </w14:schemeClr>
                  </w14:solidFill>
                </w14:textFill>
              </w:rPr>
            </w:pPr>
            <w:r>
              <w:rPr>
                <w:rFonts w:hint="eastAsia" w:cs="Times New Roman"/>
                <w:color w:val="0D0D0D" w:themeColor="text1" w:themeTint="F2"/>
                <w:sz w:val="21"/>
                <w:u w:val="single"/>
                <w:lang w:bidi="ar"/>
                <w14:textFill>
                  <w14:solidFill>
                    <w14:schemeClr w14:val="tx1">
                      <w14:lumMod w14:val="95000"/>
                      <w14:lumOff w14:val="5000"/>
                    </w14:schemeClr>
                  </w14:solidFill>
                </w14:textFill>
              </w:rPr>
              <w:t>颗粒物</w:t>
            </w:r>
          </w:p>
        </w:tc>
        <w:tc>
          <w:tcPr>
            <w:tcW w:w="2719" w:type="pct"/>
            <w:gridSpan w:val="3"/>
            <w:vAlign w:val="center"/>
          </w:tcPr>
          <w:p w14:paraId="6C85B012">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r>
      <w:tr w14:paraId="42C17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6" w:type="pct"/>
            <w:gridSpan w:val="2"/>
            <w:vMerge w:val="continue"/>
            <w:vAlign w:val="center"/>
          </w:tcPr>
          <w:p w14:paraId="68FE4E34">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1655" w:type="pct"/>
            <w:gridSpan w:val="3"/>
            <w:vAlign w:val="center"/>
          </w:tcPr>
          <w:p w14:paraId="7F0B1F24">
            <w:pPr>
              <w:autoSpaceDE w:val="0"/>
              <w:autoSpaceDN w:val="0"/>
              <w:adjustRightInd w:val="0"/>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lang w:bidi="ar"/>
                <w14:textFill>
                  <w14:solidFill>
                    <w14:schemeClr w14:val="tx1">
                      <w14:lumMod w14:val="95000"/>
                      <w14:lumOff w14:val="5000"/>
                    </w14:schemeClr>
                  </w14:solidFill>
                </w14:textFill>
              </w:rPr>
              <w:t>NH</w:t>
            </w:r>
            <w:r>
              <w:rPr>
                <w:rFonts w:cs="Times New Roman"/>
                <w:color w:val="0D0D0D" w:themeColor="text1" w:themeTint="F2"/>
                <w:sz w:val="21"/>
                <w:u w:val="single"/>
                <w:vertAlign w:val="subscript"/>
                <w:lang w:bidi="ar"/>
                <w14:textFill>
                  <w14:solidFill>
                    <w14:schemeClr w14:val="tx1">
                      <w14:lumMod w14:val="95000"/>
                      <w14:lumOff w14:val="5000"/>
                    </w14:schemeClr>
                  </w14:solidFill>
                </w14:textFill>
              </w:rPr>
              <w:t>3</w:t>
            </w:r>
          </w:p>
        </w:tc>
        <w:tc>
          <w:tcPr>
            <w:tcW w:w="2719" w:type="pct"/>
            <w:gridSpan w:val="3"/>
            <w:vAlign w:val="center"/>
          </w:tcPr>
          <w:p w14:paraId="68B6AAC0">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r>
      <w:tr w14:paraId="70293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6" w:type="pct"/>
            <w:gridSpan w:val="2"/>
            <w:vMerge w:val="continue"/>
            <w:vAlign w:val="center"/>
          </w:tcPr>
          <w:p w14:paraId="14477BCD">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1655" w:type="pct"/>
            <w:gridSpan w:val="3"/>
            <w:vAlign w:val="center"/>
          </w:tcPr>
          <w:p w14:paraId="15651BB3">
            <w:pPr>
              <w:autoSpaceDE w:val="0"/>
              <w:autoSpaceDN w:val="0"/>
              <w:adjustRightInd w:val="0"/>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lang w:bidi="ar"/>
                <w14:textFill>
                  <w14:solidFill>
                    <w14:schemeClr w14:val="tx1">
                      <w14:lumMod w14:val="95000"/>
                      <w14:lumOff w14:val="5000"/>
                    </w14:schemeClr>
                  </w14:solidFill>
                </w14:textFill>
              </w:rPr>
              <w:t>H</w:t>
            </w:r>
            <w:r>
              <w:rPr>
                <w:rFonts w:cs="Times New Roman"/>
                <w:color w:val="0D0D0D" w:themeColor="text1" w:themeTint="F2"/>
                <w:sz w:val="21"/>
                <w:u w:val="single"/>
                <w:vertAlign w:val="subscript"/>
                <w:lang w:bidi="ar"/>
                <w14:textFill>
                  <w14:solidFill>
                    <w14:schemeClr w14:val="tx1">
                      <w14:lumMod w14:val="95000"/>
                      <w14:lumOff w14:val="5000"/>
                    </w14:schemeClr>
                  </w14:solidFill>
                </w14:textFill>
              </w:rPr>
              <w:t>2</w:t>
            </w:r>
            <w:r>
              <w:rPr>
                <w:rFonts w:cs="Times New Roman"/>
                <w:color w:val="0D0D0D" w:themeColor="text1" w:themeTint="F2"/>
                <w:sz w:val="21"/>
                <w:u w:val="single"/>
                <w:lang w:bidi="ar"/>
                <w14:textFill>
                  <w14:solidFill>
                    <w14:schemeClr w14:val="tx1">
                      <w14:lumMod w14:val="95000"/>
                      <w14:lumOff w14:val="5000"/>
                    </w14:schemeClr>
                  </w14:solidFill>
                </w14:textFill>
              </w:rPr>
              <w:t>S</w:t>
            </w:r>
          </w:p>
        </w:tc>
        <w:tc>
          <w:tcPr>
            <w:tcW w:w="2719" w:type="pct"/>
            <w:gridSpan w:val="3"/>
            <w:vAlign w:val="center"/>
          </w:tcPr>
          <w:p w14:paraId="62E46CA7">
            <w:pPr>
              <w:widowControl/>
              <w:spacing w:line="240" w:lineRule="auto"/>
              <w:jc w:val="center"/>
              <w:textAlignment w:val="center"/>
              <w:rPr>
                <w:rFonts w:cs="Times New Roman"/>
                <w:color w:val="0D0D0D" w:themeColor="text1" w:themeTint="F2"/>
                <w:sz w:val="21"/>
                <w:u w:val="single"/>
                <w14:textFill>
                  <w14:solidFill>
                    <w14:schemeClr w14:val="tx1">
                      <w14:lumMod w14:val="95000"/>
                      <w14:lumOff w14:val="5000"/>
                    </w14:schemeClr>
                  </w14:solidFill>
                </w14:textFill>
              </w:rPr>
            </w:pPr>
          </w:p>
        </w:tc>
      </w:tr>
      <w:tr w14:paraId="5245A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6" w:type="pct"/>
            <w:gridSpan w:val="2"/>
            <w:vMerge w:val="continue"/>
            <w:vAlign w:val="center"/>
          </w:tcPr>
          <w:p w14:paraId="320B63B8">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1655" w:type="pct"/>
            <w:gridSpan w:val="3"/>
            <w:vAlign w:val="center"/>
          </w:tcPr>
          <w:p w14:paraId="79FD4841">
            <w:pPr>
              <w:autoSpaceDE w:val="0"/>
              <w:autoSpaceDN w:val="0"/>
              <w:adjustRightInd w:val="0"/>
              <w:spacing w:line="240" w:lineRule="auto"/>
              <w:jc w:val="center"/>
              <w:rPr>
                <w:rFonts w:cs="Times New Roman"/>
                <w:color w:val="0D0D0D" w:themeColor="text1" w:themeTint="F2"/>
                <w:sz w:val="21"/>
                <w:u w:val="single"/>
                <w:lang w:bidi="ar"/>
                <w14:textFill>
                  <w14:solidFill>
                    <w14:schemeClr w14:val="tx1">
                      <w14:lumMod w14:val="95000"/>
                      <w14:lumOff w14:val="5000"/>
                    </w14:schemeClr>
                  </w14:solidFill>
                </w14:textFill>
              </w:rPr>
            </w:pPr>
            <w:r>
              <w:rPr>
                <w:rFonts w:hint="eastAsia" w:cs="Times New Roman"/>
                <w:color w:val="0D0D0D" w:themeColor="text1" w:themeTint="F2"/>
                <w:sz w:val="21"/>
                <w:u w:val="single"/>
                <w:lang w:bidi="ar"/>
                <w14:textFill>
                  <w14:solidFill>
                    <w14:schemeClr w14:val="tx1">
                      <w14:lumMod w14:val="95000"/>
                      <w14:lumOff w14:val="5000"/>
                    </w14:schemeClr>
                  </w14:solidFill>
                </w14:textFill>
              </w:rPr>
              <w:t>甲醇</w:t>
            </w:r>
          </w:p>
        </w:tc>
        <w:tc>
          <w:tcPr>
            <w:tcW w:w="2719" w:type="pct"/>
            <w:gridSpan w:val="3"/>
            <w:vAlign w:val="center"/>
          </w:tcPr>
          <w:p w14:paraId="04C9F195">
            <w:pPr>
              <w:widowControl/>
              <w:spacing w:line="240" w:lineRule="auto"/>
              <w:jc w:val="center"/>
              <w:textAlignment w:val="center"/>
              <w:rPr>
                <w:rFonts w:cs="Times New Roman"/>
                <w:color w:val="0D0D0D" w:themeColor="text1" w:themeTint="F2"/>
                <w:sz w:val="21"/>
                <w:u w:val="single"/>
                <w14:textFill>
                  <w14:solidFill>
                    <w14:schemeClr w14:val="tx1">
                      <w14:lumMod w14:val="95000"/>
                      <w14:lumOff w14:val="5000"/>
                    </w14:schemeClr>
                  </w14:solidFill>
                </w14:textFill>
              </w:rPr>
            </w:pPr>
          </w:p>
        </w:tc>
      </w:tr>
      <w:tr w14:paraId="5EE4E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6" w:type="pct"/>
            <w:gridSpan w:val="2"/>
            <w:vMerge w:val="continue"/>
            <w:vAlign w:val="center"/>
          </w:tcPr>
          <w:p w14:paraId="7AF946B4">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1655" w:type="pct"/>
            <w:gridSpan w:val="3"/>
            <w:vAlign w:val="center"/>
          </w:tcPr>
          <w:p w14:paraId="481A639F">
            <w:pPr>
              <w:autoSpaceDE w:val="0"/>
              <w:autoSpaceDN w:val="0"/>
              <w:adjustRightInd w:val="0"/>
              <w:spacing w:line="240" w:lineRule="auto"/>
              <w:jc w:val="center"/>
              <w:rPr>
                <w:rFonts w:cs="Times New Roman"/>
                <w:color w:val="0D0D0D" w:themeColor="text1" w:themeTint="F2"/>
                <w:sz w:val="21"/>
                <w:u w:val="single"/>
                <w:lang w:bidi="ar"/>
                <w14:textFill>
                  <w14:solidFill>
                    <w14:schemeClr w14:val="tx1">
                      <w14:lumMod w14:val="95000"/>
                      <w14:lumOff w14:val="5000"/>
                    </w14:schemeClr>
                  </w14:solidFill>
                </w14:textFill>
              </w:rPr>
            </w:pPr>
            <w:r>
              <w:rPr>
                <w:rFonts w:hint="eastAsia" w:cs="Times New Roman"/>
                <w:color w:val="0D0D0D" w:themeColor="text1" w:themeTint="F2"/>
                <w:sz w:val="21"/>
                <w:u w:val="single"/>
                <w:lang w:bidi="ar"/>
                <w14:textFill>
                  <w14:solidFill>
                    <w14:schemeClr w14:val="tx1">
                      <w14:lumMod w14:val="95000"/>
                      <w14:lumOff w14:val="5000"/>
                    </w14:schemeClr>
                  </w14:solidFill>
                </w14:textFill>
              </w:rPr>
              <w:t>非甲烷总烃</w:t>
            </w:r>
          </w:p>
        </w:tc>
        <w:tc>
          <w:tcPr>
            <w:tcW w:w="2719" w:type="pct"/>
            <w:gridSpan w:val="3"/>
            <w:vAlign w:val="center"/>
          </w:tcPr>
          <w:p w14:paraId="376CAAE5">
            <w:pPr>
              <w:widowControl/>
              <w:spacing w:line="240" w:lineRule="auto"/>
              <w:jc w:val="center"/>
              <w:textAlignment w:val="center"/>
              <w:rPr>
                <w:rFonts w:cs="Times New Roman"/>
                <w:color w:val="0D0D0D" w:themeColor="text1" w:themeTint="F2"/>
                <w:sz w:val="21"/>
                <w:u w:val="single"/>
                <w14:textFill>
                  <w14:solidFill>
                    <w14:schemeClr w14:val="tx1">
                      <w14:lumMod w14:val="95000"/>
                      <w14:lumOff w14:val="5000"/>
                    </w14:schemeClr>
                  </w14:solidFill>
                </w14:textFill>
              </w:rPr>
            </w:pPr>
          </w:p>
        </w:tc>
      </w:tr>
    </w:tbl>
    <w:p w14:paraId="27DF7DED">
      <w:pPr>
        <w:pStyle w:val="11"/>
      </w:pPr>
      <w:r>
        <w:rPr>
          <w:rFonts w:hint="eastAsia"/>
        </w:rPr>
        <w:t xml:space="preserve"> </w:t>
      </w:r>
      <w:r>
        <w:t>大气污染物年排放量核算表（正常排放）</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2"/>
        <w:gridCol w:w="1289"/>
        <w:gridCol w:w="2579"/>
        <w:gridCol w:w="2579"/>
        <w:gridCol w:w="2067"/>
      </w:tblGrid>
      <w:tr w14:paraId="0107B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9" w:type="pct"/>
            <w:vMerge w:val="restart"/>
            <w:vAlign w:val="center"/>
          </w:tcPr>
          <w:p w14:paraId="43EEB8DA">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cs="Times New Roman"/>
                <w:bCs/>
                <w:color w:val="0D0D0D" w:themeColor="text1" w:themeTint="F2"/>
                <w:spacing w:val="12"/>
                <w:sz w:val="21"/>
                <w:szCs w:val="21"/>
                <w14:textFill>
                  <w14:solidFill>
                    <w14:schemeClr w14:val="tx1">
                      <w14:lumMod w14:val="95000"/>
                      <w14:lumOff w14:val="5000"/>
                    </w14:schemeClr>
                  </w14:solidFill>
                </w14:textFill>
              </w:rPr>
              <w:t>序号</w:t>
            </w:r>
          </w:p>
        </w:tc>
        <w:tc>
          <w:tcPr>
            <w:tcW w:w="713" w:type="pct"/>
            <w:vMerge w:val="restart"/>
            <w:vAlign w:val="center"/>
          </w:tcPr>
          <w:p w14:paraId="38364F2C">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cs="Times New Roman"/>
                <w:bCs/>
                <w:color w:val="0D0D0D" w:themeColor="text1" w:themeTint="F2"/>
                <w:spacing w:val="12"/>
                <w:sz w:val="21"/>
                <w:szCs w:val="21"/>
                <w14:textFill>
                  <w14:solidFill>
                    <w14:schemeClr w14:val="tx1">
                      <w14:lumMod w14:val="95000"/>
                      <w14:lumOff w14:val="5000"/>
                    </w14:schemeClr>
                  </w14:solidFill>
                </w14:textFill>
              </w:rPr>
              <w:t>污染物</w:t>
            </w:r>
          </w:p>
        </w:tc>
        <w:tc>
          <w:tcPr>
            <w:tcW w:w="3998" w:type="pct"/>
            <w:gridSpan w:val="3"/>
            <w:vAlign w:val="center"/>
          </w:tcPr>
          <w:p w14:paraId="16882BDF">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cs="Times New Roman"/>
                <w:bCs/>
                <w:color w:val="0D0D0D" w:themeColor="text1" w:themeTint="F2"/>
                <w:spacing w:val="12"/>
                <w:sz w:val="21"/>
                <w:szCs w:val="21"/>
                <w14:textFill>
                  <w14:solidFill>
                    <w14:schemeClr w14:val="tx1">
                      <w14:lumMod w14:val="95000"/>
                      <w14:lumOff w14:val="5000"/>
                    </w14:schemeClr>
                  </w14:solidFill>
                </w14:textFill>
              </w:rPr>
              <w:t>总的排放量</w:t>
            </w:r>
          </w:p>
        </w:tc>
      </w:tr>
      <w:tr w14:paraId="34FBE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9" w:type="pct"/>
            <w:vMerge w:val="continue"/>
            <w:vAlign w:val="center"/>
          </w:tcPr>
          <w:p w14:paraId="20311F44">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p>
        </w:tc>
        <w:tc>
          <w:tcPr>
            <w:tcW w:w="713" w:type="pct"/>
            <w:vMerge w:val="continue"/>
            <w:vAlign w:val="center"/>
          </w:tcPr>
          <w:p w14:paraId="17893EC9">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p>
        </w:tc>
        <w:tc>
          <w:tcPr>
            <w:tcW w:w="1427" w:type="pct"/>
            <w:vAlign w:val="center"/>
          </w:tcPr>
          <w:p w14:paraId="073A6427">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cs="Times New Roman"/>
                <w:bCs/>
                <w:color w:val="0D0D0D" w:themeColor="text1" w:themeTint="F2"/>
                <w:spacing w:val="12"/>
                <w:sz w:val="21"/>
                <w:szCs w:val="21"/>
                <w14:textFill>
                  <w14:solidFill>
                    <w14:schemeClr w14:val="tx1">
                      <w14:lumMod w14:val="95000"/>
                      <w14:lumOff w14:val="5000"/>
                    </w14:schemeClr>
                  </w14:solidFill>
                </w14:textFill>
              </w:rPr>
              <w:t>有组织年排放量（t/a）</w:t>
            </w:r>
          </w:p>
        </w:tc>
        <w:tc>
          <w:tcPr>
            <w:tcW w:w="1427" w:type="pct"/>
            <w:vAlign w:val="center"/>
          </w:tcPr>
          <w:p w14:paraId="6620CDB2">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cs="Times New Roman"/>
                <w:bCs/>
                <w:color w:val="0D0D0D" w:themeColor="text1" w:themeTint="F2"/>
                <w:spacing w:val="12"/>
                <w:sz w:val="21"/>
                <w:szCs w:val="21"/>
                <w14:textFill>
                  <w14:solidFill>
                    <w14:schemeClr w14:val="tx1">
                      <w14:lumMod w14:val="95000"/>
                      <w14:lumOff w14:val="5000"/>
                    </w14:schemeClr>
                  </w14:solidFill>
                </w14:textFill>
              </w:rPr>
              <w:t>无组织年排放量（t/a）</w:t>
            </w:r>
          </w:p>
        </w:tc>
        <w:tc>
          <w:tcPr>
            <w:tcW w:w="1144" w:type="pct"/>
            <w:vAlign w:val="center"/>
          </w:tcPr>
          <w:p w14:paraId="13801D97">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cs="Times New Roman"/>
                <w:bCs/>
                <w:color w:val="0D0D0D" w:themeColor="text1" w:themeTint="F2"/>
                <w:spacing w:val="12"/>
                <w:sz w:val="21"/>
                <w:szCs w:val="21"/>
                <w14:textFill>
                  <w14:solidFill>
                    <w14:schemeClr w14:val="tx1">
                      <w14:lumMod w14:val="95000"/>
                      <w14:lumOff w14:val="5000"/>
                    </w14:schemeClr>
                  </w14:solidFill>
                </w14:textFill>
              </w:rPr>
              <w:t>总年排放量（t/a）</w:t>
            </w:r>
          </w:p>
        </w:tc>
      </w:tr>
      <w:tr w14:paraId="7004D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9" w:type="pct"/>
            <w:vAlign w:val="center"/>
          </w:tcPr>
          <w:p w14:paraId="5F6B442A">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1</w:t>
            </w:r>
          </w:p>
        </w:tc>
        <w:tc>
          <w:tcPr>
            <w:tcW w:w="713" w:type="pct"/>
            <w:vAlign w:val="center"/>
          </w:tcPr>
          <w:p w14:paraId="3122D6A0">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SO</w:t>
            </w:r>
            <w:r>
              <w:rPr>
                <w:rFonts w:hint="eastAsia" w:cs="Times New Roman"/>
                <w:bCs/>
                <w:color w:val="0D0D0D" w:themeColor="text1" w:themeTint="F2"/>
                <w:spacing w:val="12"/>
                <w:sz w:val="21"/>
                <w:szCs w:val="21"/>
                <w:vertAlign w:val="subscript"/>
                <w14:textFill>
                  <w14:solidFill>
                    <w14:schemeClr w14:val="tx1">
                      <w14:lumMod w14:val="95000"/>
                      <w14:lumOff w14:val="5000"/>
                    </w14:schemeClr>
                  </w14:solidFill>
                </w14:textFill>
              </w:rPr>
              <w:t>2</w:t>
            </w:r>
          </w:p>
        </w:tc>
        <w:tc>
          <w:tcPr>
            <w:tcW w:w="1427" w:type="pct"/>
            <w:vAlign w:val="center"/>
          </w:tcPr>
          <w:p w14:paraId="20908A06">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p>
        </w:tc>
        <w:tc>
          <w:tcPr>
            <w:tcW w:w="1427" w:type="pct"/>
            <w:vAlign w:val="center"/>
          </w:tcPr>
          <w:p w14:paraId="640BD01C">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p>
        </w:tc>
        <w:tc>
          <w:tcPr>
            <w:tcW w:w="1144" w:type="pct"/>
            <w:vAlign w:val="center"/>
          </w:tcPr>
          <w:p w14:paraId="343BAA66">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p>
        </w:tc>
      </w:tr>
      <w:tr w14:paraId="1B84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9" w:type="pct"/>
            <w:vAlign w:val="center"/>
          </w:tcPr>
          <w:p w14:paraId="135ACB6A">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2</w:t>
            </w:r>
          </w:p>
        </w:tc>
        <w:tc>
          <w:tcPr>
            <w:tcW w:w="713" w:type="pct"/>
            <w:vAlign w:val="center"/>
          </w:tcPr>
          <w:p w14:paraId="1D3A604D">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NOx</w:t>
            </w:r>
          </w:p>
        </w:tc>
        <w:tc>
          <w:tcPr>
            <w:tcW w:w="1427" w:type="pct"/>
            <w:vAlign w:val="center"/>
          </w:tcPr>
          <w:p w14:paraId="638D25B0">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p>
        </w:tc>
        <w:tc>
          <w:tcPr>
            <w:tcW w:w="1427" w:type="pct"/>
            <w:vAlign w:val="center"/>
          </w:tcPr>
          <w:p w14:paraId="38EBC839">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p>
        </w:tc>
        <w:tc>
          <w:tcPr>
            <w:tcW w:w="1144" w:type="pct"/>
            <w:vAlign w:val="center"/>
          </w:tcPr>
          <w:p w14:paraId="486D1324">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p>
        </w:tc>
      </w:tr>
      <w:tr w14:paraId="3A6CF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9" w:type="pct"/>
            <w:vAlign w:val="center"/>
          </w:tcPr>
          <w:p w14:paraId="0C2F8C5A">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3</w:t>
            </w:r>
          </w:p>
        </w:tc>
        <w:tc>
          <w:tcPr>
            <w:tcW w:w="713" w:type="pct"/>
            <w:vAlign w:val="center"/>
          </w:tcPr>
          <w:p w14:paraId="17281D1C">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颗粒物</w:t>
            </w:r>
          </w:p>
        </w:tc>
        <w:tc>
          <w:tcPr>
            <w:tcW w:w="1427" w:type="pct"/>
            <w:vAlign w:val="center"/>
          </w:tcPr>
          <w:p w14:paraId="78F1686D">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p>
        </w:tc>
        <w:tc>
          <w:tcPr>
            <w:tcW w:w="1427" w:type="pct"/>
            <w:vAlign w:val="center"/>
          </w:tcPr>
          <w:p w14:paraId="604012B5">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p>
        </w:tc>
        <w:tc>
          <w:tcPr>
            <w:tcW w:w="1144" w:type="pct"/>
            <w:vAlign w:val="center"/>
          </w:tcPr>
          <w:p w14:paraId="151AA65D">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p>
        </w:tc>
      </w:tr>
      <w:tr w14:paraId="164D3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9" w:type="pct"/>
            <w:vAlign w:val="center"/>
          </w:tcPr>
          <w:p w14:paraId="1CE0CAAC">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4</w:t>
            </w:r>
          </w:p>
        </w:tc>
        <w:tc>
          <w:tcPr>
            <w:tcW w:w="713" w:type="pct"/>
            <w:vAlign w:val="center"/>
          </w:tcPr>
          <w:p w14:paraId="76CBF5F5">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非甲烷总烃</w:t>
            </w:r>
          </w:p>
        </w:tc>
        <w:tc>
          <w:tcPr>
            <w:tcW w:w="1427" w:type="pct"/>
            <w:vAlign w:val="center"/>
          </w:tcPr>
          <w:p w14:paraId="09A7B12B">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p>
        </w:tc>
        <w:tc>
          <w:tcPr>
            <w:tcW w:w="1427" w:type="pct"/>
            <w:vAlign w:val="center"/>
          </w:tcPr>
          <w:p w14:paraId="01446729">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p>
        </w:tc>
        <w:tc>
          <w:tcPr>
            <w:tcW w:w="1144" w:type="pct"/>
            <w:vAlign w:val="center"/>
          </w:tcPr>
          <w:p w14:paraId="38364DA3">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p>
        </w:tc>
      </w:tr>
      <w:tr w14:paraId="71184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9" w:type="pct"/>
            <w:vAlign w:val="center"/>
          </w:tcPr>
          <w:p w14:paraId="659C4229">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5</w:t>
            </w:r>
          </w:p>
        </w:tc>
        <w:tc>
          <w:tcPr>
            <w:tcW w:w="713" w:type="pct"/>
            <w:vAlign w:val="center"/>
          </w:tcPr>
          <w:p w14:paraId="36A30193">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甲醇</w:t>
            </w:r>
          </w:p>
        </w:tc>
        <w:tc>
          <w:tcPr>
            <w:tcW w:w="1427" w:type="pct"/>
            <w:vAlign w:val="center"/>
          </w:tcPr>
          <w:p w14:paraId="268046B6">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p>
        </w:tc>
        <w:tc>
          <w:tcPr>
            <w:tcW w:w="1427" w:type="pct"/>
            <w:vAlign w:val="center"/>
          </w:tcPr>
          <w:p w14:paraId="22257395">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p>
        </w:tc>
        <w:tc>
          <w:tcPr>
            <w:tcW w:w="1144" w:type="pct"/>
            <w:vAlign w:val="center"/>
          </w:tcPr>
          <w:p w14:paraId="11CFEF34">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p>
        </w:tc>
      </w:tr>
      <w:tr w14:paraId="01B25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9" w:type="pct"/>
            <w:vAlign w:val="center"/>
          </w:tcPr>
          <w:p w14:paraId="3EA5E932">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6</w:t>
            </w:r>
          </w:p>
        </w:tc>
        <w:tc>
          <w:tcPr>
            <w:tcW w:w="713" w:type="pct"/>
            <w:vAlign w:val="center"/>
          </w:tcPr>
          <w:p w14:paraId="7DEFFF79">
            <w:pPr>
              <w:spacing w:line="240" w:lineRule="auto"/>
              <w:jc w:val="center"/>
              <w:rPr>
                <w:rFonts w:cs="Times New Roman"/>
                <w:color w:val="0D0D0D" w:themeColor="text1" w:themeTint="F2"/>
                <w:spacing w:val="1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NH</w:t>
            </w:r>
            <w:r>
              <w:rPr>
                <w:rFonts w:hint="eastAsia" w:cs="Times New Roman"/>
                <w:color w:val="0D0D0D" w:themeColor="text1" w:themeTint="F2"/>
                <w:sz w:val="21"/>
                <w:szCs w:val="21"/>
                <w:vertAlign w:val="subscript"/>
                <w14:textFill>
                  <w14:solidFill>
                    <w14:schemeClr w14:val="tx1">
                      <w14:lumMod w14:val="95000"/>
                      <w14:lumOff w14:val="5000"/>
                    </w14:schemeClr>
                  </w14:solidFill>
                </w14:textFill>
              </w:rPr>
              <w:t>3</w:t>
            </w:r>
          </w:p>
        </w:tc>
        <w:tc>
          <w:tcPr>
            <w:tcW w:w="1427" w:type="pct"/>
            <w:vAlign w:val="center"/>
          </w:tcPr>
          <w:p w14:paraId="7B28BCC4">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p>
        </w:tc>
        <w:tc>
          <w:tcPr>
            <w:tcW w:w="1427" w:type="pct"/>
            <w:vAlign w:val="center"/>
          </w:tcPr>
          <w:p w14:paraId="64DE9620">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p>
        </w:tc>
        <w:tc>
          <w:tcPr>
            <w:tcW w:w="1144" w:type="pct"/>
            <w:vAlign w:val="center"/>
          </w:tcPr>
          <w:p w14:paraId="4A322B42">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p>
        </w:tc>
      </w:tr>
      <w:tr w14:paraId="2661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9" w:type="pct"/>
            <w:vAlign w:val="center"/>
          </w:tcPr>
          <w:p w14:paraId="30C544F0">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7</w:t>
            </w:r>
          </w:p>
        </w:tc>
        <w:tc>
          <w:tcPr>
            <w:tcW w:w="713" w:type="pct"/>
            <w:vAlign w:val="center"/>
          </w:tcPr>
          <w:p w14:paraId="1AF27A04">
            <w:pPr>
              <w:spacing w:line="240" w:lineRule="auto"/>
              <w:jc w:val="center"/>
              <w:rPr>
                <w:rFonts w:cs="Times New Roman"/>
                <w:color w:val="0D0D0D" w:themeColor="text1" w:themeTint="F2"/>
                <w:spacing w:val="1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H</w:t>
            </w:r>
            <w:r>
              <w:rPr>
                <w:rFonts w:hint="eastAsia" w:cs="Times New Roman"/>
                <w:color w:val="0D0D0D" w:themeColor="text1" w:themeTint="F2"/>
                <w:sz w:val="21"/>
                <w:szCs w:val="21"/>
                <w:vertAlign w:val="subscript"/>
                <w14:textFill>
                  <w14:solidFill>
                    <w14:schemeClr w14:val="tx1">
                      <w14:lumMod w14:val="95000"/>
                      <w14:lumOff w14:val="5000"/>
                    </w14:schemeClr>
                  </w14:solidFill>
                </w14:textFill>
              </w:rPr>
              <w:t>2</w:t>
            </w:r>
            <w:r>
              <w:rPr>
                <w:rFonts w:hint="eastAsia" w:cs="Times New Roman"/>
                <w:color w:val="0D0D0D" w:themeColor="text1" w:themeTint="F2"/>
                <w:sz w:val="21"/>
                <w:szCs w:val="21"/>
                <w14:textFill>
                  <w14:solidFill>
                    <w14:schemeClr w14:val="tx1">
                      <w14:lumMod w14:val="95000"/>
                      <w14:lumOff w14:val="5000"/>
                    </w14:schemeClr>
                  </w14:solidFill>
                </w14:textFill>
              </w:rPr>
              <w:t>S</w:t>
            </w:r>
          </w:p>
        </w:tc>
        <w:tc>
          <w:tcPr>
            <w:tcW w:w="1427" w:type="pct"/>
            <w:vAlign w:val="center"/>
          </w:tcPr>
          <w:p w14:paraId="633FB93A">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p>
        </w:tc>
        <w:tc>
          <w:tcPr>
            <w:tcW w:w="1427" w:type="pct"/>
            <w:vAlign w:val="center"/>
          </w:tcPr>
          <w:p w14:paraId="1EB1D4BE">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p>
        </w:tc>
        <w:tc>
          <w:tcPr>
            <w:tcW w:w="1144" w:type="pct"/>
            <w:vAlign w:val="center"/>
          </w:tcPr>
          <w:p w14:paraId="273B3B5E">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p>
        </w:tc>
      </w:tr>
    </w:tbl>
    <w:p w14:paraId="1D566C44">
      <w:pPr>
        <w:pStyle w:val="9"/>
      </w:pPr>
      <w:bookmarkStart w:id="168" w:name="_Toc204062632"/>
      <w:r>
        <w:rPr>
          <w:rFonts w:hint="eastAsia"/>
        </w:rPr>
        <w:t>小结</w:t>
      </w:r>
      <w:bookmarkEnd w:id="168"/>
    </w:p>
    <w:p w14:paraId="647EF4BF">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通过《环境影响评价技术导则  大气环境》（HJ2.2-2018）推荐的估算模型AERSCREEN对项目运行的大气影响进行了模拟预测，估算结果表明，项目对周围大气环境的贡献值较小，占标率均较低，根据分析，项目有组织和无组织废气均能达标排放。企业生产过程应加强管理，责任到人，确保各大气处理设施正常运行，避免非正常工况的发生，降低项目对大气环境的影响。</w:t>
      </w:r>
    </w:p>
    <w:p w14:paraId="3AA84D46">
      <w:pPr>
        <w:pStyle w:val="8"/>
      </w:pPr>
      <w:bookmarkStart w:id="169" w:name="_Toc204062633"/>
      <w:r>
        <w:rPr>
          <w:rFonts w:hint="eastAsia"/>
        </w:rPr>
        <w:t>运营期地表水环境影响分析</w:t>
      </w:r>
      <w:bookmarkEnd w:id="169"/>
    </w:p>
    <w:p w14:paraId="321B2D3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本次地表水环境评价等级为三级B，可不进行水环境影响预测，只进行水污染控制和水环境影响减缓措施有效性评价、依托污水处理设施的环境可行性评价。</w:t>
      </w:r>
    </w:p>
    <w:p w14:paraId="636FE0DC">
      <w:pPr>
        <w:pStyle w:val="9"/>
        <w:numPr>
          <w:ilvl w:val="2"/>
          <w:numId w:val="46"/>
        </w:numPr>
      </w:pPr>
      <w:bookmarkStart w:id="170" w:name="_Toc204062634"/>
      <w:r>
        <w:rPr>
          <w:rFonts w:hint="eastAsia"/>
        </w:rPr>
        <w:t>水污染控制和水环境影响减缓措施有效性分析</w:t>
      </w:r>
      <w:bookmarkEnd w:id="170"/>
    </w:p>
    <w:p w14:paraId="77BA324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运营期废水包括生产废水、生活污水和初期雨水，其中生产废水包括生产线工艺排水、余热锅炉排水、纯水制备系统排水、余热系统排水、循环冷却水系统排水、化验室废水、碱液喷淋排水和地面清洗废水等。</w:t>
      </w:r>
    </w:p>
    <w:p w14:paraId="72299471">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根据前文水平衡分析结果，生活污水产生量为7.2m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/d，2160m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/a，综合废水产生量为1267.19m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/d，38156.44m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/a，总排水量为134.39m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/d，40316.44m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/a。</w:t>
      </w:r>
    </w:p>
    <w:p w14:paraId="34358C9C">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初期雨水经初期雨水池收集后泵入厂区污水处理站与生产废水一起处理达标后排入市政污水管网，生活污水经三级化粪池处理后排入市政污水管网，外排废水输送至钦州胜科水务有限公司污水处理厂进一步处理。项目自建污水处理站设计处理规模为150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d，处理工艺为“隔油+气浮+混凝沉淀+调节+UASB厌氧反应器+MBR膜生物反应器”，经污水处理设施处理后的尾水排放可满足《石油炼制工业污染物排放标准》（GB31570-2015）及其修改单中表1间接排放标准和钦州胜科水务有限公司污水处理厂纳管标准较严值。</w:t>
      </w:r>
    </w:p>
    <w:p w14:paraId="3D5DB803">
      <w:pPr>
        <w:pStyle w:val="9"/>
      </w:pPr>
      <w:bookmarkStart w:id="171" w:name="_Toc204062635"/>
      <w:r>
        <w:rPr>
          <w:rFonts w:hint="eastAsia"/>
        </w:rPr>
        <w:t>排入园区污水处理厂可行性分析</w:t>
      </w:r>
      <w:bookmarkEnd w:id="171"/>
    </w:p>
    <w:p w14:paraId="2BBC19A3">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（1）园区污水处理厂概况</w:t>
      </w:r>
    </w:p>
    <w:p w14:paraId="36725A0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钦州港经济技术开发区石化产业园配套园区污水处理厂为胜科污水处理厂，已建成一期（A部分），采用“缺氧+好氧+生物流化床”处理工艺，设计处理能力为1.5万m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/d，于2013年投运，目前实际处理量已达到1.5万m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/d，尾水达到《污水综合排放标准》（GB8978-1996）一级标准后通过深海排放管道引至金鼓江污水深海排放区（GX069DIV排污区）A1排放口排放，原计划2015年完成一期（B部分）的建设，使设计处理能力达到3.0万m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/d。目前胜科污水处理厂一期（B部分）已在广西投资项目在线审批监管平台上取得《钦州港胜科污水处理厂提标改造工程备案证明》，预计于2026年初建成投产。</w:t>
      </w:r>
    </w:p>
    <w:p w14:paraId="5BF3D09F">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（2）园区污水处理厂依托可行性分析</w:t>
      </w:r>
    </w:p>
    <w:p w14:paraId="11C82D75">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项目外排废水主要污染物为pH值、COD、BOD</w:t>
      </w:r>
      <w:r>
        <w:rPr>
          <w:color w:val="0D0D0D" w:themeColor="text1" w:themeTint="F2"/>
          <w:u w:val="single"/>
          <w:vertAlign w:val="subscript"/>
          <w14:textFill>
            <w14:solidFill>
              <w14:schemeClr w14:val="tx1">
                <w14:lumMod w14:val="95000"/>
                <w14:lumOff w14:val="5000"/>
              </w14:schemeClr>
            </w14:solidFill>
          </w14:textFill>
        </w:rPr>
        <w:t>5</w:t>
      </w:r>
      <w:r>
        <w:rPr>
          <w:rFonts w:hint="eastAsia"/>
          <w:color w:val="0D0D0D" w:themeColor="text1" w:themeTint="F2"/>
          <w:u w:val="single"/>
          <w14:textFill>
            <w14:solidFill>
              <w14:schemeClr w14:val="tx1">
                <w14:lumMod w14:val="95000"/>
                <w14:lumOff w14:val="5000"/>
              </w14:schemeClr>
            </w14:solidFill>
          </w14:textFill>
        </w:rPr>
        <w:t>、悬浮物、NH</w:t>
      </w:r>
      <w:r>
        <w:rPr>
          <w:rFonts w:hint="eastAsia"/>
          <w:color w:val="0D0D0D" w:themeColor="text1" w:themeTint="F2"/>
          <w:u w:val="single"/>
          <w:vertAlign w:val="sub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N、动植物油、总磷、总氮和动植物油等，经厂区污水处理站处理后经园区污水管道送至胜科污水处理厂处理，满足钦州港胜科污水处理厂纳管标准，不会对其入口水质造成冲击性影响，目前项目已和胜科污水处理签订服务合作意向书。</w:t>
      </w:r>
    </w:p>
    <w:p w14:paraId="462E7D84">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项目建成后污水排放量为134.38m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/d，届时胜科污水处理厂已建成投产达到3.0万m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/d，剩余1.5万m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/d，可满足项目厂区污水处理规模要求。</w:t>
      </w:r>
    </w:p>
    <w:p w14:paraId="009214E9">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（3）小结</w:t>
      </w:r>
    </w:p>
    <w:p w14:paraId="1156BF0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综上所述，从水量、水质上分析以及胜科污水处理厂处理规模、纳污范围、区域配套管网建设情况等方面分析，项目外排废水纳入胜科污水处理厂集中处理是可行的，项目地表水环境影响可接受。</w:t>
      </w:r>
    </w:p>
    <w:p w14:paraId="26E91387">
      <w:pPr>
        <w:pStyle w:val="9"/>
      </w:pPr>
      <w:bookmarkStart w:id="172" w:name="_Toc204062636"/>
      <w:r>
        <w:rPr>
          <w:rFonts w:hint="eastAsia"/>
        </w:rPr>
        <w:t>废水污染物排放信息</w:t>
      </w:r>
      <w:bookmarkEnd w:id="172"/>
    </w:p>
    <w:p w14:paraId="0B61F9C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根据《环境影响评价技术导则  地表水环境》（HJ2.3-2018），间接排放建设项目污染源排放量核算根据依托污水处理设施的控制要求核算确定。项目废水污染物排放信息见表5.3-1~表5.3-3。</w:t>
      </w:r>
    </w:p>
    <w:p w14:paraId="3DA56C95">
      <w:pPr>
        <w:pStyle w:val="2"/>
        <w:ind w:firstLine="240"/>
      </w:pPr>
      <w:r>
        <w:br w:type="page"/>
      </w:r>
    </w:p>
    <w:p w14:paraId="777A8308">
      <w:pPr>
        <w:pStyle w:val="11"/>
      </w:pPr>
      <w:r>
        <w:rPr>
          <w:rFonts w:hint="eastAsia"/>
        </w:rPr>
        <w:t xml:space="preserve"> 废水类别、污染物及污染治理设施信息表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775"/>
        <w:gridCol w:w="1091"/>
        <w:gridCol w:w="976"/>
        <w:gridCol w:w="436"/>
        <w:gridCol w:w="765"/>
        <w:gridCol w:w="778"/>
        <w:gridCol w:w="919"/>
        <w:gridCol w:w="621"/>
        <w:gridCol w:w="776"/>
        <w:gridCol w:w="1648"/>
      </w:tblGrid>
      <w:tr w14:paraId="5795B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Merge w:val="restart"/>
            <w:vAlign w:val="center"/>
          </w:tcPr>
          <w:p w14:paraId="069933E8">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序号</w:t>
            </w:r>
          </w:p>
        </w:tc>
        <w:tc>
          <w:tcPr>
            <w:tcW w:w="419" w:type="pct"/>
            <w:vMerge w:val="restart"/>
            <w:vAlign w:val="center"/>
          </w:tcPr>
          <w:p w14:paraId="3E68EF66">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废水类别</w:t>
            </w:r>
          </w:p>
        </w:tc>
        <w:tc>
          <w:tcPr>
            <w:tcW w:w="590" w:type="pct"/>
            <w:vMerge w:val="restart"/>
            <w:vAlign w:val="center"/>
          </w:tcPr>
          <w:p w14:paraId="5AB4E4A9">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污染物种类</w:t>
            </w:r>
          </w:p>
        </w:tc>
        <w:tc>
          <w:tcPr>
            <w:tcW w:w="528" w:type="pct"/>
            <w:vMerge w:val="restart"/>
            <w:vAlign w:val="center"/>
          </w:tcPr>
          <w:p w14:paraId="68B5019B">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排放去向</w:t>
            </w:r>
          </w:p>
        </w:tc>
        <w:tc>
          <w:tcPr>
            <w:tcW w:w="236" w:type="pct"/>
            <w:vMerge w:val="restart"/>
            <w:vAlign w:val="center"/>
          </w:tcPr>
          <w:p w14:paraId="030B8BD3">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排放规律</w:t>
            </w:r>
          </w:p>
        </w:tc>
        <w:tc>
          <w:tcPr>
            <w:tcW w:w="1332" w:type="pct"/>
            <w:gridSpan w:val="3"/>
            <w:vAlign w:val="center"/>
          </w:tcPr>
          <w:p w14:paraId="6CFFE26F">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污染治理设施</w:t>
            </w:r>
          </w:p>
        </w:tc>
        <w:tc>
          <w:tcPr>
            <w:tcW w:w="336" w:type="pct"/>
            <w:vMerge w:val="restart"/>
            <w:vAlign w:val="center"/>
          </w:tcPr>
          <w:p w14:paraId="2F9EB2CA">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排放</w:t>
            </w:r>
          </w:p>
          <w:p w14:paraId="763DC087">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口编</w:t>
            </w:r>
          </w:p>
          <w:p w14:paraId="3A0FF062">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号</w:t>
            </w:r>
          </w:p>
        </w:tc>
        <w:tc>
          <w:tcPr>
            <w:tcW w:w="420" w:type="pct"/>
            <w:vMerge w:val="restart"/>
            <w:vAlign w:val="center"/>
          </w:tcPr>
          <w:p w14:paraId="1085A477">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排放口</w:t>
            </w:r>
          </w:p>
          <w:p w14:paraId="720319EE">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设施是</w:t>
            </w:r>
          </w:p>
          <w:p w14:paraId="7C06C235">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否符合</w:t>
            </w:r>
          </w:p>
          <w:p w14:paraId="2A556A1C">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要求</w:t>
            </w:r>
          </w:p>
        </w:tc>
        <w:tc>
          <w:tcPr>
            <w:tcW w:w="891" w:type="pct"/>
            <w:vMerge w:val="restart"/>
            <w:vAlign w:val="center"/>
          </w:tcPr>
          <w:p w14:paraId="29D47B95">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排放口类型</w:t>
            </w:r>
          </w:p>
        </w:tc>
      </w:tr>
      <w:tr w14:paraId="01798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Merge w:val="continue"/>
            <w:vAlign w:val="center"/>
          </w:tcPr>
          <w:p w14:paraId="26238321">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419" w:type="pct"/>
            <w:vMerge w:val="continue"/>
            <w:vAlign w:val="center"/>
          </w:tcPr>
          <w:p w14:paraId="3B6A47C7">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590" w:type="pct"/>
            <w:vMerge w:val="continue"/>
            <w:vAlign w:val="center"/>
          </w:tcPr>
          <w:p w14:paraId="77507F5F">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528" w:type="pct"/>
            <w:vMerge w:val="continue"/>
            <w:vAlign w:val="center"/>
          </w:tcPr>
          <w:p w14:paraId="663356CC">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236" w:type="pct"/>
            <w:vMerge w:val="continue"/>
            <w:vAlign w:val="center"/>
          </w:tcPr>
          <w:p w14:paraId="5A95B08A">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414" w:type="pct"/>
            <w:vAlign w:val="center"/>
          </w:tcPr>
          <w:p w14:paraId="3BA29592">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污染治</w:t>
            </w:r>
          </w:p>
          <w:p w14:paraId="6750CA0B">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理设施</w:t>
            </w:r>
          </w:p>
          <w:p w14:paraId="2163F731">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编号</w:t>
            </w:r>
          </w:p>
        </w:tc>
        <w:tc>
          <w:tcPr>
            <w:tcW w:w="421" w:type="pct"/>
            <w:vAlign w:val="center"/>
          </w:tcPr>
          <w:p w14:paraId="130EDB8F">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污染治</w:t>
            </w:r>
          </w:p>
          <w:p w14:paraId="3C09BEBD">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理设施</w:t>
            </w:r>
          </w:p>
          <w:p w14:paraId="5CE71E91">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名称</w:t>
            </w:r>
          </w:p>
        </w:tc>
        <w:tc>
          <w:tcPr>
            <w:tcW w:w="497" w:type="pct"/>
            <w:vAlign w:val="center"/>
          </w:tcPr>
          <w:p w14:paraId="298C8C93">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污染治</w:t>
            </w:r>
          </w:p>
          <w:p w14:paraId="0FF9AC76">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理设施</w:t>
            </w:r>
          </w:p>
          <w:p w14:paraId="7859E229">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工艺</w:t>
            </w:r>
          </w:p>
        </w:tc>
        <w:tc>
          <w:tcPr>
            <w:tcW w:w="336" w:type="pct"/>
            <w:vMerge w:val="continue"/>
            <w:vAlign w:val="center"/>
          </w:tcPr>
          <w:p w14:paraId="2B46410C">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420" w:type="pct"/>
            <w:vMerge w:val="continue"/>
            <w:vAlign w:val="center"/>
          </w:tcPr>
          <w:p w14:paraId="413A3077">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891" w:type="pct"/>
            <w:vMerge w:val="continue"/>
            <w:vAlign w:val="center"/>
          </w:tcPr>
          <w:p w14:paraId="70622D87">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r>
      <w:tr w14:paraId="230FA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Align w:val="center"/>
          </w:tcPr>
          <w:p w14:paraId="2F5310FB">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w:t>
            </w:r>
          </w:p>
        </w:tc>
        <w:tc>
          <w:tcPr>
            <w:tcW w:w="419" w:type="pct"/>
            <w:vAlign w:val="center"/>
          </w:tcPr>
          <w:p w14:paraId="20BF3DF6">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工艺废水</w:t>
            </w:r>
          </w:p>
        </w:tc>
        <w:tc>
          <w:tcPr>
            <w:tcW w:w="590" w:type="pct"/>
            <w:vAlign w:val="center"/>
          </w:tcPr>
          <w:p w14:paraId="63B8BE00">
            <w:pPr>
              <w:adjustRightInd w:val="0"/>
              <w:snapToGrid w:val="0"/>
              <w:spacing w:line="240" w:lineRule="auto"/>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pH、C</w:t>
            </w:r>
            <w:r>
              <w:rPr>
                <w:rFonts w:cs="Times New Roman"/>
                <w:color w:val="0D0D0D" w:themeColor="text1" w:themeTint="F2"/>
                <w:sz w:val="21"/>
                <w:szCs w:val="21"/>
                <w14:textFill>
                  <w14:solidFill>
                    <w14:schemeClr w14:val="tx1">
                      <w14:lumMod w14:val="95000"/>
                      <w14:lumOff w14:val="5000"/>
                    </w14:schemeClr>
                  </w14:solidFill>
                </w14:textFill>
              </w:rPr>
              <w:t>OD</w:t>
            </w:r>
            <w:r>
              <w:rPr>
                <w:rFonts w:hint="eastAsia" w:cs="Times New Roman"/>
                <w:color w:val="0D0D0D" w:themeColor="text1" w:themeTint="F2"/>
                <w:sz w:val="21"/>
                <w:szCs w:val="21"/>
                <w14:textFill>
                  <w14:solidFill>
                    <w14:schemeClr w14:val="tx1">
                      <w14:lumMod w14:val="95000"/>
                      <w14:lumOff w14:val="5000"/>
                    </w14:schemeClr>
                  </w14:solidFill>
                </w14:textFill>
              </w:rPr>
              <w:t>、B</w:t>
            </w:r>
            <w:r>
              <w:rPr>
                <w:rFonts w:cs="Times New Roman"/>
                <w:color w:val="0D0D0D" w:themeColor="text1" w:themeTint="F2"/>
                <w:sz w:val="21"/>
                <w:szCs w:val="21"/>
                <w14:textFill>
                  <w14:solidFill>
                    <w14:schemeClr w14:val="tx1">
                      <w14:lumMod w14:val="95000"/>
                      <w14:lumOff w14:val="5000"/>
                    </w14:schemeClr>
                  </w14:solidFill>
                </w14:textFill>
              </w:rPr>
              <w:t>OD</w:t>
            </w:r>
            <w:r>
              <w:rPr>
                <w:rFonts w:cs="Times New Roman"/>
                <w:color w:val="0D0D0D" w:themeColor="text1" w:themeTint="F2"/>
                <w:sz w:val="21"/>
                <w:szCs w:val="21"/>
                <w:vertAlign w:val="subscript"/>
                <w14:textFill>
                  <w14:solidFill>
                    <w14:schemeClr w14:val="tx1">
                      <w14:lumMod w14:val="95000"/>
                      <w14:lumOff w14:val="5000"/>
                    </w14:schemeClr>
                  </w14:solidFill>
                </w14:textFill>
              </w:rPr>
              <w:t>5</w:t>
            </w:r>
            <w:r>
              <w:rPr>
                <w:rFonts w:hint="eastAsia" w:cs="Times New Roman"/>
                <w:color w:val="0D0D0D" w:themeColor="text1" w:themeTint="F2"/>
                <w:sz w:val="21"/>
                <w:szCs w:val="21"/>
                <w14:textFill>
                  <w14:solidFill>
                    <w14:schemeClr w14:val="tx1">
                      <w14:lumMod w14:val="95000"/>
                      <w14:lumOff w14:val="5000"/>
                    </w14:schemeClr>
                  </w14:solidFill>
                </w14:textFill>
              </w:rPr>
              <w:t>、N</w:t>
            </w:r>
            <w:r>
              <w:rPr>
                <w:rFonts w:cs="Times New Roman"/>
                <w:color w:val="0D0D0D" w:themeColor="text1" w:themeTint="F2"/>
                <w:sz w:val="21"/>
                <w:szCs w:val="21"/>
                <w14:textFill>
                  <w14:solidFill>
                    <w14:schemeClr w14:val="tx1">
                      <w14:lumMod w14:val="95000"/>
                      <w14:lumOff w14:val="5000"/>
                    </w14:schemeClr>
                  </w14:solidFill>
                </w14:textFill>
              </w:rPr>
              <w:t>H</w:t>
            </w:r>
            <w:r>
              <w:rPr>
                <w:rFonts w:cs="Times New Roman"/>
                <w:color w:val="0D0D0D" w:themeColor="text1" w:themeTint="F2"/>
                <w:sz w:val="21"/>
                <w:szCs w:val="21"/>
                <w:vertAlign w:val="subscript"/>
                <w14:textFill>
                  <w14:solidFill>
                    <w14:schemeClr w14:val="tx1">
                      <w14:lumMod w14:val="95000"/>
                      <w14:lumOff w14:val="5000"/>
                    </w14:schemeClr>
                  </w14:solidFill>
                </w14:textFill>
              </w:rPr>
              <w:t>3</w:t>
            </w:r>
            <w:r>
              <w:rPr>
                <w:rFonts w:cs="Times New Roman"/>
                <w:color w:val="0D0D0D" w:themeColor="text1" w:themeTint="F2"/>
                <w:sz w:val="21"/>
                <w:szCs w:val="21"/>
                <w14:textFill>
                  <w14:solidFill>
                    <w14:schemeClr w14:val="tx1">
                      <w14:lumMod w14:val="95000"/>
                      <w14:lumOff w14:val="5000"/>
                    </w14:schemeClr>
                  </w14:solidFill>
                </w14:textFill>
              </w:rPr>
              <w:t>-N</w:t>
            </w:r>
            <w:r>
              <w:rPr>
                <w:rFonts w:hint="eastAsia" w:cs="Times New Roman"/>
                <w:color w:val="0D0D0D" w:themeColor="text1" w:themeTint="F2"/>
                <w:sz w:val="21"/>
                <w:szCs w:val="21"/>
                <w14:textFill>
                  <w14:solidFill>
                    <w14:schemeClr w14:val="tx1">
                      <w14:lumMod w14:val="95000"/>
                      <w14:lumOff w14:val="5000"/>
                    </w14:schemeClr>
                  </w14:solidFill>
                </w14:textFill>
              </w:rPr>
              <w:t>、S</w:t>
            </w:r>
            <w:r>
              <w:rPr>
                <w:rFonts w:cs="Times New Roman"/>
                <w:color w:val="0D0D0D" w:themeColor="text1" w:themeTint="F2"/>
                <w:sz w:val="21"/>
                <w:szCs w:val="21"/>
                <w14:textFill>
                  <w14:solidFill>
                    <w14:schemeClr w14:val="tx1">
                      <w14:lumMod w14:val="95000"/>
                      <w14:lumOff w14:val="5000"/>
                    </w14:schemeClr>
                  </w14:solidFill>
                </w14:textFill>
              </w:rPr>
              <w:t>S</w:t>
            </w:r>
            <w:r>
              <w:rPr>
                <w:rFonts w:hint="eastAsia" w:cs="Times New Roman"/>
                <w:color w:val="0D0D0D" w:themeColor="text1" w:themeTint="F2"/>
                <w:sz w:val="21"/>
                <w:szCs w:val="21"/>
                <w14:textFill>
                  <w14:solidFill>
                    <w14:schemeClr w14:val="tx1">
                      <w14:lumMod w14:val="95000"/>
                      <w14:lumOff w14:val="5000"/>
                    </w14:schemeClr>
                  </w14:solidFill>
                </w14:textFill>
              </w:rPr>
              <w:t>、动植物油</w:t>
            </w:r>
          </w:p>
        </w:tc>
        <w:tc>
          <w:tcPr>
            <w:tcW w:w="528" w:type="pct"/>
            <w:vAlign w:val="center"/>
          </w:tcPr>
          <w:p w14:paraId="415DEDF7">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污水处理站</w:t>
            </w:r>
          </w:p>
        </w:tc>
        <w:tc>
          <w:tcPr>
            <w:tcW w:w="236" w:type="pct"/>
            <w:vAlign w:val="center"/>
          </w:tcPr>
          <w:p w14:paraId="4B7EE45D">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间断</w:t>
            </w:r>
          </w:p>
        </w:tc>
        <w:tc>
          <w:tcPr>
            <w:tcW w:w="414" w:type="pct"/>
            <w:vAlign w:val="center"/>
          </w:tcPr>
          <w:p w14:paraId="5E0B9023">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w:t>
            </w:r>
          </w:p>
        </w:tc>
        <w:tc>
          <w:tcPr>
            <w:tcW w:w="421" w:type="pct"/>
            <w:vAlign w:val="center"/>
          </w:tcPr>
          <w:p w14:paraId="7CA56C12">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污水处理站</w:t>
            </w:r>
          </w:p>
        </w:tc>
        <w:tc>
          <w:tcPr>
            <w:tcW w:w="497" w:type="pct"/>
            <w:vMerge w:val="restart"/>
            <w:vAlign w:val="center"/>
          </w:tcPr>
          <w:p w14:paraId="712FFB2D">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336" w:type="pct"/>
            <w:vAlign w:val="center"/>
          </w:tcPr>
          <w:p w14:paraId="58C3EB4D">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w:t>
            </w:r>
          </w:p>
        </w:tc>
        <w:tc>
          <w:tcPr>
            <w:tcW w:w="420" w:type="pct"/>
            <w:vAlign w:val="center"/>
          </w:tcPr>
          <w:p w14:paraId="6F26CFD9">
            <w:pPr>
              <w:adjustRightInd w:val="0"/>
              <w:snapToGrid w:val="0"/>
              <w:spacing w:line="240" w:lineRule="auto"/>
              <w:jc w:val="center"/>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sym w:font="Wingdings 2" w:char="F052"/>
            </w:r>
            <w:r>
              <w:rPr>
                <w:rFonts w:hint="eastAsia" w:cs="宋体"/>
                <w:color w:val="0D0D0D" w:themeColor="text1" w:themeTint="F2"/>
                <w:position w:val="-1"/>
                <w:sz w:val="21"/>
                <w:szCs w:val="21"/>
                <w14:textFill>
                  <w14:solidFill>
                    <w14:schemeClr w14:val="tx1">
                      <w14:lumMod w14:val="95000"/>
                      <w14:lumOff w14:val="5000"/>
                    </w14:schemeClr>
                  </w14:solidFill>
                </w14:textFill>
              </w:rPr>
              <w:t>是</w:t>
            </w:r>
          </w:p>
          <w:p w14:paraId="3F00A0BB">
            <w:pPr>
              <w:adjustRightInd w:val="0"/>
              <w:snapToGrid w:val="0"/>
              <w:spacing w:line="240" w:lineRule="auto"/>
              <w:jc w:val="center"/>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t>□否</w:t>
            </w:r>
          </w:p>
        </w:tc>
        <w:tc>
          <w:tcPr>
            <w:tcW w:w="891" w:type="pct"/>
            <w:vAlign w:val="center"/>
          </w:tcPr>
          <w:p w14:paraId="16230B2A">
            <w:pPr>
              <w:adjustRightInd w:val="0"/>
              <w:snapToGrid w:val="0"/>
              <w:spacing w:line="240" w:lineRule="auto"/>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t>□企业总排</w:t>
            </w:r>
          </w:p>
          <w:p w14:paraId="59700CF1">
            <w:pPr>
              <w:adjustRightInd w:val="0"/>
              <w:snapToGrid w:val="0"/>
              <w:spacing w:line="240" w:lineRule="auto"/>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t>□清净下水排放</w:t>
            </w:r>
          </w:p>
          <w:p w14:paraId="3AAD6CB7">
            <w:pPr>
              <w:adjustRightInd w:val="0"/>
              <w:snapToGrid w:val="0"/>
              <w:spacing w:line="240" w:lineRule="auto"/>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t>□温排水排放</w:t>
            </w:r>
          </w:p>
          <w:p w14:paraId="2A30894A">
            <w:pPr>
              <w:adjustRightInd w:val="0"/>
              <w:snapToGrid w:val="0"/>
              <w:spacing w:line="240" w:lineRule="auto"/>
              <w:rPr>
                <w:rFonts w:cs="Times New Roman"/>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sym w:font="Wingdings 2" w:char="F052"/>
            </w:r>
            <w:r>
              <w:rPr>
                <w:rFonts w:hint="eastAsia" w:cs="宋体"/>
                <w:color w:val="0D0D0D" w:themeColor="text1" w:themeTint="F2"/>
                <w:position w:val="-1"/>
                <w:sz w:val="21"/>
                <w:szCs w:val="21"/>
                <w14:textFill>
                  <w14:solidFill>
                    <w14:schemeClr w14:val="tx1">
                      <w14:lumMod w14:val="95000"/>
                      <w14:lumOff w14:val="5000"/>
                    </w14:schemeClr>
                  </w14:solidFill>
                </w14:textFill>
              </w:rPr>
              <w:t>车间或车间处理设施排放口</w:t>
            </w:r>
          </w:p>
        </w:tc>
      </w:tr>
      <w:tr w14:paraId="1B0DA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Align w:val="center"/>
          </w:tcPr>
          <w:p w14:paraId="2AE3E117">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w:t>
            </w:r>
          </w:p>
        </w:tc>
        <w:tc>
          <w:tcPr>
            <w:tcW w:w="419" w:type="pct"/>
            <w:vAlign w:val="center"/>
          </w:tcPr>
          <w:p w14:paraId="033EFA10">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锅炉定期外排水</w:t>
            </w:r>
          </w:p>
        </w:tc>
        <w:tc>
          <w:tcPr>
            <w:tcW w:w="590" w:type="pct"/>
            <w:vAlign w:val="center"/>
          </w:tcPr>
          <w:p w14:paraId="220BEEF6">
            <w:pPr>
              <w:adjustRightInd w:val="0"/>
              <w:snapToGrid w:val="0"/>
              <w:spacing w:line="240" w:lineRule="auto"/>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pH、COD、SS、盐类</w:t>
            </w:r>
          </w:p>
        </w:tc>
        <w:tc>
          <w:tcPr>
            <w:tcW w:w="528" w:type="pct"/>
            <w:vAlign w:val="center"/>
          </w:tcPr>
          <w:p w14:paraId="3EDB2138">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污水处理站</w:t>
            </w:r>
          </w:p>
        </w:tc>
        <w:tc>
          <w:tcPr>
            <w:tcW w:w="236" w:type="pct"/>
            <w:vAlign w:val="center"/>
          </w:tcPr>
          <w:p w14:paraId="7796479E">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间断</w:t>
            </w:r>
          </w:p>
        </w:tc>
        <w:tc>
          <w:tcPr>
            <w:tcW w:w="414" w:type="pct"/>
            <w:vAlign w:val="center"/>
          </w:tcPr>
          <w:p w14:paraId="5B467647">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w:t>
            </w:r>
          </w:p>
        </w:tc>
        <w:tc>
          <w:tcPr>
            <w:tcW w:w="421" w:type="pct"/>
            <w:vAlign w:val="center"/>
          </w:tcPr>
          <w:p w14:paraId="393461A1">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污水处理站</w:t>
            </w:r>
          </w:p>
        </w:tc>
        <w:tc>
          <w:tcPr>
            <w:tcW w:w="497" w:type="pct"/>
            <w:vMerge w:val="continue"/>
            <w:vAlign w:val="center"/>
          </w:tcPr>
          <w:p w14:paraId="29921D2E">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336" w:type="pct"/>
            <w:vAlign w:val="center"/>
          </w:tcPr>
          <w:p w14:paraId="65763052">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w:t>
            </w:r>
          </w:p>
        </w:tc>
        <w:tc>
          <w:tcPr>
            <w:tcW w:w="420" w:type="pct"/>
            <w:vAlign w:val="center"/>
          </w:tcPr>
          <w:p w14:paraId="0228A5FD">
            <w:pPr>
              <w:adjustRightInd w:val="0"/>
              <w:snapToGrid w:val="0"/>
              <w:spacing w:line="240" w:lineRule="auto"/>
              <w:jc w:val="center"/>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sym w:font="Wingdings 2" w:char="F052"/>
            </w:r>
            <w:r>
              <w:rPr>
                <w:rFonts w:hint="eastAsia" w:cs="宋体"/>
                <w:color w:val="0D0D0D" w:themeColor="text1" w:themeTint="F2"/>
                <w:position w:val="-1"/>
                <w:sz w:val="21"/>
                <w:szCs w:val="21"/>
                <w14:textFill>
                  <w14:solidFill>
                    <w14:schemeClr w14:val="tx1">
                      <w14:lumMod w14:val="95000"/>
                      <w14:lumOff w14:val="5000"/>
                    </w14:schemeClr>
                  </w14:solidFill>
                </w14:textFill>
              </w:rPr>
              <w:t>是</w:t>
            </w:r>
          </w:p>
          <w:p w14:paraId="6C749979">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t>□否</w:t>
            </w:r>
          </w:p>
        </w:tc>
        <w:tc>
          <w:tcPr>
            <w:tcW w:w="891" w:type="pct"/>
            <w:vAlign w:val="center"/>
          </w:tcPr>
          <w:p w14:paraId="5030AA80">
            <w:pPr>
              <w:adjustRightInd w:val="0"/>
              <w:snapToGrid w:val="0"/>
              <w:spacing w:line="240" w:lineRule="auto"/>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t>□企业总排</w:t>
            </w:r>
          </w:p>
          <w:p w14:paraId="7609BE7F">
            <w:pPr>
              <w:adjustRightInd w:val="0"/>
              <w:snapToGrid w:val="0"/>
              <w:spacing w:line="240" w:lineRule="auto"/>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t>□清净下水排放</w:t>
            </w:r>
          </w:p>
          <w:p w14:paraId="6EDE11B5">
            <w:pPr>
              <w:adjustRightInd w:val="0"/>
              <w:snapToGrid w:val="0"/>
              <w:spacing w:line="240" w:lineRule="auto"/>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t>□温排水排放</w:t>
            </w:r>
          </w:p>
          <w:p w14:paraId="585A4B75">
            <w:pPr>
              <w:adjustRightInd w:val="0"/>
              <w:snapToGrid w:val="0"/>
              <w:spacing w:line="240" w:lineRule="auto"/>
              <w:rPr>
                <w:rFonts w:cs="Times New Roman"/>
                <w:color w:val="0D0D0D" w:themeColor="text1" w:themeTint="F2"/>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sym w:font="Wingdings 2" w:char="F052"/>
            </w:r>
            <w:r>
              <w:rPr>
                <w:rFonts w:hint="eastAsia" w:cs="宋体"/>
                <w:color w:val="0D0D0D" w:themeColor="text1" w:themeTint="F2"/>
                <w:position w:val="-1"/>
                <w:sz w:val="21"/>
                <w:szCs w:val="21"/>
                <w14:textFill>
                  <w14:solidFill>
                    <w14:schemeClr w14:val="tx1">
                      <w14:lumMod w14:val="95000"/>
                      <w14:lumOff w14:val="5000"/>
                    </w14:schemeClr>
                  </w14:solidFill>
                </w14:textFill>
              </w:rPr>
              <w:t>车间或车间处理设施排放口</w:t>
            </w:r>
          </w:p>
        </w:tc>
      </w:tr>
      <w:tr w14:paraId="6B002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Align w:val="center"/>
          </w:tcPr>
          <w:p w14:paraId="75D9744B">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3</w:t>
            </w:r>
          </w:p>
        </w:tc>
        <w:tc>
          <w:tcPr>
            <w:tcW w:w="419" w:type="pct"/>
            <w:vAlign w:val="center"/>
          </w:tcPr>
          <w:p w14:paraId="324F4A39">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循环冷却水系统排水</w:t>
            </w:r>
          </w:p>
        </w:tc>
        <w:tc>
          <w:tcPr>
            <w:tcW w:w="590" w:type="pct"/>
            <w:vAlign w:val="center"/>
          </w:tcPr>
          <w:p w14:paraId="26DF329E">
            <w:pPr>
              <w:adjustRightInd w:val="0"/>
              <w:snapToGrid w:val="0"/>
              <w:spacing w:line="240" w:lineRule="auto"/>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pH、COD、SS、盐类</w:t>
            </w:r>
          </w:p>
        </w:tc>
        <w:tc>
          <w:tcPr>
            <w:tcW w:w="528" w:type="pct"/>
            <w:vAlign w:val="center"/>
          </w:tcPr>
          <w:p w14:paraId="5BA59CEE">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污水处理站</w:t>
            </w:r>
          </w:p>
        </w:tc>
        <w:tc>
          <w:tcPr>
            <w:tcW w:w="236" w:type="pct"/>
            <w:vAlign w:val="center"/>
          </w:tcPr>
          <w:p w14:paraId="7B8245E0">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间断</w:t>
            </w:r>
          </w:p>
        </w:tc>
        <w:tc>
          <w:tcPr>
            <w:tcW w:w="414" w:type="pct"/>
            <w:vAlign w:val="center"/>
          </w:tcPr>
          <w:p w14:paraId="4FBFA666">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w:t>
            </w:r>
          </w:p>
        </w:tc>
        <w:tc>
          <w:tcPr>
            <w:tcW w:w="421" w:type="pct"/>
            <w:vAlign w:val="center"/>
          </w:tcPr>
          <w:p w14:paraId="065F72FF">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污水处理站</w:t>
            </w:r>
          </w:p>
        </w:tc>
        <w:tc>
          <w:tcPr>
            <w:tcW w:w="497" w:type="pct"/>
            <w:vMerge w:val="continue"/>
            <w:vAlign w:val="center"/>
          </w:tcPr>
          <w:p w14:paraId="16CB4F3F">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336" w:type="pct"/>
            <w:vAlign w:val="center"/>
          </w:tcPr>
          <w:p w14:paraId="10ABD69E">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w:t>
            </w:r>
          </w:p>
        </w:tc>
        <w:tc>
          <w:tcPr>
            <w:tcW w:w="420" w:type="pct"/>
            <w:vAlign w:val="center"/>
          </w:tcPr>
          <w:p w14:paraId="2B551DC0">
            <w:pPr>
              <w:adjustRightInd w:val="0"/>
              <w:snapToGrid w:val="0"/>
              <w:spacing w:line="240" w:lineRule="auto"/>
              <w:jc w:val="center"/>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sym w:font="Wingdings 2" w:char="F052"/>
            </w:r>
            <w:r>
              <w:rPr>
                <w:rFonts w:hint="eastAsia" w:cs="宋体"/>
                <w:color w:val="0D0D0D" w:themeColor="text1" w:themeTint="F2"/>
                <w:position w:val="-1"/>
                <w:sz w:val="21"/>
                <w:szCs w:val="21"/>
                <w14:textFill>
                  <w14:solidFill>
                    <w14:schemeClr w14:val="tx1">
                      <w14:lumMod w14:val="95000"/>
                      <w14:lumOff w14:val="5000"/>
                    </w14:schemeClr>
                  </w14:solidFill>
                </w14:textFill>
              </w:rPr>
              <w:t>是</w:t>
            </w:r>
          </w:p>
          <w:p w14:paraId="7B632AFC">
            <w:pPr>
              <w:adjustRightInd w:val="0"/>
              <w:snapToGrid w:val="0"/>
              <w:spacing w:line="240" w:lineRule="auto"/>
              <w:jc w:val="center"/>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t>□否</w:t>
            </w:r>
          </w:p>
        </w:tc>
        <w:tc>
          <w:tcPr>
            <w:tcW w:w="891" w:type="pct"/>
            <w:vAlign w:val="center"/>
          </w:tcPr>
          <w:p w14:paraId="2674F664">
            <w:pPr>
              <w:adjustRightInd w:val="0"/>
              <w:snapToGrid w:val="0"/>
              <w:spacing w:line="240" w:lineRule="auto"/>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t>□企业总排</w:t>
            </w:r>
          </w:p>
          <w:p w14:paraId="701D2315">
            <w:pPr>
              <w:adjustRightInd w:val="0"/>
              <w:snapToGrid w:val="0"/>
              <w:spacing w:line="240" w:lineRule="auto"/>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t>□清净下水排放</w:t>
            </w:r>
          </w:p>
          <w:p w14:paraId="28D7C4C8">
            <w:pPr>
              <w:adjustRightInd w:val="0"/>
              <w:snapToGrid w:val="0"/>
              <w:spacing w:line="240" w:lineRule="auto"/>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t>□温排水排放</w:t>
            </w:r>
          </w:p>
          <w:p w14:paraId="78A4F2B6">
            <w:pPr>
              <w:adjustRightInd w:val="0"/>
              <w:snapToGrid w:val="0"/>
              <w:spacing w:line="240" w:lineRule="auto"/>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sym w:font="Wingdings 2" w:char="F052"/>
            </w:r>
            <w:r>
              <w:rPr>
                <w:rFonts w:hint="eastAsia" w:cs="宋体"/>
                <w:color w:val="0D0D0D" w:themeColor="text1" w:themeTint="F2"/>
                <w:position w:val="-1"/>
                <w:sz w:val="21"/>
                <w:szCs w:val="21"/>
                <w14:textFill>
                  <w14:solidFill>
                    <w14:schemeClr w14:val="tx1">
                      <w14:lumMod w14:val="95000"/>
                      <w14:lumOff w14:val="5000"/>
                    </w14:schemeClr>
                  </w14:solidFill>
                </w14:textFill>
              </w:rPr>
              <w:t>车间或车间处理设施排放口</w:t>
            </w:r>
          </w:p>
        </w:tc>
      </w:tr>
      <w:tr w14:paraId="37564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Align w:val="center"/>
          </w:tcPr>
          <w:p w14:paraId="0056369C">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4</w:t>
            </w:r>
          </w:p>
        </w:tc>
        <w:tc>
          <w:tcPr>
            <w:tcW w:w="419" w:type="pct"/>
            <w:vAlign w:val="center"/>
          </w:tcPr>
          <w:p w14:paraId="06799E5F">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化验室废水</w:t>
            </w:r>
          </w:p>
        </w:tc>
        <w:tc>
          <w:tcPr>
            <w:tcW w:w="590" w:type="pct"/>
            <w:vAlign w:val="center"/>
          </w:tcPr>
          <w:p w14:paraId="02BD4FA0">
            <w:pPr>
              <w:adjustRightInd w:val="0"/>
              <w:snapToGrid w:val="0"/>
              <w:spacing w:line="240" w:lineRule="auto"/>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pH、C</w:t>
            </w:r>
            <w:r>
              <w:rPr>
                <w:rFonts w:cs="Times New Roman"/>
                <w:color w:val="0D0D0D" w:themeColor="text1" w:themeTint="F2"/>
                <w:sz w:val="21"/>
                <w:szCs w:val="21"/>
                <w14:textFill>
                  <w14:solidFill>
                    <w14:schemeClr w14:val="tx1">
                      <w14:lumMod w14:val="95000"/>
                      <w14:lumOff w14:val="5000"/>
                    </w14:schemeClr>
                  </w14:solidFill>
                </w14:textFill>
              </w:rPr>
              <w:t>OD</w:t>
            </w:r>
            <w:r>
              <w:rPr>
                <w:rFonts w:hint="eastAsia" w:cs="Times New Roman"/>
                <w:color w:val="0D0D0D" w:themeColor="text1" w:themeTint="F2"/>
                <w:sz w:val="21"/>
                <w:szCs w:val="21"/>
                <w14:textFill>
                  <w14:solidFill>
                    <w14:schemeClr w14:val="tx1">
                      <w14:lumMod w14:val="95000"/>
                      <w14:lumOff w14:val="5000"/>
                    </w14:schemeClr>
                  </w14:solidFill>
                </w14:textFill>
              </w:rPr>
              <w:t>、S</w:t>
            </w:r>
            <w:r>
              <w:rPr>
                <w:rFonts w:cs="Times New Roman"/>
                <w:color w:val="0D0D0D" w:themeColor="text1" w:themeTint="F2"/>
                <w:sz w:val="21"/>
                <w:szCs w:val="21"/>
                <w14:textFill>
                  <w14:solidFill>
                    <w14:schemeClr w14:val="tx1">
                      <w14:lumMod w14:val="95000"/>
                      <w14:lumOff w14:val="5000"/>
                    </w14:schemeClr>
                  </w14:solidFill>
                </w14:textFill>
              </w:rPr>
              <w:t>S</w:t>
            </w:r>
          </w:p>
        </w:tc>
        <w:tc>
          <w:tcPr>
            <w:tcW w:w="528" w:type="pct"/>
            <w:vAlign w:val="center"/>
          </w:tcPr>
          <w:p w14:paraId="33A455F3">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污水处理站</w:t>
            </w:r>
          </w:p>
        </w:tc>
        <w:tc>
          <w:tcPr>
            <w:tcW w:w="236" w:type="pct"/>
            <w:vAlign w:val="center"/>
          </w:tcPr>
          <w:p w14:paraId="42820E02">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间断</w:t>
            </w:r>
          </w:p>
        </w:tc>
        <w:tc>
          <w:tcPr>
            <w:tcW w:w="414" w:type="pct"/>
            <w:vAlign w:val="center"/>
          </w:tcPr>
          <w:p w14:paraId="12603E71">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w:t>
            </w:r>
          </w:p>
        </w:tc>
        <w:tc>
          <w:tcPr>
            <w:tcW w:w="421" w:type="pct"/>
            <w:vAlign w:val="center"/>
          </w:tcPr>
          <w:p w14:paraId="1148351E">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污水处理站</w:t>
            </w:r>
          </w:p>
        </w:tc>
        <w:tc>
          <w:tcPr>
            <w:tcW w:w="497" w:type="pct"/>
            <w:vMerge w:val="continue"/>
            <w:vAlign w:val="center"/>
          </w:tcPr>
          <w:p w14:paraId="1A2A7EFE">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336" w:type="pct"/>
            <w:vAlign w:val="center"/>
          </w:tcPr>
          <w:p w14:paraId="6B568780">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w:t>
            </w:r>
          </w:p>
        </w:tc>
        <w:tc>
          <w:tcPr>
            <w:tcW w:w="420" w:type="pct"/>
            <w:vAlign w:val="center"/>
          </w:tcPr>
          <w:p w14:paraId="7199204D">
            <w:pPr>
              <w:adjustRightInd w:val="0"/>
              <w:snapToGrid w:val="0"/>
              <w:spacing w:line="240" w:lineRule="auto"/>
              <w:jc w:val="center"/>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sym w:font="Wingdings 2" w:char="F052"/>
            </w:r>
            <w:r>
              <w:rPr>
                <w:rFonts w:hint="eastAsia" w:cs="宋体"/>
                <w:color w:val="0D0D0D" w:themeColor="text1" w:themeTint="F2"/>
                <w:position w:val="-1"/>
                <w:sz w:val="21"/>
                <w:szCs w:val="21"/>
                <w14:textFill>
                  <w14:solidFill>
                    <w14:schemeClr w14:val="tx1">
                      <w14:lumMod w14:val="95000"/>
                      <w14:lumOff w14:val="5000"/>
                    </w14:schemeClr>
                  </w14:solidFill>
                </w14:textFill>
              </w:rPr>
              <w:t>是</w:t>
            </w:r>
          </w:p>
          <w:p w14:paraId="1A790BE8">
            <w:pPr>
              <w:adjustRightInd w:val="0"/>
              <w:snapToGrid w:val="0"/>
              <w:spacing w:line="240" w:lineRule="auto"/>
              <w:jc w:val="center"/>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t>□否</w:t>
            </w:r>
          </w:p>
        </w:tc>
        <w:tc>
          <w:tcPr>
            <w:tcW w:w="891" w:type="pct"/>
            <w:vAlign w:val="center"/>
          </w:tcPr>
          <w:p w14:paraId="30CA8658">
            <w:pPr>
              <w:adjustRightInd w:val="0"/>
              <w:snapToGrid w:val="0"/>
              <w:spacing w:line="240" w:lineRule="auto"/>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t>□企业总排</w:t>
            </w:r>
          </w:p>
          <w:p w14:paraId="6490A73F">
            <w:pPr>
              <w:adjustRightInd w:val="0"/>
              <w:snapToGrid w:val="0"/>
              <w:spacing w:line="240" w:lineRule="auto"/>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t>□清净下水排放</w:t>
            </w:r>
          </w:p>
          <w:p w14:paraId="1C6D0E74">
            <w:pPr>
              <w:adjustRightInd w:val="0"/>
              <w:snapToGrid w:val="0"/>
              <w:spacing w:line="240" w:lineRule="auto"/>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t>□温排水排放</w:t>
            </w:r>
          </w:p>
          <w:p w14:paraId="1ED04791">
            <w:pPr>
              <w:adjustRightInd w:val="0"/>
              <w:snapToGrid w:val="0"/>
              <w:spacing w:line="240" w:lineRule="auto"/>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sym w:font="Wingdings 2" w:char="F052"/>
            </w:r>
            <w:r>
              <w:rPr>
                <w:rFonts w:hint="eastAsia" w:cs="宋体"/>
                <w:color w:val="0D0D0D" w:themeColor="text1" w:themeTint="F2"/>
                <w:position w:val="-1"/>
                <w:sz w:val="21"/>
                <w:szCs w:val="21"/>
                <w14:textFill>
                  <w14:solidFill>
                    <w14:schemeClr w14:val="tx1">
                      <w14:lumMod w14:val="95000"/>
                      <w14:lumOff w14:val="5000"/>
                    </w14:schemeClr>
                  </w14:solidFill>
                </w14:textFill>
              </w:rPr>
              <w:t>车间或车间处理设施排放口</w:t>
            </w:r>
          </w:p>
        </w:tc>
      </w:tr>
      <w:tr w14:paraId="1496D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Align w:val="center"/>
          </w:tcPr>
          <w:p w14:paraId="04F4BB26">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5</w:t>
            </w:r>
          </w:p>
        </w:tc>
        <w:tc>
          <w:tcPr>
            <w:tcW w:w="419" w:type="pct"/>
            <w:vAlign w:val="center"/>
          </w:tcPr>
          <w:p w14:paraId="3BBC6152">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地面清洗废水</w:t>
            </w:r>
          </w:p>
        </w:tc>
        <w:tc>
          <w:tcPr>
            <w:tcW w:w="590" w:type="pct"/>
            <w:vAlign w:val="center"/>
          </w:tcPr>
          <w:p w14:paraId="44EE4953">
            <w:pPr>
              <w:adjustRightInd w:val="0"/>
              <w:snapToGrid w:val="0"/>
              <w:spacing w:line="240" w:lineRule="auto"/>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pH、C</w:t>
            </w:r>
            <w:r>
              <w:rPr>
                <w:rFonts w:cs="Times New Roman"/>
                <w:color w:val="0D0D0D" w:themeColor="text1" w:themeTint="F2"/>
                <w:sz w:val="21"/>
                <w:szCs w:val="21"/>
                <w14:textFill>
                  <w14:solidFill>
                    <w14:schemeClr w14:val="tx1">
                      <w14:lumMod w14:val="95000"/>
                      <w14:lumOff w14:val="5000"/>
                    </w14:schemeClr>
                  </w14:solidFill>
                </w14:textFill>
              </w:rPr>
              <w:t>OD</w:t>
            </w:r>
            <w:r>
              <w:rPr>
                <w:rFonts w:hint="eastAsia" w:cs="Times New Roman"/>
                <w:color w:val="0D0D0D" w:themeColor="text1" w:themeTint="F2"/>
                <w:sz w:val="21"/>
                <w:szCs w:val="21"/>
                <w14:textFill>
                  <w14:solidFill>
                    <w14:schemeClr w14:val="tx1">
                      <w14:lumMod w14:val="95000"/>
                      <w14:lumOff w14:val="5000"/>
                    </w14:schemeClr>
                  </w14:solidFill>
                </w14:textFill>
              </w:rPr>
              <w:t>、B</w:t>
            </w:r>
            <w:r>
              <w:rPr>
                <w:rFonts w:cs="Times New Roman"/>
                <w:color w:val="0D0D0D" w:themeColor="text1" w:themeTint="F2"/>
                <w:sz w:val="21"/>
                <w:szCs w:val="21"/>
                <w14:textFill>
                  <w14:solidFill>
                    <w14:schemeClr w14:val="tx1">
                      <w14:lumMod w14:val="95000"/>
                      <w14:lumOff w14:val="5000"/>
                    </w14:schemeClr>
                  </w14:solidFill>
                </w14:textFill>
              </w:rPr>
              <w:t>OD</w:t>
            </w:r>
            <w:r>
              <w:rPr>
                <w:rFonts w:cs="Times New Roman"/>
                <w:color w:val="0D0D0D" w:themeColor="text1" w:themeTint="F2"/>
                <w:sz w:val="21"/>
                <w:szCs w:val="21"/>
                <w:vertAlign w:val="subscript"/>
                <w14:textFill>
                  <w14:solidFill>
                    <w14:schemeClr w14:val="tx1">
                      <w14:lumMod w14:val="95000"/>
                      <w14:lumOff w14:val="5000"/>
                    </w14:schemeClr>
                  </w14:solidFill>
                </w14:textFill>
              </w:rPr>
              <w:t>5</w:t>
            </w:r>
            <w:r>
              <w:rPr>
                <w:rFonts w:hint="eastAsia" w:cs="Times New Roman"/>
                <w:color w:val="0D0D0D" w:themeColor="text1" w:themeTint="F2"/>
                <w:sz w:val="21"/>
                <w:szCs w:val="21"/>
                <w14:textFill>
                  <w14:solidFill>
                    <w14:schemeClr w14:val="tx1">
                      <w14:lumMod w14:val="95000"/>
                      <w14:lumOff w14:val="5000"/>
                    </w14:schemeClr>
                  </w14:solidFill>
                </w14:textFill>
              </w:rPr>
              <w:t>、N</w:t>
            </w:r>
            <w:r>
              <w:rPr>
                <w:rFonts w:cs="Times New Roman"/>
                <w:color w:val="0D0D0D" w:themeColor="text1" w:themeTint="F2"/>
                <w:sz w:val="21"/>
                <w:szCs w:val="21"/>
                <w14:textFill>
                  <w14:solidFill>
                    <w14:schemeClr w14:val="tx1">
                      <w14:lumMod w14:val="95000"/>
                      <w14:lumOff w14:val="5000"/>
                    </w14:schemeClr>
                  </w14:solidFill>
                </w14:textFill>
              </w:rPr>
              <w:t>H</w:t>
            </w:r>
            <w:r>
              <w:rPr>
                <w:rFonts w:cs="Times New Roman"/>
                <w:color w:val="0D0D0D" w:themeColor="text1" w:themeTint="F2"/>
                <w:sz w:val="21"/>
                <w:szCs w:val="21"/>
                <w:vertAlign w:val="subscript"/>
                <w14:textFill>
                  <w14:solidFill>
                    <w14:schemeClr w14:val="tx1">
                      <w14:lumMod w14:val="95000"/>
                      <w14:lumOff w14:val="5000"/>
                    </w14:schemeClr>
                  </w14:solidFill>
                </w14:textFill>
              </w:rPr>
              <w:t>3</w:t>
            </w:r>
            <w:r>
              <w:rPr>
                <w:rFonts w:cs="Times New Roman"/>
                <w:color w:val="0D0D0D" w:themeColor="text1" w:themeTint="F2"/>
                <w:sz w:val="21"/>
                <w:szCs w:val="21"/>
                <w14:textFill>
                  <w14:solidFill>
                    <w14:schemeClr w14:val="tx1">
                      <w14:lumMod w14:val="95000"/>
                      <w14:lumOff w14:val="5000"/>
                    </w14:schemeClr>
                  </w14:solidFill>
                </w14:textFill>
              </w:rPr>
              <w:t>-N</w:t>
            </w:r>
            <w:r>
              <w:rPr>
                <w:rFonts w:hint="eastAsia" w:cs="Times New Roman"/>
                <w:color w:val="0D0D0D" w:themeColor="text1" w:themeTint="F2"/>
                <w:sz w:val="21"/>
                <w:szCs w:val="21"/>
                <w14:textFill>
                  <w14:solidFill>
                    <w14:schemeClr w14:val="tx1">
                      <w14:lumMod w14:val="95000"/>
                      <w14:lumOff w14:val="5000"/>
                    </w14:schemeClr>
                  </w14:solidFill>
                </w14:textFill>
              </w:rPr>
              <w:t>、S</w:t>
            </w:r>
            <w:r>
              <w:rPr>
                <w:rFonts w:cs="Times New Roman"/>
                <w:color w:val="0D0D0D" w:themeColor="text1" w:themeTint="F2"/>
                <w:sz w:val="21"/>
                <w:szCs w:val="21"/>
                <w14:textFill>
                  <w14:solidFill>
                    <w14:schemeClr w14:val="tx1">
                      <w14:lumMod w14:val="95000"/>
                      <w14:lumOff w14:val="5000"/>
                    </w14:schemeClr>
                  </w14:solidFill>
                </w14:textFill>
              </w:rPr>
              <w:t>S</w:t>
            </w:r>
            <w:r>
              <w:rPr>
                <w:rFonts w:hint="eastAsia" w:cs="Times New Roman"/>
                <w:color w:val="0D0D0D" w:themeColor="text1" w:themeTint="F2"/>
                <w:sz w:val="21"/>
                <w:szCs w:val="21"/>
                <w14:textFill>
                  <w14:solidFill>
                    <w14:schemeClr w14:val="tx1">
                      <w14:lumMod w14:val="95000"/>
                      <w14:lumOff w14:val="5000"/>
                    </w14:schemeClr>
                  </w14:solidFill>
                </w14:textFill>
              </w:rPr>
              <w:t>、动植物油</w:t>
            </w:r>
          </w:p>
        </w:tc>
        <w:tc>
          <w:tcPr>
            <w:tcW w:w="528" w:type="pct"/>
            <w:vAlign w:val="center"/>
          </w:tcPr>
          <w:p w14:paraId="047FDA62">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污水处理站</w:t>
            </w:r>
          </w:p>
        </w:tc>
        <w:tc>
          <w:tcPr>
            <w:tcW w:w="236" w:type="pct"/>
            <w:vAlign w:val="center"/>
          </w:tcPr>
          <w:p w14:paraId="37E9A44A">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间断</w:t>
            </w:r>
          </w:p>
        </w:tc>
        <w:tc>
          <w:tcPr>
            <w:tcW w:w="414" w:type="pct"/>
            <w:vAlign w:val="center"/>
          </w:tcPr>
          <w:p w14:paraId="195077B0">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w:t>
            </w:r>
          </w:p>
        </w:tc>
        <w:tc>
          <w:tcPr>
            <w:tcW w:w="421" w:type="pct"/>
            <w:vAlign w:val="center"/>
          </w:tcPr>
          <w:p w14:paraId="3F0C5562">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污水处理站</w:t>
            </w:r>
          </w:p>
        </w:tc>
        <w:tc>
          <w:tcPr>
            <w:tcW w:w="497" w:type="pct"/>
            <w:vMerge w:val="continue"/>
            <w:vAlign w:val="center"/>
          </w:tcPr>
          <w:p w14:paraId="57345E27">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336" w:type="pct"/>
            <w:vAlign w:val="center"/>
          </w:tcPr>
          <w:p w14:paraId="0F0CD7EF">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w:t>
            </w:r>
          </w:p>
        </w:tc>
        <w:tc>
          <w:tcPr>
            <w:tcW w:w="420" w:type="pct"/>
            <w:vAlign w:val="center"/>
          </w:tcPr>
          <w:p w14:paraId="7AC4B686">
            <w:pPr>
              <w:adjustRightInd w:val="0"/>
              <w:snapToGrid w:val="0"/>
              <w:spacing w:line="240" w:lineRule="auto"/>
              <w:jc w:val="center"/>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sym w:font="Wingdings 2" w:char="F052"/>
            </w:r>
            <w:r>
              <w:rPr>
                <w:rFonts w:hint="eastAsia" w:cs="宋体"/>
                <w:color w:val="0D0D0D" w:themeColor="text1" w:themeTint="F2"/>
                <w:position w:val="-1"/>
                <w:sz w:val="21"/>
                <w:szCs w:val="21"/>
                <w14:textFill>
                  <w14:solidFill>
                    <w14:schemeClr w14:val="tx1">
                      <w14:lumMod w14:val="95000"/>
                      <w14:lumOff w14:val="5000"/>
                    </w14:schemeClr>
                  </w14:solidFill>
                </w14:textFill>
              </w:rPr>
              <w:t>是</w:t>
            </w:r>
          </w:p>
          <w:p w14:paraId="679B368D">
            <w:pPr>
              <w:adjustRightInd w:val="0"/>
              <w:snapToGrid w:val="0"/>
              <w:spacing w:line="240" w:lineRule="auto"/>
              <w:jc w:val="center"/>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t>□否</w:t>
            </w:r>
          </w:p>
        </w:tc>
        <w:tc>
          <w:tcPr>
            <w:tcW w:w="891" w:type="pct"/>
            <w:vAlign w:val="center"/>
          </w:tcPr>
          <w:p w14:paraId="4888B370">
            <w:pPr>
              <w:adjustRightInd w:val="0"/>
              <w:snapToGrid w:val="0"/>
              <w:spacing w:line="240" w:lineRule="auto"/>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t>□企业总排</w:t>
            </w:r>
          </w:p>
          <w:p w14:paraId="3F589EF6">
            <w:pPr>
              <w:adjustRightInd w:val="0"/>
              <w:snapToGrid w:val="0"/>
              <w:spacing w:line="240" w:lineRule="auto"/>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t>□清净下水排放</w:t>
            </w:r>
          </w:p>
          <w:p w14:paraId="45D723F3">
            <w:pPr>
              <w:adjustRightInd w:val="0"/>
              <w:snapToGrid w:val="0"/>
              <w:spacing w:line="240" w:lineRule="auto"/>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t>□温排水排放</w:t>
            </w:r>
          </w:p>
          <w:p w14:paraId="698B0049">
            <w:pPr>
              <w:adjustRightInd w:val="0"/>
              <w:snapToGrid w:val="0"/>
              <w:spacing w:line="240" w:lineRule="auto"/>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sym w:font="Wingdings 2" w:char="F052"/>
            </w:r>
            <w:r>
              <w:rPr>
                <w:rFonts w:hint="eastAsia" w:cs="宋体"/>
                <w:color w:val="0D0D0D" w:themeColor="text1" w:themeTint="F2"/>
                <w:position w:val="-1"/>
                <w:sz w:val="21"/>
                <w:szCs w:val="21"/>
                <w14:textFill>
                  <w14:solidFill>
                    <w14:schemeClr w14:val="tx1">
                      <w14:lumMod w14:val="95000"/>
                      <w14:lumOff w14:val="5000"/>
                    </w14:schemeClr>
                  </w14:solidFill>
                </w14:textFill>
              </w:rPr>
              <w:t>车间或车间处理设施排放口</w:t>
            </w:r>
          </w:p>
        </w:tc>
      </w:tr>
      <w:tr w14:paraId="795DA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Align w:val="center"/>
          </w:tcPr>
          <w:p w14:paraId="79B567E2">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6</w:t>
            </w:r>
          </w:p>
        </w:tc>
        <w:tc>
          <w:tcPr>
            <w:tcW w:w="419" w:type="pct"/>
            <w:vAlign w:val="center"/>
          </w:tcPr>
          <w:p w14:paraId="3F5F312D">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生活污水</w:t>
            </w:r>
          </w:p>
        </w:tc>
        <w:tc>
          <w:tcPr>
            <w:tcW w:w="590" w:type="pct"/>
            <w:vAlign w:val="center"/>
          </w:tcPr>
          <w:p w14:paraId="41EE70BA">
            <w:pPr>
              <w:adjustRightInd w:val="0"/>
              <w:snapToGrid w:val="0"/>
              <w:spacing w:line="240" w:lineRule="auto"/>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C</w:t>
            </w:r>
            <w:r>
              <w:rPr>
                <w:rFonts w:cs="Times New Roman"/>
                <w:color w:val="0D0D0D" w:themeColor="text1" w:themeTint="F2"/>
                <w:sz w:val="21"/>
                <w:szCs w:val="21"/>
                <w14:textFill>
                  <w14:solidFill>
                    <w14:schemeClr w14:val="tx1">
                      <w14:lumMod w14:val="95000"/>
                      <w14:lumOff w14:val="5000"/>
                    </w14:schemeClr>
                  </w14:solidFill>
                </w14:textFill>
              </w:rPr>
              <w:t>OD</w:t>
            </w:r>
            <w:r>
              <w:rPr>
                <w:rFonts w:hint="eastAsia" w:cs="Times New Roman"/>
                <w:color w:val="0D0D0D" w:themeColor="text1" w:themeTint="F2"/>
                <w:sz w:val="21"/>
                <w:szCs w:val="21"/>
                <w14:textFill>
                  <w14:solidFill>
                    <w14:schemeClr w14:val="tx1">
                      <w14:lumMod w14:val="95000"/>
                      <w14:lumOff w14:val="5000"/>
                    </w14:schemeClr>
                  </w14:solidFill>
                </w14:textFill>
              </w:rPr>
              <w:t>、B</w:t>
            </w:r>
            <w:r>
              <w:rPr>
                <w:rFonts w:cs="Times New Roman"/>
                <w:color w:val="0D0D0D" w:themeColor="text1" w:themeTint="F2"/>
                <w:sz w:val="21"/>
                <w:szCs w:val="21"/>
                <w14:textFill>
                  <w14:solidFill>
                    <w14:schemeClr w14:val="tx1">
                      <w14:lumMod w14:val="95000"/>
                      <w14:lumOff w14:val="5000"/>
                    </w14:schemeClr>
                  </w14:solidFill>
                </w14:textFill>
              </w:rPr>
              <w:t>OD</w:t>
            </w:r>
            <w:r>
              <w:rPr>
                <w:rFonts w:cs="Times New Roman"/>
                <w:color w:val="0D0D0D" w:themeColor="text1" w:themeTint="F2"/>
                <w:sz w:val="21"/>
                <w:szCs w:val="21"/>
                <w:vertAlign w:val="subscript"/>
                <w14:textFill>
                  <w14:solidFill>
                    <w14:schemeClr w14:val="tx1">
                      <w14:lumMod w14:val="95000"/>
                      <w14:lumOff w14:val="5000"/>
                    </w14:schemeClr>
                  </w14:solidFill>
                </w14:textFill>
              </w:rPr>
              <w:t>5</w:t>
            </w:r>
            <w:r>
              <w:rPr>
                <w:rFonts w:hint="eastAsia" w:cs="Times New Roman"/>
                <w:color w:val="0D0D0D" w:themeColor="text1" w:themeTint="F2"/>
                <w:sz w:val="21"/>
                <w:szCs w:val="21"/>
                <w14:textFill>
                  <w14:solidFill>
                    <w14:schemeClr w14:val="tx1">
                      <w14:lumMod w14:val="95000"/>
                      <w14:lumOff w14:val="5000"/>
                    </w14:schemeClr>
                  </w14:solidFill>
                </w14:textFill>
              </w:rPr>
              <w:t>、N</w:t>
            </w:r>
            <w:r>
              <w:rPr>
                <w:rFonts w:cs="Times New Roman"/>
                <w:color w:val="0D0D0D" w:themeColor="text1" w:themeTint="F2"/>
                <w:sz w:val="21"/>
                <w:szCs w:val="21"/>
                <w14:textFill>
                  <w14:solidFill>
                    <w14:schemeClr w14:val="tx1">
                      <w14:lumMod w14:val="95000"/>
                      <w14:lumOff w14:val="5000"/>
                    </w14:schemeClr>
                  </w14:solidFill>
                </w14:textFill>
              </w:rPr>
              <w:t>H</w:t>
            </w:r>
            <w:r>
              <w:rPr>
                <w:rFonts w:cs="Times New Roman"/>
                <w:color w:val="0D0D0D" w:themeColor="text1" w:themeTint="F2"/>
                <w:sz w:val="21"/>
                <w:szCs w:val="21"/>
                <w:vertAlign w:val="subscript"/>
                <w14:textFill>
                  <w14:solidFill>
                    <w14:schemeClr w14:val="tx1">
                      <w14:lumMod w14:val="95000"/>
                      <w14:lumOff w14:val="5000"/>
                    </w14:schemeClr>
                  </w14:solidFill>
                </w14:textFill>
              </w:rPr>
              <w:t>3</w:t>
            </w:r>
            <w:r>
              <w:rPr>
                <w:rFonts w:cs="Times New Roman"/>
                <w:color w:val="0D0D0D" w:themeColor="text1" w:themeTint="F2"/>
                <w:sz w:val="21"/>
                <w:szCs w:val="21"/>
                <w14:textFill>
                  <w14:solidFill>
                    <w14:schemeClr w14:val="tx1">
                      <w14:lumMod w14:val="95000"/>
                      <w14:lumOff w14:val="5000"/>
                    </w14:schemeClr>
                  </w14:solidFill>
                </w14:textFill>
              </w:rPr>
              <w:t>-N</w:t>
            </w:r>
            <w:r>
              <w:rPr>
                <w:rFonts w:hint="eastAsia" w:cs="Times New Roman"/>
                <w:color w:val="0D0D0D" w:themeColor="text1" w:themeTint="F2"/>
                <w:sz w:val="21"/>
                <w:szCs w:val="21"/>
                <w14:textFill>
                  <w14:solidFill>
                    <w14:schemeClr w14:val="tx1">
                      <w14:lumMod w14:val="95000"/>
                      <w14:lumOff w14:val="5000"/>
                    </w14:schemeClr>
                  </w14:solidFill>
                </w14:textFill>
              </w:rPr>
              <w:t>、S</w:t>
            </w:r>
            <w:r>
              <w:rPr>
                <w:rFonts w:cs="Times New Roman"/>
                <w:color w:val="0D0D0D" w:themeColor="text1" w:themeTint="F2"/>
                <w:sz w:val="21"/>
                <w:szCs w:val="21"/>
                <w14:textFill>
                  <w14:solidFill>
                    <w14:schemeClr w14:val="tx1">
                      <w14:lumMod w14:val="95000"/>
                      <w14:lumOff w14:val="5000"/>
                    </w14:schemeClr>
                  </w14:solidFill>
                </w14:textFill>
              </w:rPr>
              <w:t>S</w:t>
            </w:r>
            <w:r>
              <w:rPr>
                <w:rFonts w:hint="eastAsia" w:cs="Times New Roman"/>
                <w:color w:val="0D0D0D" w:themeColor="text1" w:themeTint="F2"/>
                <w:sz w:val="21"/>
                <w:szCs w:val="21"/>
                <w14:textFill>
                  <w14:solidFill>
                    <w14:schemeClr w14:val="tx1">
                      <w14:lumMod w14:val="95000"/>
                      <w14:lumOff w14:val="5000"/>
                    </w14:schemeClr>
                  </w14:solidFill>
                </w14:textFill>
              </w:rPr>
              <w:t>、动植物油</w:t>
            </w:r>
          </w:p>
        </w:tc>
        <w:tc>
          <w:tcPr>
            <w:tcW w:w="528" w:type="pct"/>
            <w:vAlign w:val="center"/>
          </w:tcPr>
          <w:p w14:paraId="73676031">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三级化粪池</w:t>
            </w:r>
          </w:p>
        </w:tc>
        <w:tc>
          <w:tcPr>
            <w:tcW w:w="236" w:type="pct"/>
            <w:vAlign w:val="center"/>
          </w:tcPr>
          <w:p w14:paraId="5FE222B9">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间断</w:t>
            </w:r>
          </w:p>
        </w:tc>
        <w:tc>
          <w:tcPr>
            <w:tcW w:w="414" w:type="pct"/>
            <w:vAlign w:val="center"/>
          </w:tcPr>
          <w:p w14:paraId="015AF4D8">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w:t>
            </w:r>
          </w:p>
        </w:tc>
        <w:tc>
          <w:tcPr>
            <w:tcW w:w="421" w:type="pct"/>
            <w:vAlign w:val="center"/>
          </w:tcPr>
          <w:p w14:paraId="196FA996">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三级化粪池</w:t>
            </w:r>
          </w:p>
        </w:tc>
        <w:tc>
          <w:tcPr>
            <w:tcW w:w="497" w:type="pct"/>
            <w:vMerge w:val="continue"/>
            <w:vAlign w:val="center"/>
          </w:tcPr>
          <w:p w14:paraId="6BC98BEC">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336" w:type="pct"/>
            <w:vAlign w:val="center"/>
          </w:tcPr>
          <w:p w14:paraId="2E09DD6D">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w:t>
            </w:r>
          </w:p>
        </w:tc>
        <w:tc>
          <w:tcPr>
            <w:tcW w:w="420" w:type="pct"/>
            <w:vAlign w:val="center"/>
          </w:tcPr>
          <w:p w14:paraId="4B80640E">
            <w:pPr>
              <w:adjustRightInd w:val="0"/>
              <w:snapToGrid w:val="0"/>
              <w:spacing w:line="240" w:lineRule="auto"/>
              <w:jc w:val="center"/>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sym w:font="Wingdings 2" w:char="F052"/>
            </w:r>
            <w:r>
              <w:rPr>
                <w:rFonts w:hint="eastAsia" w:cs="宋体"/>
                <w:color w:val="0D0D0D" w:themeColor="text1" w:themeTint="F2"/>
                <w:position w:val="-1"/>
                <w:sz w:val="21"/>
                <w:szCs w:val="21"/>
                <w14:textFill>
                  <w14:solidFill>
                    <w14:schemeClr w14:val="tx1">
                      <w14:lumMod w14:val="95000"/>
                      <w14:lumOff w14:val="5000"/>
                    </w14:schemeClr>
                  </w14:solidFill>
                </w14:textFill>
              </w:rPr>
              <w:t>是</w:t>
            </w:r>
          </w:p>
          <w:p w14:paraId="178B558A">
            <w:pPr>
              <w:adjustRightInd w:val="0"/>
              <w:snapToGrid w:val="0"/>
              <w:spacing w:line="240" w:lineRule="auto"/>
              <w:jc w:val="center"/>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t>□否</w:t>
            </w:r>
          </w:p>
        </w:tc>
        <w:tc>
          <w:tcPr>
            <w:tcW w:w="891" w:type="pct"/>
            <w:vAlign w:val="center"/>
          </w:tcPr>
          <w:p w14:paraId="575D4A8D">
            <w:pPr>
              <w:adjustRightInd w:val="0"/>
              <w:snapToGrid w:val="0"/>
              <w:spacing w:line="240" w:lineRule="auto"/>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t>□企业总排</w:t>
            </w:r>
          </w:p>
          <w:p w14:paraId="3101DEA3">
            <w:pPr>
              <w:adjustRightInd w:val="0"/>
              <w:snapToGrid w:val="0"/>
              <w:spacing w:line="240" w:lineRule="auto"/>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t>□清净下水排放</w:t>
            </w:r>
          </w:p>
          <w:p w14:paraId="2FC6DDC5">
            <w:pPr>
              <w:adjustRightInd w:val="0"/>
              <w:snapToGrid w:val="0"/>
              <w:spacing w:line="240" w:lineRule="auto"/>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t>□温排水排放</w:t>
            </w:r>
          </w:p>
          <w:p w14:paraId="7B369E23">
            <w:pPr>
              <w:adjustRightInd w:val="0"/>
              <w:snapToGrid w:val="0"/>
              <w:spacing w:line="240" w:lineRule="auto"/>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sym w:font="Wingdings 2" w:char="F052"/>
            </w:r>
            <w:r>
              <w:rPr>
                <w:rFonts w:hint="eastAsia" w:cs="宋体"/>
                <w:color w:val="0D0D0D" w:themeColor="text1" w:themeTint="F2"/>
                <w:position w:val="-1"/>
                <w:sz w:val="21"/>
                <w:szCs w:val="21"/>
                <w14:textFill>
                  <w14:solidFill>
                    <w14:schemeClr w14:val="tx1">
                      <w14:lumMod w14:val="95000"/>
                      <w14:lumOff w14:val="5000"/>
                    </w14:schemeClr>
                  </w14:solidFill>
                </w14:textFill>
              </w:rPr>
              <w:t>车间或车间处理设施排放口</w:t>
            </w:r>
          </w:p>
        </w:tc>
      </w:tr>
      <w:tr w14:paraId="00C36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Align w:val="center"/>
          </w:tcPr>
          <w:p w14:paraId="17FCE396">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7</w:t>
            </w:r>
          </w:p>
        </w:tc>
        <w:tc>
          <w:tcPr>
            <w:tcW w:w="419" w:type="pct"/>
            <w:vAlign w:val="center"/>
          </w:tcPr>
          <w:p w14:paraId="5BB3B9CC">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初期雨水</w:t>
            </w:r>
          </w:p>
        </w:tc>
        <w:tc>
          <w:tcPr>
            <w:tcW w:w="590" w:type="pct"/>
            <w:vAlign w:val="center"/>
          </w:tcPr>
          <w:p w14:paraId="18EBABD1">
            <w:pPr>
              <w:adjustRightInd w:val="0"/>
              <w:snapToGrid w:val="0"/>
              <w:spacing w:line="240" w:lineRule="auto"/>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COD、氨氮、SS、石油类</w:t>
            </w:r>
          </w:p>
        </w:tc>
        <w:tc>
          <w:tcPr>
            <w:tcW w:w="528" w:type="pct"/>
            <w:vAlign w:val="center"/>
          </w:tcPr>
          <w:p w14:paraId="242B2933">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污水处理站</w:t>
            </w:r>
          </w:p>
        </w:tc>
        <w:tc>
          <w:tcPr>
            <w:tcW w:w="236" w:type="pct"/>
            <w:vAlign w:val="center"/>
          </w:tcPr>
          <w:p w14:paraId="26D84CD1">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间断</w:t>
            </w:r>
          </w:p>
        </w:tc>
        <w:tc>
          <w:tcPr>
            <w:tcW w:w="414" w:type="pct"/>
            <w:vAlign w:val="center"/>
          </w:tcPr>
          <w:p w14:paraId="5307A5BF">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w:t>
            </w:r>
          </w:p>
        </w:tc>
        <w:tc>
          <w:tcPr>
            <w:tcW w:w="421" w:type="pct"/>
            <w:vAlign w:val="center"/>
          </w:tcPr>
          <w:p w14:paraId="676E7696">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污水处理站</w:t>
            </w:r>
          </w:p>
        </w:tc>
        <w:tc>
          <w:tcPr>
            <w:tcW w:w="497" w:type="pct"/>
            <w:vMerge w:val="continue"/>
            <w:vAlign w:val="center"/>
          </w:tcPr>
          <w:p w14:paraId="13C84F68">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336" w:type="pct"/>
            <w:vAlign w:val="center"/>
          </w:tcPr>
          <w:p w14:paraId="069B0660">
            <w:pPr>
              <w:adjustRightInd w:val="0"/>
              <w:snapToGrid w:val="0"/>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w:t>
            </w:r>
          </w:p>
        </w:tc>
        <w:tc>
          <w:tcPr>
            <w:tcW w:w="420" w:type="pct"/>
            <w:vAlign w:val="center"/>
          </w:tcPr>
          <w:p w14:paraId="04505032">
            <w:pPr>
              <w:adjustRightInd w:val="0"/>
              <w:snapToGrid w:val="0"/>
              <w:spacing w:line="240" w:lineRule="auto"/>
              <w:jc w:val="center"/>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sym w:font="Wingdings 2" w:char="F052"/>
            </w:r>
            <w:r>
              <w:rPr>
                <w:rFonts w:hint="eastAsia" w:cs="宋体"/>
                <w:color w:val="0D0D0D" w:themeColor="text1" w:themeTint="F2"/>
                <w:position w:val="-1"/>
                <w:sz w:val="21"/>
                <w:szCs w:val="21"/>
                <w14:textFill>
                  <w14:solidFill>
                    <w14:schemeClr w14:val="tx1">
                      <w14:lumMod w14:val="95000"/>
                      <w14:lumOff w14:val="5000"/>
                    </w14:schemeClr>
                  </w14:solidFill>
                </w14:textFill>
              </w:rPr>
              <w:t>是</w:t>
            </w:r>
          </w:p>
          <w:p w14:paraId="18212DF0">
            <w:pPr>
              <w:adjustRightInd w:val="0"/>
              <w:snapToGrid w:val="0"/>
              <w:spacing w:line="240" w:lineRule="auto"/>
              <w:jc w:val="center"/>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t>□否</w:t>
            </w:r>
          </w:p>
        </w:tc>
        <w:tc>
          <w:tcPr>
            <w:tcW w:w="891" w:type="pct"/>
            <w:vAlign w:val="center"/>
          </w:tcPr>
          <w:p w14:paraId="4BEC0443">
            <w:pPr>
              <w:adjustRightInd w:val="0"/>
              <w:snapToGrid w:val="0"/>
              <w:spacing w:line="240" w:lineRule="auto"/>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t>□企业总排</w:t>
            </w:r>
          </w:p>
          <w:p w14:paraId="386C6165">
            <w:pPr>
              <w:adjustRightInd w:val="0"/>
              <w:snapToGrid w:val="0"/>
              <w:spacing w:line="240" w:lineRule="auto"/>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t>□清净下水排放</w:t>
            </w:r>
          </w:p>
          <w:p w14:paraId="30E13E7A">
            <w:pPr>
              <w:adjustRightInd w:val="0"/>
              <w:snapToGrid w:val="0"/>
              <w:spacing w:line="240" w:lineRule="auto"/>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t>□温排水排放</w:t>
            </w:r>
          </w:p>
          <w:p w14:paraId="4C269F8B">
            <w:pPr>
              <w:adjustRightInd w:val="0"/>
              <w:snapToGrid w:val="0"/>
              <w:spacing w:line="240" w:lineRule="auto"/>
              <w:rPr>
                <w:rFonts w:cs="宋体"/>
                <w:color w:val="0D0D0D" w:themeColor="text1" w:themeTint="F2"/>
                <w:position w:val="-1"/>
                <w:sz w:val="21"/>
                <w:szCs w:val="21"/>
                <w14:textFill>
                  <w14:solidFill>
                    <w14:schemeClr w14:val="tx1">
                      <w14:lumMod w14:val="95000"/>
                      <w14:lumOff w14:val="5000"/>
                    </w14:schemeClr>
                  </w14:solidFill>
                </w14:textFill>
              </w:rPr>
            </w:pPr>
            <w:r>
              <w:rPr>
                <w:rFonts w:hint="eastAsia" w:cs="宋体"/>
                <w:color w:val="0D0D0D" w:themeColor="text1" w:themeTint="F2"/>
                <w:position w:val="-1"/>
                <w:sz w:val="21"/>
                <w:szCs w:val="21"/>
                <w14:textFill>
                  <w14:solidFill>
                    <w14:schemeClr w14:val="tx1">
                      <w14:lumMod w14:val="95000"/>
                      <w14:lumOff w14:val="5000"/>
                    </w14:schemeClr>
                  </w14:solidFill>
                </w14:textFill>
              </w:rPr>
              <w:sym w:font="Wingdings 2" w:char="F052"/>
            </w:r>
            <w:r>
              <w:rPr>
                <w:rFonts w:hint="eastAsia" w:cs="宋体"/>
                <w:color w:val="0D0D0D" w:themeColor="text1" w:themeTint="F2"/>
                <w:position w:val="-1"/>
                <w:sz w:val="21"/>
                <w:szCs w:val="21"/>
                <w14:textFill>
                  <w14:solidFill>
                    <w14:schemeClr w14:val="tx1">
                      <w14:lumMod w14:val="95000"/>
                      <w14:lumOff w14:val="5000"/>
                    </w14:schemeClr>
                  </w14:solidFill>
                </w14:textFill>
              </w:rPr>
              <w:t>车间或车间处理设施排放口</w:t>
            </w:r>
          </w:p>
        </w:tc>
      </w:tr>
    </w:tbl>
    <w:p w14:paraId="13F85F7B">
      <w:pPr>
        <w:pStyle w:val="11"/>
      </w:pPr>
      <w:r>
        <w:rPr>
          <w:rFonts w:hint="eastAsia"/>
        </w:rPr>
        <w:t xml:space="preserve"> 废水污染物排放执行标准表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392"/>
        <w:gridCol w:w="1597"/>
        <w:gridCol w:w="2144"/>
        <w:gridCol w:w="3471"/>
      </w:tblGrid>
      <w:tr w14:paraId="2ADAC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45" w:type="pct"/>
            <w:vMerge w:val="restart"/>
            <w:vAlign w:val="center"/>
          </w:tcPr>
          <w:p w14:paraId="4B9CAFE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序号</w:t>
            </w:r>
          </w:p>
        </w:tc>
        <w:tc>
          <w:tcPr>
            <w:tcW w:w="753" w:type="pct"/>
            <w:vMerge w:val="restart"/>
            <w:vAlign w:val="center"/>
          </w:tcPr>
          <w:p w14:paraId="551619E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排放口编号</w:t>
            </w:r>
          </w:p>
        </w:tc>
        <w:tc>
          <w:tcPr>
            <w:tcW w:w="864" w:type="pct"/>
            <w:vMerge w:val="restart"/>
            <w:vAlign w:val="center"/>
          </w:tcPr>
          <w:p w14:paraId="4BED521E">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污染物种类</w:t>
            </w:r>
          </w:p>
        </w:tc>
        <w:tc>
          <w:tcPr>
            <w:tcW w:w="3038" w:type="pct"/>
            <w:gridSpan w:val="2"/>
            <w:vAlign w:val="center"/>
          </w:tcPr>
          <w:p w14:paraId="05B5CF3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国家或地方污染物排放标准及其他按规定商定的排放协议</w:t>
            </w:r>
          </w:p>
        </w:tc>
      </w:tr>
      <w:tr w14:paraId="778E1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Merge w:val="continue"/>
            <w:vAlign w:val="center"/>
          </w:tcPr>
          <w:p w14:paraId="253D3904">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753" w:type="pct"/>
            <w:vMerge w:val="continue"/>
            <w:vAlign w:val="center"/>
          </w:tcPr>
          <w:p w14:paraId="38C1242C">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864" w:type="pct"/>
            <w:vMerge w:val="continue"/>
            <w:vAlign w:val="center"/>
          </w:tcPr>
          <w:p w14:paraId="64957E07">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160" w:type="pct"/>
            <w:vAlign w:val="center"/>
          </w:tcPr>
          <w:p w14:paraId="5610CEC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名称</w:t>
            </w:r>
          </w:p>
        </w:tc>
        <w:tc>
          <w:tcPr>
            <w:tcW w:w="1878" w:type="pct"/>
            <w:vAlign w:val="center"/>
          </w:tcPr>
          <w:p w14:paraId="5DD961E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浓度限值（mg/L）</w:t>
            </w:r>
          </w:p>
        </w:tc>
      </w:tr>
      <w:tr w14:paraId="213CB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Merge w:val="restart"/>
            <w:vAlign w:val="center"/>
          </w:tcPr>
          <w:p w14:paraId="21C6F69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w:t>
            </w:r>
          </w:p>
        </w:tc>
        <w:tc>
          <w:tcPr>
            <w:tcW w:w="753" w:type="pct"/>
            <w:vMerge w:val="restart"/>
            <w:vAlign w:val="center"/>
          </w:tcPr>
          <w:p w14:paraId="68EE9F2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DW001废水总排口</w:t>
            </w:r>
          </w:p>
        </w:tc>
        <w:tc>
          <w:tcPr>
            <w:tcW w:w="864" w:type="pct"/>
            <w:vAlign w:val="center"/>
          </w:tcPr>
          <w:p w14:paraId="255C59A9">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pH</w:t>
            </w:r>
          </w:p>
        </w:tc>
        <w:tc>
          <w:tcPr>
            <w:tcW w:w="1160" w:type="pct"/>
            <w:vAlign w:val="center"/>
          </w:tcPr>
          <w:p w14:paraId="62E86E9A">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pH</w:t>
            </w:r>
          </w:p>
        </w:tc>
        <w:tc>
          <w:tcPr>
            <w:tcW w:w="1878" w:type="pct"/>
            <w:vAlign w:val="center"/>
          </w:tcPr>
          <w:p w14:paraId="09E7EB5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6~9</w:t>
            </w:r>
          </w:p>
        </w:tc>
      </w:tr>
      <w:tr w14:paraId="6BF01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Merge w:val="continue"/>
            <w:vAlign w:val="center"/>
          </w:tcPr>
          <w:p w14:paraId="31D091A6">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753" w:type="pct"/>
            <w:vMerge w:val="continue"/>
            <w:vAlign w:val="center"/>
          </w:tcPr>
          <w:p w14:paraId="29705B02">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864" w:type="pct"/>
            <w:vAlign w:val="center"/>
          </w:tcPr>
          <w:p w14:paraId="56601D10">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SS</w:t>
            </w:r>
          </w:p>
        </w:tc>
        <w:tc>
          <w:tcPr>
            <w:tcW w:w="1160" w:type="pct"/>
            <w:vAlign w:val="center"/>
          </w:tcPr>
          <w:p w14:paraId="4047D7A3">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SS</w:t>
            </w:r>
          </w:p>
        </w:tc>
        <w:tc>
          <w:tcPr>
            <w:tcW w:w="1878" w:type="pct"/>
            <w:vAlign w:val="center"/>
          </w:tcPr>
          <w:p w14:paraId="1F28667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250</w:t>
            </w:r>
          </w:p>
        </w:tc>
      </w:tr>
      <w:tr w14:paraId="7371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Merge w:val="continue"/>
            <w:vAlign w:val="center"/>
          </w:tcPr>
          <w:p w14:paraId="759A476A">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753" w:type="pct"/>
            <w:vMerge w:val="continue"/>
            <w:vAlign w:val="center"/>
          </w:tcPr>
          <w:p w14:paraId="3AB291D6">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864" w:type="pct"/>
            <w:vAlign w:val="center"/>
          </w:tcPr>
          <w:p w14:paraId="6F91A0F8">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COD</w:t>
            </w:r>
          </w:p>
        </w:tc>
        <w:tc>
          <w:tcPr>
            <w:tcW w:w="1160" w:type="pct"/>
            <w:vAlign w:val="center"/>
          </w:tcPr>
          <w:p w14:paraId="40D94F51">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COD</w:t>
            </w:r>
          </w:p>
        </w:tc>
        <w:tc>
          <w:tcPr>
            <w:tcW w:w="1878" w:type="pct"/>
            <w:vAlign w:val="center"/>
          </w:tcPr>
          <w:p w14:paraId="6BC4AEC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1000</w:t>
            </w:r>
          </w:p>
        </w:tc>
      </w:tr>
      <w:tr w14:paraId="23AB7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Merge w:val="continue"/>
            <w:vAlign w:val="center"/>
          </w:tcPr>
          <w:p w14:paraId="62A0E099">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753" w:type="pct"/>
            <w:vMerge w:val="continue"/>
            <w:vAlign w:val="center"/>
          </w:tcPr>
          <w:p w14:paraId="50D548B0">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864" w:type="pct"/>
            <w:vAlign w:val="center"/>
          </w:tcPr>
          <w:p w14:paraId="2152727D">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BOD</w:t>
            </w:r>
            <w:r>
              <w:rPr>
                <w:color w:val="0D0D0D" w:themeColor="text1" w:themeTint="F2"/>
                <w:sz w:val="21"/>
                <w:szCs w:val="21"/>
                <w:vertAlign w:val="subscript"/>
                <w14:textFill>
                  <w14:solidFill>
                    <w14:schemeClr w14:val="tx1">
                      <w14:lumMod w14:val="95000"/>
                      <w14:lumOff w14:val="5000"/>
                    </w14:schemeClr>
                  </w14:solidFill>
                </w14:textFill>
              </w:rPr>
              <w:t>5</w:t>
            </w:r>
          </w:p>
        </w:tc>
        <w:tc>
          <w:tcPr>
            <w:tcW w:w="1160" w:type="pct"/>
            <w:vAlign w:val="center"/>
          </w:tcPr>
          <w:p w14:paraId="72FEE41F">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BOD</w:t>
            </w:r>
            <w:r>
              <w:rPr>
                <w:color w:val="0D0D0D" w:themeColor="text1" w:themeTint="F2"/>
                <w:sz w:val="21"/>
                <w:szCs w:val="21"/>
                <w:vertAlign w:val="subscript"/>
                <w14:textFill>
                  <w14:solidFill>
                    <w14:schemeClr w14:val="tx1">
                      <w14:lumMod w14:val="95000"/>
                      <w14:lumOff w14:val="5000"/>
                    </w14:schemeClr>
                  </w14:solidFill>
                </w14:textFill>
              </w:rPr>
              <w:t>5</w:t>
            </w:r>
          </w:p>
        </w:tc>
        <w:tc>
          <w:tcPr>
            <w:tcW w:w="1878" w:type="pct"/>
            <w:vAlign w:val="center"/>
          </w:tcPr>
          <w:p w14:paraId="37827AB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450</w:t>
            </w:r>
          </w:p>
        </w:tc>
      </w:tr>
      <w:tr w14:paraId="279E8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Merge w:val="continue"/>
            <w:vAlign w:val="center"/>
          </w:tcPr>
          <w:p w14:paraId="5907EB90">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753" w:type="pct"/>
            <w:vMerge w:val="continue"/>
            <w:vAlign w:val="center"/>
          </w:tcPr>
          <w:p w14:paraId="1FE4DA57">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864" w:type="pct"/>
            <w:vAlign w:val="center"/>
          </w:tcPr>
          <w:p w14:paraId="29990C15">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NH</w:t>
            </w:r>
            <w:r>
              <w:rPr>
                <w:color w:val="0D0D0D" w:themeColor="text1" w:themeTint="F2"/>
                <w:sz w:val="21"/>
                <w:szCs w:val="21"/>
                <w:vertAlign w:val="subscript"/>
                <w14:textFill>
                  <w14:solidFill>
                    <w14:schemeClr w14:val="tx1">
                      <w14:lumMod w14:val="95000"/>
                      <w14:lumOff w14:val="5000"/>
                    </w14:schemeClr>
                  </w14:solidFill>
                </w14:textFill>
              </w:rPr>
              <w:t>3</w:t>
            </w:r>
            <w:r>
              <w:rPr>
                <w:color w:val="0D0D0D" w:themeColor="text1" w:themeTint="F2"/>
                <w:sz w:val="21"/>
                <w:szCs w:val="21"/>
                <w14:textFill>
                  <w14:solidFill>
                    <w14:schemeClr w14:val="tx1">
                      <w14:lumMod w14:val="95000"/>
                      <w14:lumOff w14:val="5000"/>
                    </w14:schemeClr>
                  </w14:solidFill>
                </w14:textFill>
              </w:rPr>
              <w:t>-N</w:t>
            </w:r>
          </w:p>
        </w:tc>
        <w:tc>
          <w:tcPr>
            <w:tcW w:w="1160" w:type="pct"/>
            <w:vAlign w:val="center"/>
          </w:tcPr>
          <w:p w14:paraId="6F713840">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NH</w:t>
            </w:r>
            <w:r>
              <w:rPr>
                <w:color w:val="0D0D0D" w:themeColor="text1" w:themeTint="F2"/>
                <w:sz w:val="21"/>
                <w:szCs w:val="21"/>
                <w:vertAlign w:val="subscript"/>
                <w14:textFill>
                  <w14:solidFill>
                    <w14:schemeClr w14:val="tx1">
                      <w14:lumMod w14:val="95000"/>
                      <w14:lumOff w14:val="5000"/>
                    </w14:schemeClr>
                  </w14:solidFill>
                </w14:textFill>
              </w:rPr>
              <w:t>3</w:t>
            </w:r>
            <w:r>
              <w:rPr>
                <w:color w:val="0D0D0D" w:themeColor="text1" w:themeTint="F2"/>
                <w:sz w:val="21"/>
                <w:szCs w:val="21"/>
                <w14:textFill>
                  <w14:solidFill>
                    <w14:schemeClr w14:val="tx1">
                      <w14:lumMod w14:val="95000"/>
                      <w14:lumOff w14:val="5000"/>
                    </w14:schemeClr>
                  </w14:solidFill>
                </w14:textFill>
              </w:rPr>
              <w:t>-N</w:t>
            </w:r>
          </w:p>
        </w:tc>
        <w:tc>
          <w:tcPr>
            <w:tcW w:w="1878" w:type="pct"/>
            <w:vAlign w:val="center"/>
          </w:tcPr>
          <w:p w14:paraId="6587D90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50</w:t>
            </w:r>
          </w:p>
        </w:tc>
      </w:tr>
      <w:tr w14:paraId="2ED25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Merge w:val="continue"/>
            <w:vAlign w:val="center"/>
          </w:tcPr>
          <w:p w14:paraId="4C1299F0">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753" w:type="pct"/>
            <w:vMerge w:val="continue"/>
            <w:vAlign w:val="center"/>
          </w:tcPr>
          <w:p w14:paraId="00A879D0">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864" w:type="pct"/>
            <w:vAlign w:val="center"/>
          </w:tcPr>
          <w:p w14:paraId="5A55CA1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动植物油</w:t>
            </w:r>
          </w:p>
        </w:tc>
        <w:tc>
          <w:tcPr>
            <w:tcW w:w="1160" w:type="pct"/>
            <w:vAlign w:val="center"/>
          </w:tcPr>
          <w:p w14:paraId="2836068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动植物油</w:t>
            </w:r>
          </w:p>
        </w:tc>
        <w:tc>
          <w:tcPr>
            <w:tcW w:w="1878" w:type="pct"/>
            <w:vAlign w:val="center"/>
          </w:tcPr>
          <w:p w14:paraId="3BA472BB">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10</w:t>
            </w:r>
          </w:p>
        </w:tc>
      </w:tr>
    </w:tbl>
    <w:p w14:paraId="05AFF83D">
      <w:pPr>
        <w:pStyle w:val="11"/>
      </w:pPr>
      <w:r>
        <w:rPr>
          <w:rFonts w:hint="eastAsia"/>
        </w:rPr>
        <w:t xml:space="preserve"> 项目运行后厂区废水污染物排放信息表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2586"/>
        <w:gridCol w:w="1651"/>
        <w:gridCol w:w="1423"/>
        <w:gridCol w:w="1377"/>
        <w:gridCol w:w="1375"/>
      </w:tblGrid>
      <w:tr w14:paraId="59992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9" w:type="pct"/>
            <w:vAlign w:val="center"/>
          </w:tcPr>
          <w:p w14:paraId="5DAF96F4">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序号</w:t>
            </w:r>
          </w:p>
        </w:tc>
        <w:tc>
          <w:tcPr>
            <w:tcW w:w="1399" w:type="pct"/>
            <w:vAlign w:val="center"/>
          </w:tcPr>
          <w:p w14:paraId="343EFCA3">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排放口编号</w:t>
            </w:r>
          </w:p>
        </w:tc>
        <w:tc>
          <w:tcPr>
            <w:tcW w:w="893" w:type="pct"/>
            <w:vAlign w:val="center"/>
          </w:tcPr>
          <w:p w14:paraId="6F6EC590">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污染物种类</w:t>
            </w:r>
          </w:p>
        </w:tc>
        <w:tc>
          <w:tcPr>
            <w:tcW w:w="770" w:type="pct"/>
            <w:vAlign w:val="center"/>
          </w:tcPr>
          <w:p w14:paraId="6623D88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排放浓度</w:t>
            </w:r>
          </w:p>
          <w:p w14:paraId="079E290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r>
              <w:rPr>
                <w:color w:val="0D0D0D" w:themeColor="text1" w:themeTint="F2"/>
                <w:sz w:val="21"/>
                <w:szCs w:val="21"/>
                <w14:textFill>
                  <w14:solidFill>
                    <w14:schemeClr w14:val="tx1">
                      <w14:lumMod w14:val="95000"/>
                      <w14:lumOff w14:val="5000"/>
                    </w14:schemeClr>
                  </w14:solidFill>
                </w14:textFill>
              </w:rPr>
              <w:t>m</w:t>
            </w:r>
            <w:r>
              <w:rPr>
                <w:rFonts w:hint="eastAsia"/>
                <w:color w:val="0D0D0D" w:themeColor="text1" w:themeTint="F2"/>
                <w:sz w:val="21"/>
                <w:szCs w:val="21"/>
                <w14:textFill>
                  <w14:solidFill>
                    <w14:schemeClr w14:val="tx1">
                      <w14:lumMod w14:val="95000"/>
                      <w14:lumOff w14:val="5000"/>
                    </w14:schemeClr>
                  </w14:solidFill>
                </w14:textFill>
              </w:rPr>
              <w:t>g/L）</w:t>
            </w:r>
          </w:p>
        </w:tc>
        <w:tc>
          <w:tcPr>
            <w:tcW w:w="745" w:type="pct"/>
            <w:vAlign w:val="center"/>
          </w:tcPr>
          <w:p w14:paraId="4FD920BA">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日排放量</w:t>
            </w:r>
          </w:p>
          <w:p w14:paraId="71F78F82">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（kg/d）</w:t>
            </w:r>
          </w:p>
        </w:tc>
        <w:tc>
          <w:tcPr>
            <w:tcW w:w="745" w:type="pct"/>
            <w:vAlign w:val="center"/>
          </w:tcPr>
          <w:p w14:paraId="3B2A27C7">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年排放量</w:t>
            </w:r>
          </w:p>
          <w:p w14:paraId="11FF7805">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（t/a）</w:t>
            </w:r>
          </w:p>
        </w:tc>
      </w:tr>
      <w:tr w14:paraId="7CA32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9" w:type="pct"/>
            <w:vMerge w:val="restart"/>
            <w:vAlign w:val="center"/>
          </w:tcPr>
          <w:p w14:paraId="6B873CE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1</w:t>
            </w:r>
          </w:p>
        </w:tc>
        <w:tc>
          <w:tcPr>
            <w:tcW w:w="1399" w:type="pct"/>
            <w:vMerge w:val="restart"/>
            <w:vAlign w:val="center"/>
          </w:tcPr>
          <w:p w14:paraId="3E3946C9">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DW001废水总排口</w:t>
            </w:r>
          </w:p>
        </w:tc>
        <w:tc>
          <w:tcPr>
            <w:tcW w:w="893" w:type="pct"/>
            <w:vAlign w:val="center"/>
          </w:tcPr>
          <w:p w14:paraId="365D5C12">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SS</w:t>
            </w:r>
          </w:p>
        </w:tc>
        <w:tc>
          <w:tcPr>
            <w:tcW w:w="770" w:type="pct"/>
            <w:vAlign w:val="center"/>
          </w:tcPr>
          <w:p w14:paraId="36A1EA3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745" w:type="pct"/>
            <w:vAlign w:val="center"/>
          </w:tcPr>
          <w:p w14:paraId="246FA6EE">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745" w:type="pct"/>
            <w:vAlign w:val="center"/>
          </w:tcPr>
          <w:p w14:paraId="63C16396">
            <w:pPr>
              <w:spacing w:line="240" w:lineRule="auto"/>
              <w:jc w:val="center"/>
              <w:rPr>
                <w:color w:val="0D0D0D" w:themeColor="text1" w:themeTint="F2"/>
                <w:sz w:val="21"/>
                <w:szCs w:val="21"/>
                <w14:textFill>
                  <w14:solidFill>
                    <w14:schemeClr w14:val="tx1">
                      <w14:lumMod w14:val="95000"/>
                      <w14:lumOff w14:val="5000"/>
                    </w14:schemeClr>
                  </w14:solidFill>
                </w14:textFill>
              </w:rPr>
            </w:pPr>
          </w:p>
        </w:tc>
      </w:tr>
      <w:tr w14:paraId="1386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9" w:type="pct"/>
            <w:vMerge w:val="continue"/>
            <w:vAlign w:val="center"/>
          </w:tcPr>
          <w:p w14:paraId="1AC300B4">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399" w:type="pct"/>
            <w:vMerge w:val="continue"/>
            <w:vAlign w:val="center"/>
          </w:tcPr>
          <w:p w14:paraId="45FEA72C">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893" w:type="pct"/>
            <w:vAlign w:val="center"/>
          </w:tcPr>
          <w:p w14:paraId="55601C26">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COD</w:t>
            </w:r>
          </w:p>
        </w:tc>
        <w:tc>
          <w:tcPr>
            <w:tcW w:w="770" w:type="pct"/>
            <w:vAlign w:val="center"/>
          </w:tcPr>
          <w:p w14:paraId="6324BD7C">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745" w:type="pct"/>
            <w:vAlign w:val="center"/>
          </w:tcPr>
          <w:p w14:paraId="12178AB1">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745" w:type="pct"/>
            <w:vAlign w:val="center"/>
          </w:tcPr>
          <w:p w14:paraId="2B3DCE96">
            <w:pPr>
              <w:spacing w:line="240" w:lineRule="auto"/>
              <w:jc w:val="center"/>
              <w:rPr>
                <w:color w:val="0D0D0D" w:themeColor="text1" w:themeTint="F2"/>
                <w:sz w:val="21"/>
                <w:szCs w:val="21"/>
                <w14:textFill>
                  <w14:solidFill>
                    <w14:schemeClr w14:val="tx1">
                      <w14:lumMod w14:val="95000"/>
                      <w14:lumOff w14:val="5000"/>
                    </w14:schemeClr>
                  </w14:solidFill>
                </w14:textFill>
              </w:rPr>
            </w:pPr>
          </w:p>
        </w:tc>
      </w:tr>
      <w:tr w14:paraId="14AA9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9" w:type="pct"/>
            <w:vMerge w:val="continue"/>
            <w:vAlign w:val="center"/>
          </w:tcPr>
          <w:p w14:paraId="1FCCD1E6">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399" w:type="pct"/>
            <w:vMerge w:val="continue"/>
            <w:vAlign w:val="center"/>
          </w:tcPr>
          <w:p w14:paraId="0F9D29A4">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893" w:type="pct"/>
            <w:vAlign w:val="center"/>
          </w:tcPr>
          <w:p w14:paraId="1B533E30">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BOD</w:t>
            </w:r>
            <w:r>
              <w:rPr>
                <w:color w:val="0D0D0D" w:themeColor="text1" w:themeTint="F2"/>
                <w:sz w:val="21"/>
                <w:szCs w:val="21"/>
                <w:vertAlign w:val="subscript"/>
                <w14:textFill>
                  <w14:solidFill>
                    <w14:schemeClr w14:val="tx1">
                      <w14:lumMod w14:val="95000"/>
                      <w14:lumOff w14:val="5000"/>
                    </w14:schemeClr>
                  </w14:solidFill>
                </w14:textFill>
              </w:rPr>
              <w:t>5</w:t>
            </w:r>
          </w:p>
        </w:tc>
        <w:tc>
          <w:tcPr>
            <w:tcW w:w="770" w:type="pct"/>
            <w:vAlign w:val="center"/>
          </w:tcPr>
          <w:p w14:paraId="63858776">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745" w:type="pct"/>
            <w:vAlign w:val="center"/>
          </w:tcPr>
          <w:p w14:paraId="57434732">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745" w:type="pct"/>
            <w:vAlign w:val="center"/>
          </w:tcPr>
          <w:p w14:paraId="7B239AA3">
            <w:pPr>
              <w:spacing w:line="240" w:lineRule="auto"/>
              <w:jc w:val="center"/>
              <w:rPr>
                <w:color w:val="0D0D0D" w:themeColor="text1" w:themeTint="F2"/>
                <w:sz w:val="21"/>
                <w:szCs w:val="21"/>
                <w14:textFill>
                  <w14:solidFill>
                    <w14:schemeClr w14:val="tx1">
                      <w14:lumMod w14:val="95000"/>
                      <w14:lumOff w14:val="5000"/>
                    </w14:schemeClr>
                  </w14:solidFill>
                </w14:textFill>
              </w:rPr>
            </w:pPr>
          </w:p>
        </w:tc>
      </w:tr>
      <w:tr w14:paraId="6A731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9" w:type="pct"/>
            <w:vMerge w:val="continue"/>
            <w:vAlign w:val="center"/>
          </w:tcPr>
          <w:p w14:paraId="6EE5D8F1">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399" w:type="pct"/>
            <w:vMerge w:val="continue"/>
            <w:vAlign w:val="center"/>
          </w:tcPr>
          <w:p w14:paraId="02C07F6E">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893" w:type="pct"/>
            <w:vAlign w:val="center"/>
          </w:tcPr>
          <w:p w14:paraId="2DE54567">
            <w:pPr>
              <w:spacing w:line="240" w:lineRule="auto"/>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NH</w:t>
            </w:r>
            <w:r>
              <w:rPr>
                <w:color w:val="0D0D0D" w:themeColor="text1" w:themeTint="F2"/>
                <w:sz w:val="21"/>
                <w:szCs w:val="21"/>
                <w:vertAlign w:val="subscript"/>
                <w14:textFill>
                  <w14:solidFill>
                    <w14:schemeClr w14:val="tx1">
                      <w14:lumMod w14:val="95000"/>
                      <w14:lumOff w14:val="5000"/>
                    </w14:schemeClr>
                  </w14:solidFill>
                </w14:textFill>
              </w:rPr>
              <w:t>3</w:t>
            </w:r>
            <w:r>
              <w:rPr>
                <w:color w:val="0D0D0D" w:themeColor="text1" w:themeTint="F2"/>
                <w:sz w:val="21"/>
                <w:szCs w:val="21"/>
                <w14:textFill>
                  <w14:solidFill>
                    <w14:schemeClr w14:val="tx1">
                      <w14:lumMod w14:val="95000"/>
                      <w14:lumOff w14:val="5000"/>
                    </w14:schemeClr>
                  </w14:solidFill>
                </w14:textFill>
              </w:rPr>
              <w:t>-N</w:t>
            </w:r>
          </w:p>
        </w:tc>
        <w:tc>
          <w:tcPr>
            <w:tcW w:w="770" w:type="pct"/>
            <w:vAlign w:val="center"/>
          </w:tcPr>
          <w:p w14:paraId="4FA43ADD">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745" w:type="pct"/>
            <w:vAlign w:val="center"/>
          </w:tcPr>
          <w:p w14:paraId="1FF800F1">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745" w:type="pct"/>
            <w:vAlign w:val="center"/>
          </w:tcPr>
          <w:p w14:paraId="5FE60785">
            <w:pPr>
              <w:spacing w:line="240" w:lineRule="auto"/>
              <w:jc w:val="center"/>
              <w:rPr>
                <w:color w:val="0D0D0D" w:themeColor="text1" w:themeTint="F2"/>
                <w:sz w:val="21"/>
                <w:szCs w:val="21"/>
                <w14:textFill>
                  <w14:solidFill>
                    <w14:schemeClr w14:val="tx1">
                      <w14:lumMod w14:val="95000"/>
                      <w14:lumOff w14:val="5000"/>
                    </w14:schemeClr>
                  </w14:solidFill>
                </w14:textFill>
              </w:rPr>
            </w:pPr>
          </w:p>
        </w:tc>
      </w:tr>
      <w:tr w14:paraId="1449D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9" w:type="pct"/>
            <w:vMerge w:val="continue"/>
            <w:vAlign w:val="center"/>
          </w:tcPr>
          <w:p w14:paraId="7EACA46B">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1399" w:type="pct"/>
            <w:vMerge w:val="continue"/>
            <w:vAlign w:val="center"/>
          </w:tcPr>
          <w:p w14:paraId="402C8AA4">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893" w:type="pct"/>
            <w:vAlign w:val="center"/>
          </w:tcPr>
          <w:p w14:paraId="07CF9378">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动植物油</w:t>
            </w:r>
          </w:p>
        </w:tc>
        <w:tc>
          <w:tcPr>
            <w:tcW w:w="770" w:type="pct"/>
            <w:vAlign w:val="center"/>
          </w:tcPr>
          <w:p w14:paraId="4159068F">
            <w:pPr>
              <w:spacing w:line="240" w:lineRule="auto"/>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w:t>
            </w:r>
          </w:p>
        </w:tc>
        <w:tc>
          <w:tcPr>
            <w:tcW w:w="745" w:type="pct"/>
            <w:vAlign w:val="center"/>
          </w:tcPr>
          <w:p w14:paraId="0F5D7CFC">
            <w:pPr>
              <w:spacing w:line="240" w:lineRule="auto"/>
              <w:jc w:val="center"/>
              <w:rPr>
                <w:color w:val="0D0D0D" w:themeColor="text1" w:themeTint="F2"/>
                <w:sz w:val="21"/>
                <w:szCs w:val="21"/>
                <w14:textFill>
                  <w14:solidFill>
                    <w14:schemeClr w14:val="tx1">
                      <w14:lumMod w14:val="95000"/>
                      <w14:lumOff w14:val="5000"/>
                    </w14:schemeClr>
                  </w14:solidFill>
                </w14:textFill>
              </w:rPr>
            </w:pPr>
          </w:p>
        </w:tc>
        <w:tc>
          <w:tcPr>
            <w:tcW w:w="745" w:type="pct"/>
            <w:vAlign w:val="center"/>
          </w:tcPr>
          <w:p w14:paraId="10908BA5">
            <w:pPr>
              <w:spacing w:line="240" w:lineRule="auto"/>
              <w:jc w:val="center"/>
              <w:rPr>
                <w:color w:val="0D0D0D" w:themeColor="text1" w:themeTint="F2"/>
                <w:sz w:val="21"/>
                <w:szCs w:val="21"/>
                <w14:textFill>
                  <w14:solidFill>
                    <w14:schemeClr w14:val="tx1">
                      <w14:lumMod w14:val="95000"/>
                      <w14:lumOff w14:val="5000"/>
                    </w14:schemeClr>
                  </w14:solidFill>
                </w14:textFill>
              </w:rPr>
            </w:pPr>
          </w:p>
        </w:tc>
      </w:tr>
    </w:tbl>
    <w:p w14:paraId="65A94CAC">
      <w:pPr>
        <w:pStyle w:val="8"/>
      </w:pPr>
      <w:bookmarkStart w:id="173" w:name="_Toc204062637"/>
      <w:r>
        <w:rPr>
          <w:rFonts w:hint="eastAsia"/>
        </w:rPr>
        <w:t>运营期地下水环境影响分析</w:t>
      </w:r>
      <w:bookmarkEnd w:id="173"/>
    </w:p>
    <w:p w14:paraId="297D1449">
      <w:pPr>
        <w:pStyle w:val="9"/>
      </w:pPr>
      <w:bookmarkStart w:id="174" w:name="_Toc204062638"/>
      <w:bookmarkStart w:id="175" w:name="_Hlk198677219"/>
      <w:r>
        <w:rPr>
          <w:rFonts w:hint="eastAsia"/>
        </w:rPr>
        <w:t>地下水环境影响分析</w:t>
      </w:r>
      <w:bookmarkEnd w:id="174"/>
    </w:p>
    <w:p w14:paraId="13844E3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根据《环境影响评价技术导则  地下水环境》（HJ610-2016），预测方法的选取应根据建设项目工程特征、水文地质条件及资料掌握程度来确定，当数值法不适用时，可用解析法</w:t>
      </w:r>
      <w:r>
        <w:rPr>
          <w:rFonts w:hint="eastAsia"/>
          <w:color w:val="0D0D0D" w:themeColor="text1" w:themeTint="F2"/>
          <w:lang w:eastAsia="zh-CN"/>
          <w14:textFill>
            <w14:solidFill>
              <w14:schemeClr w14:val="tx1">
                <w14:lumMod w14:val="95000"/>
                <w14:lumOff w14:val="5000"/>
              </w14:schemeClr>
            </w14:solidFill>
          </w14:textFill>
        </w:rPr>
        <w:t>或其他方法</w:t>
      </w:r>
      <w:r>
        <w:rPr>
          <w:rFonts w:hint="eastAsia"/>
          <w:color w:val="0D0D0D" w:themeColor="text1" w:themeTint="F2"/>
          <w14:textFill>
            <w14:solidFill>
              <w14:schemeClr w14:val="tx1">
                <w14:lumMod w14:val="95000"/>
                <w14:lumOff w14:val="5000"/>
              </w14:schemeClr>
            </w14:solidFill>
          </w14:textFill>
        </w:rPr>
        <w:t>预测。一般情况下，一级评价应采用数值法，不宜概化为等效多孔介质的地区除外；二级评价中水文地质条件复杂且适宜采用数值法时，建议优先采用数值法；三级评价可采用解析法或类比分析法。项目地下水环境评价等级为二级，本次评价采用解析法进行预测。</w:t>
      </w:r>
    </w:p>
    <w:p w14:paraId="3294ECA8">
      <w:pPr>
        <w:pStyle w:val="10"/>
      </w:pPr>
      <w:r>
        <w:rPr>
          <w:rFonts w:hint="eastAsia"/>
        </w:rPr>
        <w:t>地下水污染途径</w:t>
      </w:r>
    </w:p>
    <w:p w14:paraId="49942700">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建设项目地下水环境污染途径主要为：污水处理站、初期雨水池、事故应急池、生产车间等场地废水泄漏下渗，造成污染物渗透的迁移，即污染物通过地表渗入含水层。</w:t>
      </w:r>
    </w:p>
    <w:p w14:paraId="5742D6C1">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地下水污染的特点是污染过程缓慢、隐蔽、难以恢复治理。而渗透型地下水</w:t>
      </w:r>
      <w:r>
        <w:rPr>
          <w:rFonts w:hint="eastAsia"/>
          <w:color w:val="0D0D0D" w:themeColor="text1" w:themeTint="F2"/>
          <w:u w:val="single"/>
          <w:lang w:eastAsia="zh-CN"/>
          <w14:textFill>
            <w14:solidFill>
              <w14:schemeClr w14:val="tx1">
                <w14:lumMod w14:val="95000"/>
                <w14:lumOff w14:val="5000"/>
              </w14:schemeClr>
            </w14:solidFill>
          </w14:textFill>
        </w:rPr>
        <w:t>污染</w:t>
      </w:r>
      <w:r>
        <w:rPr>
          <w:rFonts w:hint="eastAsia"/>
          <w:color w:val="0D0D0D" w:themeColor="text1" w:themeTint="F2"/>
          <w:u w:val="single"/>
          <w14:textFill>
            <w14:solidFill>
              <w14:schemeClr w14:val="tx1">
                <w14:lumMod w14:val="95000"/>
                <w14:lumOff w14:val="5000"/>
              </w14:schemeClr>
            </w14:solidFill>
          </w14:textFill>
        </w:rPr>
        <w:t>物都是从上到下经过包气带土层进入地下含水层，即污染物到达地下水面以前要经过包气带下渗。项目渗漏污染方向与地下水径流方向一致，总体呈西南向东北和东面两侧方向径流。</w:t>
      </w:r>
    </w:p>
    <w:p w14:paraId="264F02FF">
      <w:pPr>
        <w:pStyle w:val="10"/>
      </w:pPr>
      <w:r>
        <w:rPr>
          <w:rFonts w:hint="eastAsia"/>
        </w:rPr>
        <w:t>情景设置</w:t>
      </w:r>
    </w:p>
    <w:p w14:paraId="7531388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根据《环境影响评价技术导则  地下水环境》（HJ610-2016），已采取防渗措施的建设项目，可不进行正常状况情境下的预测，因此，项目主要对非正常排放情况进行预测，仅对正常工况下项目运行对地下水环境影响做简要定性分析。</w:t>
      </w:r>
    </w:p>
    <w:p w14:paraId="597BAD1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正常状况下，项目主要地下水污染源能得到有效防护，污染物不会外排，从源头上得到控制。项目各个构筑物及管道等均依据相关国家及地方法律法规采取了防渗措施，在此防渗措施下，项目污染物渗漏量极微，因此，可不考虑在正常状况下对地下水环境的影响，其污染途径可忽略不计。</w:t>
      </w:r>
    </w:p>
    <w:p w14:paraId="6A1810C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非正常状况是指项目的工艺设备或地下水环境保护措施因系统老化、腐蚀等原因不能正常运行或保护效果达不到设计要求时的运行状况。针对项目地下水环境来说主要是指项目在运营期，废水收集或污水处理站等部位由于因防渗系统或管道连接等老化、腐蚀等原因不能正常运行或保护效果达不到设计时造成污染物质泄漏，从而对地下水环境造成影响的情况。</w:t>
      </w:r>
    </w:p>
    <w:p w14:paraId="51FCAE3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废水在污水处理站内或转移至处理站过程中，会出现非正常状况下，污染物穿过损坏或不合格的防渗层、未防渗的地面等，泄漏的污染物在重力作用下从地表逐步渗入深层，并造成局部的地下水环境受到污染，泄漏的污染物随地下水的流动不断扩散，最后导致地下水污染范围不断扩大。</w:t>
      </w:r>
    </w:p>
    <w:p w14:paraId="45CE8510">
      <w:pPr>
        <w:pStyle w:val="10"/>
      </w:pPr>
      <w:r>
        <w:rPr>
          <w:rFonts w:hint="eastAsia"/>
        </w:rPr>
        <w:t>预测因子及源强</w:t>
      </w:r>
    </w:p>
    <w:p w14:paraId="35B1A4B8">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项目预测因子的选取根据《环境影响评价技术导则  地下水环境》（HJ610-2016）9.5，“按照重金属、持久性有机污染物和其他类别进行分类，并对每一类别中的各项因子采用标准指数法进行排序，分别取标准指数最大的因子作为预测因子”，“国家或地方要求控制的污染物”，同时考虑本项目特征污染物，选取COD和氨氮作为预测因子。</w:t>
      </w:r>
    </w:p>
    <w:p w14:paraId="0158B90C">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为使污染因子COD后评价因子高锰酸盐指数在数值关系上对应统一，在模型计算过程中，参照国内学者胡大琼（云南省水文水资源局普洱分局）《高锰酸盐指数与化学需氧量相关关系探讨》一文得出的高锰酸盐指数与化学需氧量线性回归方程Y=4.76X+2.61（X为高锰酸盐指数，Y为COD）进行换算。因此，模拟和预测污染物在地下水中的迁移扩散时，用</w:t>
      </w:r>
      <w:r>
        <w:rPr>
          <w:rFonts w:hint="eastAsia"/>
          <w:color w:val="0D0D0D" w:themeColor="text1" w:themeTint="F2"/>
          <w:sz w:val="21"/>
          <w:szCs w:val="21"/>
          <w:u w:val="single"/>
          <w14:textFill>
            <w14:solidFill>
              <w14:schemeClr w14:val="tx1">
                <w14:lumMod w14:val="95000"/>
                <w14:lumOff w14:val="5000"/>
              </w14:schemeClr>
            </w14:solidFill>
          </w14:textFill>
        </w:rPr>
        <w:t>COD</w:t>
      </w:r>
      <w:r>
        <w:rPr>
          <w:rFonts w:hint="eastAsia"/>
          <w:color w:val="0D0D0D" w:themeColor="text1" w:themeTint="F2"/>
          <w:sz w:val="21"/>
          <w:szCs w:val="21"/>
          <w:u w:val="single"/>
          <w:vertAlign w:val="subscript"/>
          <w14:textFill>
            <w14:solidFill>
              <w14:schemeClr w14:val="tx1">
                <w14:lumMod w14:val="95000"/>
                <w14:lumOff w14:val="5000"/>
              </w14:schemeClr>
            </w14:solidFill>
          </w14:textFill>
        </w:rPr>
        <w:t>Mn</w:t>
      </w:r>
      <w:r>
        <w:rPr>
          <w:rFonts w:hint="eastAsia"/>
          <w:color w:val="0D0D0D" w:themeColor="text1" w:themeTint="F2"/>
          <w:u w:val="single"/>
          <w14:textFill>
            <w14:solidFill>
              <w14:schemeClr w14:val="tx1">
                <w14:lumMod w14:val="95000"/>
                <w14:lumOff w14:val="5000"/>
              </w14:schemeClr>
            </w14:solidFill>
          </w14:textFill>
        </w:rPr>
        <w:t>代替</w:t>
      </w:r>
      <w:r>
        <w:rPr>
          <w:color w:val="0D0D0D" w:themeColor="text1" w:themeTint="F2"/>
          <w:u w:val="single"/>
          <w14:textFill>
            <w14:solidFill>
              <w14:schemeClr w14:val="tx1">
                <w14:lumMod w14:val="95000"/>
                <w14:lumOff w14:val="5000"/>
              </w14:schemeClr>
            </w14:solidFill>
          </w14:textFill>
        </w:rPr>
        <w:t>COD</w:t>
      </w:r>
      <w:r>
        <w:rPr>
          <w:rFonts w:hint="eastAsia"/>
          <w:color w:val="0D0D0D" w:themeColor="text1" w:themeTint="F2"/>
          <w:u w:val="single"/>
          <w14:textFill>
            <w14:solidFill>
              <w14:schemeClr w14:val="tx1">
                <w14:lumMod w14:val="95000"/>
                <w14:lumOff w14:val="5000"/>
              </w14:schemeClr>
            </w14:solidFill>
          </w14:textFill>
        </w:rPr>
        <w:t>，地下水预测因子详见表5.4-1。</w:t>
      </w:r>
    </w:p>
    <w:p w14:paraId="234F4C8B">
      <w:pPr>
        <w:pStyle w:val="11"/>
      </w:pPr>
      <w:r>
        <w:rPr>
          <w:rFonts w:hint="eastAsia"/>
        </w:rPr>
        <w:t xml:space="preserve"> 地下水预测因子</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2"/>
        <w:gridCol w:w="1405"/>
        <w:gridCol w:w="939"/>
        <w:gridCol w:w="1678"/>
        <w:gridCol w:w="1464"/>
        <w:gridCol w:w="706"/>
        <w:gridCol w:w="706"/>
        <w:gridCol w:w="1172"/>
      </w:tblGrid>
      <w:tr w14:paraId="0624A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4" w:type="pct"/>
            <w:vMerge w:val="restart"/>
            <w:vAlign w:val="center"/>
          </w:tcPr>
          <w:p w14:paraId="781304C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废水名称</w:t>
            </w:r>
          </w:p>
        </w:tc>
        <w:tc>
          <w:tcPr>
            <w:tcW w:w="2176" w:type="pct"/>
            <w:gridSpan w:val="3"/>
            <w:vAlign w:val="center"/>
          </w:tcPr>
          <w:p w14:paraId="0CAA694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污染物产生状况</w:t>
            </w:r>
          </w:p>
        </w:tc>
        <w:tc>
          <w:tcPr>
            <w:tcW w:w="792" w:type="pct"/>
            <w:vMerge w:val="restart"/>
            <w:vAlign w:val="center"/>
          </w:tcPr>
          <w:p w14:paraId="0096C5A8">
            <w:pPr>
              <w:spacing w:line="240" w:lineRule="auto"/>
              <w:jc w:val="center"/>
              <w:rPr>
                <w:rFonts w:cs="Times New Roman"/>
                <w:color w:val="0D0D0D" w:themeColor="text1" w:themeTint="F2"/>
                <w:kern w:val="0"/>
                <w:sz w:val="21"/>
                <w:szCs w:val="21"/>
                <w:u w:val="single"/>
                <w:vertAlign w:val="subscript"/>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评价标准C</w:t>
            </w:r>
            <w:r>
              <w:rPr>
                <w:rFonts w:cs="Times New Roman"/>
                <w:color w:val="0D0D0D" w:themeColor="text1" w:themeTint="F2"/>
                <w:kern w:val="0"/>
                <w:sz w:val="21"/>
                <w:szCs w:val="21"/>
                <w:u w:val="single"/>
                <w:vertAlign w:val="subscript"/>
                <w14:textFill>
                  <w14:solidFill>
                    <w14:schemeClr w14:val="tx1">
                      <w14:lumMod w14:val="95000"/>
                      <w14:lumOff w14:val="5000"/>
                    </w14:schemeClr>
                  </w14:solidFill>
                </w14:textFill>
              </w:rPr>
              <w:t>0</w:t>
            </w:r>
          </w:p>
          <w:p w14:paraId="33297C39">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w:t>
            </w:r>
            <w:r>
              <w:rPr>
                <w:rFonts w:cs="Times New Roman"/>
                <w:color w:val="0D0D0D" w:themeColor="text1" w:themeTint="F2"/>
                <w:kern w:val="0"/>
                <w:sz w:val="21"/>
                <w:szCs w:val="21"/>
                <w:u w:val="single"/>
                <w14:textFill>
                  <w14:solidFill>
                    <w14:schemeClr w14:val="tx1">
                      <w14:lumMod w14:val="95000"/>
                      <w14:lumOff w14:val="5000"/>
                    </w14:schemeClr>
                  </w14:solidFill>
                </w14:textFill>
              </w:rPr>
              <w:t>mg/L</w:t>
            </w: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w:t>
            </w:r>
          </w:p>
        </w:tc>
        <w:tc>
          <w:tcPr>
            <w:tcW w:w="382" w:type="pct"/>
            <w:vMerge w:val="restart"/>
            <w:vAlign w:val="center"/>
          </w:tcPr>
          <w:p w14:paraId="598F6768">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C/</w:t>
            </w: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C</w:t>
            </w:r>
            <w:r>
              <w:rPr>
                <w:rFonts w:cs="Times New Roman"/>
                <w:color w:val="0D0D0D" w:themeColor="text1" w:themeTint="F2"/>
                <w:kern w:val="0"/>
                <w:sz w:val="21"/>
                <w:szCs w:val="21"/>
                <w:u w:val="single"/>
                <w:vertAlign w:val="subscript"/>
                <w14:textFill>
                  <w14:solidFill>
                    <w14:schemeClr w14:val="tx1">
                      <w14:lumMod w14:val="95000"/>
                      <w14:lumOff w14:val="5000"/>
                    </w14:schemeClr>
                  </w14:solidFill>
                </w14:textFill>
              </w:rPr>
              <w:t>0</w:t>
            </w:r>
          </w:p>
        </w:tc>
        <w:tc>
          <w:tcPr>
            <w:tcW w:w="382" w:type="pct"/>
            <w:vMerge w:val="restart"/>
            <w:vAlign w:val="center"/>
          </w:tcPr>
          <w:p w14:paraId="6D7ED7C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排序</w:t>
            </w:r>
          </w:p>
        </w:tc>
        <w:tc>
          <w:tcPr>
            <w:tcW w:w="634" w:type="pct"/>
            <w:vMerge w:val="restart"/>
            <w:vAlign w:val="center"/>
          </w:tcPr>
          <w:p w14:paraId="362A0C3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备注</w:t>
            </w:r>
          </w:p>
        </w:tc>
      </w:tr>
      <w:tr w14:paraId="1D25B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4" w:type="pct"/>
            <w:vMerge w:val="continue"/>
            <w:vAlign w:val="center"/>
          </w:tcPr>
          <w:p w14:paraId="46B583E6">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760" w:type="pct"/>
            <w:vAlign w:val="center"/>
          </w:tcPr>
          <w:p w14:paraId="3C91E2D9">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废水产生量</w:t>
            </w:r>
          </w:p>
          <w:p w14:paraId="43B885E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w:t>
            </w:r>
            <w:r>
              <w:rPr>
                <w:rFonts w:cs="Times New Roman"/>
                <w:color w:val="0D0D0D" w:themeColor="text1" w:themeTint="F2"/>
                <w:kern w:val="0"/>
                <w:sz w:val="21"/>
                <w:szCs w:val="21"/>
                <w:u w:val="single"/>
                <w14:textFill>
                  <w14:solidFill>
                    <w14:schemeClr w14:val="tx1">
                      <w14:lumMod w14:val="95000"/>
                      <w14:lumOff w14:val="5000"/>
                    </w14:schemeClr>
                  </w14:solidFill>
                </w14:textFill>
              </w:rPr>
              <w:t>m</w:t>
            </w:r>
            <w:r>
              <w:rPr>
                <w:rFonts w:cs="Times New Roman"/>
                <w:color w:val="0D0D0D" w:themeColor="text1" w:themeTint="F2"/>
                <w:kern w:val="0"/>
                <w:sz w:val="21"/>
                <w:szCs w:val="21"/>
                <w:u w:val="single"/>
                <w:vertAlign w:val="superscript"/>
                <w14:textFill>
                  <w14:solidFill>
                    <w14:schemeClr w14:val="tx1">
                      <w14:lumMod w14:val="95000"/>
                      <w14:lumOff w14:val="5000"/>
                    </w14:schemeClr>
                  </w14:solidFill>
                </w14:textFill>
              </w:rPr>
              <w:t>3</w:t>
            </w:r>
            <w:r>
              <w:rPr>
                <w:rFonts w:cs="Times New Roman"/>
                <w:color w:val="0D0D0D" w:themeColor="text1" w:themeTint="F2"/>
                <w:kern w:val="0"/>
                <w:sz w:val="21"/>
                <w:szCs w:val="21"/>
                <w:u w:val="single"/>
                <w14:textFill>
                  <w14:solidFill>
                    <w14:schemeClr w14:val="tx1">
                      <w14:lumMod w14:val="95000"/>
                      <w14:lumOff w14:val="5000"/>
                    </w14:schemeClr>
                  </w14:solidFill>
                </w14:textFill>
              </w:rPr>
              <w:t>/d</w:t>
            </w: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w:t>
            </w:r>
          </w:p>
        </w:tc>
        <w:tc>
          <w:tcPr>
            <w:tcW w:w="508" w:type="pct"/>
            <w:vAlign w:val="center"/>
          </w:tcPr>
          <w:p w14:paraId="18F6F94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污染物</w:t>
            </w:r>
          </w:p>
        </w:tc>
        <w:tc>
          <w:tcPr>
            <w:tcW w:w="908" w:type="pct"/>
            <w:vAlign w:val="center"/>
          </w:tcPr>
          <w:p w14:paraId="55C57E9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浓度（</w:t>
            </w:r>
            <w:r>
              <w:rPr>
                <w:rFonts w:cs="Times New Roman"/>
                <w:color w:val="0D0D0D" w:themeColor="text1" w:themeTint="F2"/>
                <w:kern w:val="0"/>
                <w:sz w:val="21"/>
                <w:szCs w:val="21"/>
                <w:u w:val="single"/>
                <w14:textFill>
                  <w14:solidFill>
                    <w14:schemeClr w14:val="tx1">
                      <w14:lumMod w14:val="95000"/>
                      <w14:lumOff w14:val="5000"/>
                    </w14:schemeClr>
                  </w14:solidFill>
                </w14:textFill>
              </w:rPr>
              <w:t>mg/L</w:t>
            </w: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w:t>
            </w:r>
          </w:p>
        </w:tc>
        <w:tc>
          <w:tcPr>
            <w:tcW w:w="792" w:type="pct"/>
            <w:vMerge w:val="continue"/>
            <w:vAlign w:val="center"/>
          </w:tcPr>
          <w:p w14:paraId="14956ADA">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382" w:type="pct"/>
            <w:vMerge w:val="continue"/>
            <w:vAlign w:val="center"/>
          </w:tcPr>
          <w:p w14:paraId="4330EF6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382" w:type="pct"/>
            <w:vMerge w:val="continue"/>
            <w:vAlign w:val="center"/>
          </w:tcPr>
          <w:p w14:paraId="475E3EAE">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634" w:type="pct"/>
            <w:vMerge w:val="continue"/>
            <w:vAlign w:val="center"/>
          </w:tcPr>
          <w:p w14:paraId="05976C63">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r>
      <w:tr w14:paraId="6A75B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4" w:type="pct"/>
            <w:vMerge w:val="restart"/>
            <w:vAlign w:val="center"/>
          </w:tcPr>
          <w:p w14:paraId="4AE6AAD0">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综合废水</w:t>
            </w:r>
          </w:p>
        </w:tc>
        <w:tc>
          <w:tcPr>
            <w:tcW w:w="760" w:type="pct"/>
            <w:vMerge w:val="restart"/>
            <w:vAlign w:val="center"/>
          </w:tcPr>
          <w:p w14:paraId="0E33C0D0">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127.19</w:t>
            </w:r>
          </w:p>
        </w:tc>
        <w:tc>
          <w:tcPr>
            <w:tcW w:w="508" w:type="pct"/>
            <w:vAlign w:val="center"/>
          </w:tcPr>
          <w:p w14:paraId="72789778">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氨氮</w:t>
            </w:r>
          </w:p>
        </w:tc>
        <w:tc>
          <w:tcPr>
            <w:tcW w:w="908" w:type="pct"/>
            <w:vAlign w:val="center"/>
          </w:tcPr>
          <w:p w14:paraId="1757C15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483</w:t>
            </w:r>
          </w:p>
        </w:tc>
        <w:tc>
          <w:tcPr>
            <w:tcW w:w="792" w:type="pct"/>
            <w:vAlign w:val="center"/>
          </w:tcPr>
          <w:p w14:paraId="1CA206D9">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w:t>
            </w:r>
            <w:r>
              <w:rPr>
                <w:rFonts w:cs="Times New Roman"/>
                <w:color w:val="0D0D0D" w:themeColor="text1" w:themeTint="F2"/>
                <w:kern w:val="0"/>
                <w:sz w:val="21"/>
                <w:szCs w:val="21"/>
                <w:u w:val="single"/>
                <w14:textFill>
                  <w14:solidFill>
                    <w14:schemeClr w14:val="tx1">
                      <w14:lumMod w14:val="95000"/>
                      <w14:lumOff w14:val="5000"/>
                    </w14:schemeClr>
                  </w14:solidFill>
                </w14:textFill>
              </w:rPr>
              <w:t>.5</w:t>
            </w:r>
          </w:p>
        </w:tc>
        <w:tc>
          <w:tcPr>
            <w:tcW w:w="382" w:type="pct"/>
            <w:vAlign w:val="center"/>
          </w:tcPr>
          <w:p w14:paraId="0EED623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966</w:t>
            </w:r>
          </w:p>
        </w:tc>
        <w:tc>
          <w:tcPr>
            <w:tcW w:w="382" w:type="pct"/>
            <w:vAlign w:val="center"/>
          </w:tcPr>
          <w:p w14:paraId="43DC9D7C">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w:t>
            </w:r>
          </w:p>
        </w:tc>
        <w:tc>
          <w:tcPr>
            <w:tcW w:w="634" w:type="pct"/>
            <w:vAlign w:val="center"/>
          </w:tcPr>
          <w:p w14:paraId="019273EB">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其他类型</w:t>
            </w:r>
          </w:p>
        </w:tc>
      </w:tr>
      <w:tr w14:paraId="2D9A9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4" w:type="pct"/>
            <w:vMerge w:val="continue"/>
            <w:vAlign w:val="center"/>
          </w:tcPr>
          <w:p w14:paraId="412058E7">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760" w:type="pct"/>
            <w:vMerge w:val="continue"/>
            <w:vAlign w:val="center"/>
          </w:tcPr>
          <w:p w14:paraId="10FF5BC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508" w:type="pct"/>
            <w:vAlign w:val="center"/>
          </w:tcPr>
          <w:p w14:paraId="2F6FB9AE">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COD</w:t>
            </w:r>
            <w:r>
              <w:rPr>
                <w:rFonts w:hint="eastAsia"/>
                <w:color w:val="0D0D0D" w:themeColor="text1" w:themeTint="F2"/>
                <w:sz w:val="21"/>
                <w:szCs w:val="21"/>
                <w:u w:val="single"/>
                <w:vertAlign w:val="subscript"/>
                <w14:textFill>
                  <w14:solidFill>
                    <w14:schemeClr w14:val="tx1">
                      <w14:lumMod w14:val="95000"/>
                      <w14:lumOff w14:val="5000"/>
                    </w14:schemeClr>
                  </w14:solidFill>
                </w14:textFill>
              </w:rPr>
              <w:t>Mn</w:t>
            </w:r>
          </w:p>
        </w:tc>
        <w:tc>
          <w:tcPr>
            <w:tcW w:w="908" w:type="pct"/>
            <w:vAlign w:val="center"/>
          </w:tcPr>
          <w:p w14:paraId="6C331562">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3193</w:t>
            </w:r>
          </w:p>
        </w:tc>
        <w:tc>
          <w:tcPr>
            <w:tcW w:w="792" w:type="pct"/>
            <w:vAlign w:val="center"/>
          </w:tcPr>
          <w:p w14:paraId="7EC8543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3.0</w:t>
            </w:r>
          </w:p>
        </w:tc>
        <w:tc>
          <w:tcPr>
            <w:tcW w:w="382" w:type="pct"/>
            <w:vAlign w:val="center"/>
          </w:tcPr>
          <w:p w14:paraId="6654FAA2">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760</w:t>
            </w:r>
          </w:p>
        </w:tc>
        <w:tc>
          <w:tcPr>
            <w:tcW w:w="382" w:type="pct"/>
            <w:vAlign w:val="center"/>
          </w:tcPr>
          <w:p w14:paraId="651FFB88">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2</w:t>
            </w:r>
          </w:p>
        </w:tc>
        <w:tc>
          <w:tcPr>
            <w:tcW w:w="634" w:type="pct"/>
            <w:vAlign w:val="center"/>
          </w:tcPr>
          <w:p w14:paraId="170172B7">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其他类型</w:t>
            </w:r>
          </w:p>
        </w:tc>
      </w:tr>
    </w:tbl>
    <w:p w14:paraId="380377A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项目隔油池为地上式构筑物，设计规格为2m×2m×1.5m，防渗结构失效率取5%，则COD渗漏量为0.96kg，氨氮渗漏量为0.14kg。</w:t>
      </w:r>
    </w:p>
    <w:p w14:paraId="6924D4FD">
      <w:pPr>
        <w:pStyle w:val="10"/>
      </w:pPr>
      <w:r>
        <w:rPr>
          <w:rFonts w:hint="eastAsia"/>
        </w:rPr>
        <w:t>预测模型概化</w:t>
      </w:r>
    </w:p>
    <w:p w14:paraId="73257DF3">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根据污染源泄漏特征，废水泄漏概化为点源瞬时排放。</w:t>
      </w:r>
    </w:p>
    <w:p w14:paraId="28C67B9B">
      <w:pPr>
        <w:pStyle w:val="10"/>
      </w:pPr>
      <w:r>
        <w:rPr>
          <w:rFonts w:hint="eastAsia"/>
        </w:rPr>
        <w:t>预测时段</w:t>
      </w:r>
    </w:p>
    <w:p w14:paraId="23610DA6">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根据《环境影响评价技术导则  地下水环境》（HJ610-2016），地下水环境影响预测时段应选取可能产生地下水污染的关键时段，至少包括污染发生后100d、1000d，服务年限或能反映特征因子迁移规律的其他重要的时间节点。本次预测主要考虑污染发生后10d、100d、1000d污染物的迁移规律。</w:t>
      </w:r>
    </w:p>
    <w:p w14:paraId="31408ED9">
      <w:pPr>
        <w:pStyle w:val="10"/>
      </w:pPr>
      <w:r>
        <w:rPr>
          <w:rFonts w:hint="eastAsia"/>
        </w:rPr>
        <w:t>预测方法</w:t>
      </w:r>
    </w:p>
    <w:p w14:paraId="06E7085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szCs w:val="20"/>
          <w:u w:val="single"/>
          <w14:textFill>
            <w14:solidFill>
              <w14:schemeClr w14:val="tx1">
                <w14:lumMod w14:val="95000"/>
                <w14:lumOff w14:val="5000"/>
              </w14:schemeClr>
            </w14:solidFill>
          </w14:textFill>
        </w:rPr>
        <w:t>水动力弥散以平行地下水流动的方向为x轴正方向（纵向），垂直于地下水流向为y轴，如果预测时需要考虑沿地下水水流方向及其侧向污染物运移情况的时候，则按照一维稳定流动二维水动力弥散问题，瞬时注入示踪剂——平面瞬时点源</w:t>
      </w:r>
      <w:r>
        <w:rPr>
          <w:color w:val="0D0D0D" w:themeColor="text1" w:themeTint="F2"/>
          <w:u w:val="single"/>
          <w14:textFill>
            <w14:solidFill>
              <w14:schemeClr w14:val="tx1">
                <w14:lumMod w14:val="95000"/>
                <w14:lumOff w14:val="5000"/>
              </w14:schemeClr>
            </w14:solidFill>
          </w14:textFill>
        </w:rPr>
        <w:t>进行预测。</w:t>
      </w:r>
      <w:r>
        <w:rPr>
          <w:rFonts w:hint="eastAsia"/>
          <w:color w:val="0D0D0D" w:themeColor="text1" w:themeTint="F2"/>
          <w:u w:val="single"/>
          <w14:textFill>
            <w14:solidFill>
              <w14:schemeClr w14:val="tx1">
                <w14:lumMod w14:val="95000"/>
                <w14:lumOff w14:val="5000"/>
              </w14:schemeClr>
            </w14:solidFill>
          </w14:textFill>
        </w:rPr>
        <w:t>预测模型如下</w:t>
      </w:r>
      <w:r>
        <w:rPr>
          <w:rFonts w:hint="eastAsia"/>
          <w:color w:val="0D0D0D" w:themeColor="text1" w:themeTint="F2"/>
          <w14:textFill>
            <w14:solidFill>
              <w14:schemeClr w14:val="tx1">
                <w14:lumMod w14:val="95000"/>
                <w14:lumOff w14:val="5000"/>
              </w14:schemeClr>
            </w14:solidFill>
          </w14:textFill>
        </w:rPr>
        <w:t>：</w:t>
      </w:r>
    </w:p>
    <w:p w14:paraId="35050906">
      <w:pPr>
        <w:spacing w:line="24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drawing>
          <wp:inline distT="0" distB="0" distL="0" distR="0">
            <wp:extent cx="3602990" cy="825500"/>
            <wp:effectExtent l="0" t="0" r="0" b="0"/>
            <wp:docPr id="15257807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80749"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602990" cy="825500"/>
                    </a:xfrm>
                    <a:prstGeom prst="rect">
                      <a:avLst/>
                    </a:prstGeom>
                    <a:noFill/>
                    <a:ln>
                      <a:noFill/>
                    </a:ln>
                  </pic:spPr>
                </pic:pic>
              </a:graphicData>
            </a:graphic>
          </wp:inline>
        </w:drawing>
      </w:r>
    </w:p>
    <w:p w14:paraId="2E1B6C1C">
      <w:pPr>
        <w:ind w:firstLine="480"/>
        <w:rPr>
          <w:color w:val="0D0D0D" w:themeColor="text1" w:themeTint="F2"/>
          <w:szCs w:val="20"/>
          <w:u w:val="single"/>
          <w14:textFill>
            <w14:solidFill>
              <w14:schemeClr w14:val="tx1">
                <w14:lumMod w14:val="95000"/>
                <w14:lumOff w14:val="5000"/>
              </w14:schemeClr>
            </w14:solidFill>
          </w14:textFill>
        </w:rPr>
      </w:pPr>
      <w:r>
        <w:rPr>
          <w:color w:val="0D0D0D" w:themeColor="text1" w:themeTint="F2"/>
          <w:szCs w:val="20"/>
          <w:u w:val="single"/>
          <w14:textFill>
            <w14:solidFill>
              <w14:schemeClr w14:val="tx1">
                <w14:lumMod w14:val="95000"/>
                <w14:lumOff w14:val="5000"/>
              </w14:schemeClr>
            </w14:solidFill>
          </w14:textFill>
        </w:rPr>
        <w:t>式中：</w:t>
      </w:r>
    </w:p>
    <w:p w14:paraId="0ADCE0F0">
      <w:pPr>
        <w:ind w:firstLine="480"/>
        <w:rPr>
          <w:color w:val="0D0D0D" w:themeColor="text1" w:themeTint="F2"/>
          <w:szCs w:val="20"/>
          <w:u w:val="single"/>
          <w14:textFill>
            <w14:solidFill>
              <w14:schemeClr w14:val="tx1">
                <w14:lumMod w14:val="95000"/>
                <w14:lumOff w14:val="5000"/>
              </w14:schemeClr>
            </w14:solidFill>
          </w14:textFill>
        </w:rPr>
      </w:pPr>
      <w:r>
        <w:rPr>
          <w:rFonts w:hint="eastAsia"/>
          <w:color w:val="0D0D0D" w:themeColor="text1" w:themeTint="F2"/>
          <w:szCs w:val="20"/>
          <w:u w:val="single"/>
          <w14:textFill>
            <w14:solidFill>
              <w14:schemeClr w14:val="tx1">
                <w14:lumMod w14:val="95000"/>
                <w14:lumOff w14:val="5000"/>
              </w14:schemeClr>
            </w14:solidFill>
          </w14:textFill>
        </w:rPr>
        <w:t>X，y—计算点处的位置坐标；</w:t>
      </w:r>
    </w:p>
    <w:p w14:paraId="134BB8CC">
      <w:pPr>
        <w:ind w:firstLine="480"/>
        <w:rPr>
          <w:color w:val="0D0D0D" w:themeColor="text1" w:themeTint="F2"/>
          <w:szCs w:val="20"/>
          <w:u w:val="single"/>
          <w14:textFill>
            <w14:solidFill>
              <w14:schemeClr w14:val="tx1">
                <w14:lumMod w14:val="95000"/>
                <w14:lumOff w14:val="5000"/>
              </w14:schemeClr>
            </w14:solidFill>
          </w14:textFill>
        </w:rPr>
      </w:pPr>
      <w:r>
        <w:rPr>
          <w:rFonts w:hint="eastAsia"/>
          <w:color w:val="0D0D0D" w:themeColor="text1" w:themeTint="F2"/>
          <w:szCs w:val="20"/>
          <w:u w:val="single"/>
          <w14:textFill>
            <w14:solidFill>
              <w14:schemeClr w14:val="tx1">
                <w14:lumMod w14:val="95000"/>
                <w14:lumOff w14:val="5000"/>
              </w14:schemeClr>
            </w14:solidFill>
          </w14:textFill>
        </w:rPr>
        <w:t>t—时间（d）；</w:t>
      </w:r>
    </w:p>
    <w:p w14:paraId="55AB7EAD">
      <w:pPr>
        <w:ind w:firstLine="480"/>
        <w:rPr>
          <w:color w:val="0D0D0D" w:themeColor="text1" w:themeTint="F2"/>
          <w:szCs w:val="20"/>
          <w:u w:val="single"/>
          <w14:textFill>
            <w14:solidFill>
              <w14:schemeClr w14:val="tx1">
                <w14:lumMod w14:val="95000"/>
                <w14:lumOff w14:val="5000"/>
              </w14:schemeClr>
            </w14:solidFill>
          </w14:textFill>
        </w:rPr>
      </w:pPr>
      <w:r>
        <w:rPr>
          <w:rFonts w:hint="eastAsia"/>
          <w:color w:val="0D0D0D" w:themeColor="text1" w:themeTint="F2"/>
          <w:szCs w:val="20"/>
          <w:u w:val="single"/>
          <w14:textFill>
            <w14:solidFill>
              <w14:schemeClr w14:val="tx1">
                <w14:lumMod w14:val="95000"/>
                <w14:lumOff w14:val="5000"/>
              </w14:schemeClr>
            </w14:solidFill>
          </w14:textFill>
        </w:rPr>
        <w:t>C（x，y，t）—t时刻x，y处的示踪剂浓度，g/L；</w:t>
      </w:r>
    </w:p>
    <w:p w14:paraId="2AFE7B2D">
      <w:pPr>
        <w:ind w:firstLine="480"/>
        <w:rPr>
          <w:color w:val="0D0D0D" w:themeColor="text1" w:themeTint="F2"/>
          <w:szCs w:val="20"/>
          <w:u w:val="single"/>
          <w14:textFill>
            <w14:solidFill>
              <w14:schemeClr w14:val="tx1">
                <w14:lumMod w14:val="95000"/>
                <w14:lumOff w14:val="5000"/>
              </w14:schemeClr>
            </w14:solidFill>
          </w14:textFill>
        </w:rPr>
      </w:pPr>
      <w:r>
        <w:rPr>
          <w:rFonts w:hint="eastAsia"/>
          <w:color w:val="0D0D0D" w:themeColor="text1" w:themeTint="F2"/>
          <w:szCs w:val="20"/>
          <w:u w:val="single"/>
          <w14:textFill>
            <w14:solidFill>
              <w14:schemeClr w14:val="tx1">
                <w14:lumMod w14:val="95000"/>
                <w14:lumOff w14:val="5000"/>
              </w14:schemeClr>
            </w14:solidFill>
          </w14:textFill>
        </w:rPr>
        <w:t>M—承压含水层的厚度，m</w:t>
      </w:r>
      <w:r>
        <w:rPr>
          <w:color w:val="0D0D0D" w:themeColor="text1" w:themeTint="F2"/>
          <w:szCs w:val="20"/>
          <w:u w:val="single"/>
          <w14:textFill>
            <w14:solidFill>
              <w14:schemeClr w14:val="tx1">
                <w14:lumMod w14:val="95000"/>
                <w14:lumOff w14:val="5000"/>
              </w14:schemeClr>
            </w14:solidFill>
          </w14:textFill>
        </w:rPr>
        <w:t>；</w:t>
      </w:r>
    </w:p>
    <w:p w14:paraId="4AA5A536">
      <w:pPr>
        <w:ind w:firstLine="480"/>
        <w:rPr>
          <w:color w:val="0D0D0D" w:themeColor="text1" w:themeTint="F2"/>
          <w:szCs w:val="20"/>
          <w:u w:val="single"/>
          <w14:textFill>
            <w14:solidFill>
              <w14:schemeClr w14:val="tx1">
                <w14:lumMod w14:val="95000"/>
                <w14:lumOff w14:val="5000"/>
              </w14:schemeClr>
            </w14:solidFill>
          </w14:textFill>
        </w:rPr>
      </w:pPr>
      <w:r>
        <w:rPr>
          <w:rFonts w:hint="eastAsia"/>
          <w:color w:val="0D0D0D" w:themeColor="text1" w:themeTint="F2"/>
          <w:szCs w:val="20"/>
          <w:u w:val="single"/>
          <w14:textFill>
            <w14:solidFill>
              <w14:schemeClr w14:val="tx1">
                <w14:lumMod w14:val="95000"/>
                <w14:lumOff w14:val="5000"/>
              </w14:schemeClr>
            </w14:solidFill>
          </w14:textFill>
        </w:rPr>
        <w:t>m</w:t>
      </w:r>
      <w:r>
        <w:rPr>
          <w:rFonts w:hint="eastAsia"/>
          <w:color w:val="0D0D0D" w:themeColor="text1" w:themeTint="F2"/>
          <w:szCs w:val="20"/>
          <w:u w:val="single"/>
          <w:vertAlign w:val="subscript"/>
          <w14:textFill>
            <w14:solidFill>
              <w14:schemeClr w14:val="tx1">
                <w14:lumMod w14:val="95000"/>
                <w14:lumOff w14:val="5000"/>
              </w14:schemeClr>
            </w14:solidFill>
          </w14:textFill>
        </w:rPr>
        <w:t>M</w:t>
      </w:r>
      <w:r>
        <w:rPr>
          <w:rFonts w:hint="eastAsia"/>
          <w:color w:val="0D0D0D" w:themeColor="text1" w:themeTint="F2"/>
          <w:szCs w:val="20"/>
          <w:u w:val="single"/>
          <w14:textFill>
            <w14:solidFill>
              <w14:schemeClr w14:val="tx1">
                <w14:lumMod w14:val="95000"/>
                <w14:lumOff w14:val="5000"/>
              </w14:schemeClr>
            </w14:solidFill>
          </w14:textFill>
        </w:rPr>
        <w:t>—</w:t>
      </w:r>
      <w:r>
        <w:rPr>
          <w:rFonts w:cs="宋体"/>
          <w:color w:val="0D0D0D" w:themeColor="text1" w:themeTint="F2"/>
          <w:szCs w:val="24"/>
          <w:u w:val="single"/>
          <w14:textFill>
            <w14:solidFill>
              <w14:schemeClr w14:val="tx1">
                <w14:lumMod w14:val="95000"/>
                <w14:lumOff w14:val="5000"/>
              </w14:schemeClr>
            </w14:solidFill>
          </w14:textFill>
        </w:rPr>
        <w:t>长度为M的线源瞬时注入的示踪剂质量</w:t>
      </w:r>
      <w:r>
        <w:rPr>
          <w:rFonts w:hint="eastAsia"/>
          <w:color w:val="0D0D0D" w:themeColor="text1" w:themeTint="F2"/>
          <w:szCs w:val="20"/>
          <w:u w:val="single"/>
          <w14:textFill>
            <w14:solidFill>
              <w14:schemeClr w14:val="tx1">
                <w14:lumMod w14:val="95000"/>
                <w14:lumOff w14:val="5000"/>
              </w14:schemeClr>
            </w14:solidFill>
          </w14:textFill>
        </w:rPr>
        <w:t>，kg；</w:t>
      </w:r>
    </w:p>
    <w:p w14:paraId="4A7D5FD7">
      <w:pPr>
        <w:ind w:firstLine="480"/>
        <w:rPr>
          <w:color w:val="0D0D0D" w:themeColor="text1" w:themeTint="F2"/>
          <w:szCs w:val="20"/>
          <w:u w:val="single"/>
          <w14:textFill>
            <w14:solidFill>
              <w14:schemeClr w14:val="tx1">
                <w14:lumMod w14:val="95000"/>
                <w14:lumOff w14:val="5000"/>
              </w14:schemeClr>
            </w14:solidFill>
          </w14:textFill>
        </w:rPr>
      </w:pPr>
      <w:r>
        <w:rPr>
          <w:rFonts w:hint="eastAsia"/>
          <w:color w:val="0D0D0D" w:themeColor="text1" w:themeTint="F2"/>
          <w:szCs w:val="20"/>
          <w:u w:val="single"/>
          <w14:textFill>
            <w14:solidFill>
              <w14:schemeClr w14:val="tx1">
                <w14:lumMod w14:val="95000"/>
                <w14:lumOff w14:val="5000"/>
              </w14:schemeClr>
            </w14:solidFill>
          </w14:textFill>
        </w:rPr>
        <w:t>u—水流速度，m/d；</w:t>
      </w:r>
    </w:p>
    <w:p w14:paraId="414CD064">
      <w:pPr>
        <w:ind w:firstLine="480"/>
        <w:rPr>
          <w:color w:val="0D0D0D" w:themeColor="text1" w:themeTint="F2"/>
          <w:szCs w:val="20"/>
          <w:u w:val="single"/>
          <w14:textFill>
            <w14:solidFill>
              <w14:schemeClr w14:val="tx1">
                <w14:lumMod w14:val="95000"/>
                <w14:lumOff w14:val="5000"/>
              </w14:schemeClr>
            </w14:solidFill>
          </w14:textFill>
        </w:rPr>
      </w:pPr>
      <w:r>
        <w:rPr>
          <w:rFonts w:hint="eastAsia"/>
          <w:color w:val="0D0D0D" w:themeColor="text1" w:themeTint="F2"/>
          <w:szCs w:val="20"/>
          <w:u w:val="single"/>
          <w14:textFill>
            <w14:solidFill>
              <w14:schemeClr w14:val="tx1">
                <w14:lumMod w14:val="95000"/>
                <w14:lumOff w14:val="5000"/>
              </w14:schemeClr>
            </w14:solidFill>
          </w14:textFill>
        </w:rPr>
        <w:t>n</w:t>
      </w:r>
      <w:r>
        <w:rPr>
          <w:rFonts w:hint="eastAsia"/>
          <w:color w:val="0D0D0D" w:themeColor="text1" w:themeTint="F2"/>
          <w:szCs w:val="20"/>
          <w:u w:val="single"/>
          <w:vertAlign w:val="subscript"/>
          <w14:textFill>
            <w14:solidFill>
              <w14:schemeClr w14:val="tx1">
                <w14:lumMod w14:val="95000"/>
                <w14:lumOff w14:val="5000"/>
              </w14:schemeClr>
            </w14:solidFill>
          </w14:textFill>
        </w:rPr>
        <w:t>e</w:t>
      </w:r>
      <w:r>
        <w:rPr>
          <w:rFonts w:hint="eastAsia"/>
          <w:color w:val="0D0D0D" w:themeColor="text1" w:themeTint="F2"/>
          <w:szCs w:val="20"/>
          <w:u w:val="single"/>
          <w14:textFill>
            <w14:solidFill>
              <w14:schemeClr w14:val="tx1">
                <w14:lumMod w14:val="95000"/>
                <w14:lumOff w14:val="5000"/>
              </w14:schemeClr>
            </w14:solidFill>
          </w14:textFill>
        </w:rPr>
        <w:t>—有效孔隙度，无量纲1；</w:t>
      </w:r>
    </w:p>
    <w:p w14:paraId="1BA81C17">
      <w:pPr>
        <w:ind w:firstLine="480"/>
        <w:rPr>
          <w:color w:val="0D0D0D" w:themeColor="text1" w:themeTint="F2"/>
          <w:szCs w:val="20"/>
          <w:u w:val="single"/>
          <w14:textFill>
            <w14:solidFill>
              <w14:schemeClr w14:val="tx1">
                <w14:lumMod w14:val="95000"/>
                <w14:lumOff w14:val="5000"/>
              </w14:schemeClr>
            </w14:solidFill>
          </w14:textFill>
        </w:rPr>
      </w:pPr>
      <w:r>
        <w:rPr>
          <w:rFonts w:hint="eastAsia"/>
          <w:color w:val="0D0D0D" w:themeColor="text1" w:themeTint="F2"/>
          <w:szCs w:val="20"/>
          <w:u w:val="single"/>
          <w14:textFill>
            <w14:solidFill>
              <w14:schemeClr w14:val="tx1">
                <w14:lumMod w14:val="95000"/>
                <w14:lumOff w14:val="5000"/>
              </w14:schemeClr>
            </w14:solidFill>
          </w14:textFill>
        </w:rPr>
        <w:t>D</w:t>
      </w:r>
      <w:r>
        <w:rPr>
          <w:rFonts w:hint="eastAsia"/>
          <w:color w:val="0D0D0D" w:themeColor="text1" w:themeTint="F2"/>
          <w:szCs w:val="20"/>
          <w:u w:val="single"/>
          <w:vertAlign w:val="subscript"/>
          <w14:textFill>
            <w14:solidFill>
              <w14:schemeClr w14:val="tx1">
                <w14:lumMod w14:val="95000"/>
                <w14:lumOff w14:val="5000"/>
              </w14:schemeClr>
            </w14:solidFill>
          </w14:textFill>
        </w:rPr>
        <w:t>L</w:t>
      </w:r>
      <w:r>
        <w:rPr>
          <w:rFonts w:hint="eastAsia"/>
          <w:color w:val="0D0D0D" w:themeColor="text1" w:themeTint="F2"/>
          <w:szCs w:val="20"/>
          <w:u w:val="single"/>
          <w14:textFill>
            <w14:solidFill>
              <w14:schemeClr w14:val="tx1">
                <w14:lumMod w14:val="95000"/>
                <w14:lumOff w14:val="5000"/>
              </w14:schemeClr>
            </w14:solidFill>
          </w14:textFill>
        </w:rPr>
        <w:t>—纵向弥散系数，m</w:t>
      </w:r>
      <w:r>
        <w:rPr>
          <w:rFonts w:hint="eastAsia"/>
          <w:color w:val="0D0D0D" w:themeColor="text1" w:themeTint="F2"/>
          <w:szCs w:val="20"/>
          <w:u w:val="single"/>
          <w:vertAlign w:val="superscript"/>
          <w14:textFill>
            <w14:solidFill>
              <w14:schemeClr w14:val="tx1">
                <w14:lumMod w14:val="95000"/>
                <w14:lumOff w14:val="5000"/>
              </w14:schemeClr>
            </w14:solidFill>
          </w14:textFill>
        </w:rPr>
        <w:t>2</w:t>
      </w:r>
      <w:r>
        <w:rPr>
          <w:rFonts w:hint="eastAsia"/>
          <w:color w:val="0D0D0D" w:themeColor="text1" w:themeTint="F2"/>
          <w:szCs w:val="20"/>
          <w:u w:val="single"/>
          <w14:textFill>
            <w14:solidFill>
              <w14:schemeClr w14:val="tx1">
                <w14:lumMod w14:val="95000"/>
                <w14:lumOff w14:val="5000"/>
              </w14:schemeClr>
            </w14:solidFill>
          </w14:textFill>
        </w:rPr>
        <w:t>/d；</w:t>
      </w:r>
    </w:p>
    <w:p w14:paraId="0D91B356">
      <w:pPr>
        <w:ind w:firstLine="480"/>
        <w:rPr>
          <w:color w:val="0D0D0D" w:themeColor="text1" w:themeTint="F2"/>
          <w:szCs w:val="20"/>
          <w:u w:val="single"/>
          <w14:textFill>
            <w14:solidFill>
              <w14:schemeClr w14:val="tx1">
                <w14:lumMod w14:val="95000"/>
                <w14:lumOff w14:val="5000"/>
              </w14:schemeClr>
            </w14:solidFill>
          </w14:textFill>
        </w:rPr>
      </w:pPr>
      <w:r>
        <w:rPr>
          <w:rFonts w:hint="eastAsia"/>
          <w:color w:val="0D0D0D" w:themeColor="text1" w:themeTint="F2"/>
          <w:szCs w:val="20"/>
          <w:u w:val="single"/>
          <w14:textFill>
            <w14:solidFill>
              <w14:schemeClr w14:val="tx1">
                <w14:lumMod w14:val="95000"/>
                <w14:lumOff w14:val="5000"/>
              </w14:schemeClr>
            </w14:solidFill>
          </w14:textFill>
        </w:rPr>
        <w:t>D</w:t>
      </w:r>
      <w:r>
        <w:rPr>
          <w:rFonts w:hint="eastAsia"/>
          <w:color w:val="0D0D0D" w:themeColor="text1" w:themeTint="F2"/>
          <w:szCs w:val="20"/>
          <w:u w:val="single"/>
          <w:vertAlign w:val="subscript"/>
          <w14:textFill>
            <w14:solidFill>
              <w14:schemeClr w14:val="tx1">
                <w14:lumMod w14:val="95000"/>
                <w14:lumOff w14:val="5000"/>
              </w14:schemeClr>
            </w14:solidFill>
          </w14:textFill>
        </w:rPr>
        <w:t>T</w:t>
      </w:r>
      <w:r>
        <w:rPr>
          <w:rFonts w:hint="eastAsia"/>
          <w:color w:val="0D0D0D" w:themeColor="text1" w:themeTint="F2"/>
          <w:szCs w:val="20"/>
          <w:u w:val="single"/>
          <w14:textFill>
            <w14:solidFill>
              <w14:schemeClr w14:val="tx1">
                <w14:lumMod w14:val="95000"/>
                <w14:lumOff w14:val="5000"/>
              </w14:schemeClr>
            </w14:solidFill>
          </w14:textFill>
        </w:rPr>
        <w:t>—横向y方向的弥散系数，m</w:t>
      </w:r>
      <w:r>
        <w:rPr>
          <w:rFonts w:hint="eastAsia"/>
          <w:color w:val="0D0D0D" w:themeColor="text1" w:themeTint="F2"/>
          <w:szCs w:val="20"/>
          <w:u w:val="single"/>
          <w:vertAlign w:val="superscript"/>
          <w14:textFill>
            <w14:solidFill>
              <w14:schemeClr w14:val="tx1">
                <w14:lumMod w14:val="95000"/>
                <w14:lumOff w14:val="5000"/>
              </w14:schemeClr>
            </w14:solidFill>
          </w14:textFill>
        </w:rPr>
        <w:t>2</w:t>
      </w:r>
      <w:r>
        <w:rPr>
          <w:rFonts w:hint="eastAsia"/>
          <w:color w:val="0D0D0D" w:themeColor="text1" w:themeTint="F2"/>
          <w:szCs w:val="20"/>
          <w:u w:val="single"/>
          <w14:textFill>
            <w14:solidFill>
              <w14:schemeClr w14:val="tx1">
                <w14:lumMod w14:val="95000"/>
                <w14:lumOff w14:val="5000"/>
              </w14:schemeClr>
            </w14:solidFill>
          </w14:textFill>
        </w:rPr>
        <w:t>/d；</w:t>
      </w:r>
    </w:p>
    <w:p w14:paraId="63B5DA24">
      <w:pPr>
        <w:ind w:firstLine="480"/>
        <w:rPr>
          <w:color w:val="0D0D0D" w:themeColor="text1" w:themeTint="F2"/>
          <w:szCs w:val="20"/>
          <w:u w:val="single"/>
          <w14:textFill>
            <w14:solidFill>
              <w14:schemeClr w14:val="tx1">
                <w14:lumMod w14:val="95000"/>
                <w14:lumOff w14:val="5000"/>
              </w14:schemeClr>
            </w14:solidFill>
          </w14:textFill>
        </w:rPr>
      </w:pPr>
      <w:r>
        <w:rPr>
          <w:rFonts w:hint="eastAsia"/>
          <w:color w:val="0D0D0D" w:themeColor="text1" w:themeTint="F2"/>
          <w:szCs w:val="20"/>
          <w:u w:val="single"/>
          <w14:textFill>
            <w14:solidFill>
              <w14:schemeClr w14:val="tx1">
                <w14:lumMod w14:val="95000"/>
                <w14:lumOff w14:val="5000"/>
              </w14:schemeClr>
            </w14:solidFill>
          </w14:textFill>
        </w:rPr>
        <w:t>π—圆周率</w:t>
      </w:r>
      <w:r>
        <w:rPr>
          <w:rFonts w:hint="eastAsia" w:cs="Times New Roman"/>
          <w:color w:val="0D0D0D" w:themeColor="text1" w:themeTint="F2"/>
          <w:kern w:val="0"/>
          <w:szCs w:val="24"/>
          <w14:textFill>
            <w14:solidFill>
              <w14:schemeClr w14:val="tx1">
                <w14:lumMod w14:val="95000"/>
                <w14:lumOff w14:val="5000"/>
              </w14:schemeClr>
            </w14:solidFill>
          </w14:textFill>
        </w:rPr>
        <w:t>。</w:t>
      </w:r>
    </w:p>
    <w:p w14:paraId="09E8D9B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项目综合水文地质参数情况详见表5.4-2。</w:t>
      </w:r>
    </w:p>
    <w:p w14:paraId="6B958A7C">
      <w:pPr>
        <w:pStyle w:val="11"/>
      </w:pPr>
      <w:r>
        <w:rPr>
          <w:rFonts w:hint="eastAsia"/>
        </w:rPr>
        <w:t xml:space="preserve"> 预测模型参数表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87"/>
        <w:gridCol w:w="1536"/>
        <w:gridCol w:w="1970"/>
        <w:gridCol w:w="1849"/>
      </w:tblGrid>
      <w:tr w14:paraId="2F63F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4" w:type="pct"/>
            <w:gridSpan w:val="2"/>
            <w:vAlign w:val="center"/>
          </w:tcPr>
          <w:p w14:paraId="26DC03F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预测参数</w:t>
            </w:r>
          </w:p>
        </w:tc>
        <w:tc>
          <w:tcPr>
            <w:tcW w:w="1066" w:type="pct"/>
            <w:vAlign w:val="center"/>
          </w:tcPr>
          <w:p w14:paraId="61920D5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单位</w:t>
            </w:r>
          </w:p>
        </w:tc>
        <w:tc>
          <w:tcPr>
            <w:tcW w:w="1000" w:type="pct"/>
            <w:vAlign w:val="center"/>
          </w:tcPr>
          <w:p w14:paraId="3B16122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数值</w:t>
            </w:r>
          </w:p>
        </w:tc>
      </w:tr>
      <w:tr w14:paraId="64E4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3" w:type="pct"/>
            <w:vMerge w:val="restart"/>
            <w:vAlign w:val="center"/>
          </w:tcPr>
          <w:p w14:paraId="3F0BDCF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示踪剂质量</w:t>
            </w:r>
          </w:p>
        </w:tc>
        <w:tc>
          <w:tcPr>
            <w:tcW w:w="831" w:type="pct"/>
            <w:vAlign w:val="center"/>
          </w:tcPr>
          <w:p w14:paraId="2F04495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COD</w:t>
            </w:r>
            <w:r>
              <w:rPr>
                <w:rFonts w:hint="eastAsia"/>
                <w:color w:val="0D0D0D" w:themeColor="text1" w:themeTint="F2"/>
                <w:sz w:val="21"/>
                <w:szCs w:val="21"/>
                <w:u w:val="single"/>
                <w:vertAlign w:val="subscript"/>
                <w14:textFill>
                  <w14:solidFill>
                    <w14:schemeClr w14:val="tx1">
                      <w14:lumMod w14:val="95000"/>
                      <w14:lumOff w14:val="5000"/>
                    </w14:schemeClr>
                  </w14:solidFill>
                </w14:textFill>
              </w:rPr>
              <w:t>Mn</w:t>
            </w:r>
          </w:p>
        </w:tc>
        <w:tc>
          <w:tcPr>
            <w:tcW w:w="1066" w:type="pct"/>
            <w:vAlign w:val="center"/>
          </w:tcPr>
          <w:p w14:paraId="527DF2B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kg</w:t>
            </w:r>
          </w:p>
        </w:tc>
        <w:tc>
          <w:tcPr>
            <w:tcW w:w="1000" w:type="pct"/>
            <w:vAlign w:val="center"/>
          </w:tcPr>
          <w:p w14:paraId="44D5DA4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13366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3" w:type="pct"/>
            <w:vMerge w:val="continue"/>
            <w:vAlign w:val="center"/>
          </w:tcPr>
          <w:p w14:paraId="2175D06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831" w:type="pct"/>
            <w:vAlign w:val="center"/>
          </w:tcPr>
          <w:p w14:paraId="1FC3C91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氨氮</w:t>
            </w:r>
          </w:p>
        </w:tc>
        <w:tc>
          <w:tcPr>
            <w:tcW w:w="1066" w:type="pct"/>
            <w:vAlign w:val="center"/>
          </w:tcPr>
          <w:p w14:paraId="3505C88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kg</w:t>
            </w:r>
          </w:p>
        </w:tc>
        <w:tc>
          <w:tcPr>
            <w:tcW w:w="1000" w:type="pct"/>
            <w:vAlign w:val="center"/>
          </w:tcPr>
          <w:p w14:paraId="39EAA8B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5B26F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4" w:type="pct"/>
            <w:gridSpan w:val="2"/>
            <w:vAlign w:val="center"/>
          </w:tcPr>
          <w:p w14:paraId="612D388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水平渗透系数</w:t>
            </w:r>
          </w:p>
        </w:tc>
        <w:tc>
          <w:tcPr>
            <w:tcW w:w="1066" w:type="pct"/>
            <w:vAlign w:val="center"/>
          </w:tcPr>
          <w:p w14:paraId="1EDF23D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m/d</w:t>
            </w:r>
          </w:p>
        </w:tc>
        <w:tc>
          <w:tcPr>
            <w:tcW w:w="1000" w:type="pct"/>
            <w:vAlign w:val="center"/>
          </w:tcPr>
          <w:p w14:paraId="716F6FF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5EBF0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4" w:type="pct"/>
            <w:gridSpan w:val="2"/>
            <w:vAlign w:val="center"/>
          </w:tcPr>
          <w:p w14:paraId="6CCFE49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垂向渗透系数</w:t>
            </w:r>
          </w:p>
        </w:tc>
        <w:tc>
          <w:tcPr>
            <w:tcW w:w="1066" w:type="pct"/>
            <w:vAlign w:val="center"/>
          </w:tcPr>
          <w:p w14:paraId="7E80F81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m/d</w:t>
            </w:r>
          </w:p>
        </w:tc>
        <w:tc>
          <w:tcPr>
            <w:tcW w:w="1000" w:type="pct"/>
            <w:vAlign w:val="center"/>
          </w:tcPr>
          <w:p w14:paraId="34BA00D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5855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4" w:type="pct"/>
            <w:gridSpan w:val="2"/>
            <w:vAlign w:val="center"/>
          </w:tcPr>
          <w:p w14:paraId="0C806BB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水流速度</w:t>
            </w:r>
            <w:r>
              <w:rPr>
                <w:color w:val="0D0D0D" w:themeColor="text1" w:themeTint="F2"/>
                <w:sz w:val="21"/>
                <w:szCs w:val="21"/>
                <w:u w:val="single"/>
                <w14:textFill>
                  <w14:solidFill>
                    <w14:schemeClr w14:val="tx1">
                      <w14:lumMod w14:val="95000"/>
                      <w14:lumOff w14:val="5000"/>
                    </w14:schemeClr>
                  </w14:solidFill>
                </w14:textFill>
              </w:rPr>
              <w:t>u</w:t>
            </w:r>
          </w:p>
        </w:tc>
        <w:tc>
          <w:tcPr>
            <w:tcW w:w="1066" w:type="pct"/>
            <w:vAlign w:val="center"/>
          </w:tcPr>
          <w:p w14:paraId="35B1BC2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m/d</w:t>
            </w:r>
          </w:p>
        </w:tc>
        <w:tc>
          <w:tcPr>
            <w:tcW w:w="1000" w:type="pct"/>
            <w:vAlign w:val="center"/>
          </w:tcPr>
          <w:p w14:paraId="7E8BE82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78DB1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4" w:type="pct"/>
            <w:gridSpan w:val="2"/>
            <w:vAlign w:val="center"/>
          </w:tcPr>
          <w:p w14:paraId="28AAAAB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纵向弥散系数D</w:t>
            </w:r>
            <w:r>
              <w:rPr>
                <w:rFonts w:hint="eastAsia" w:cs="Times New Roman"/>
                <w:color w:val="0D0D0D" w:themeColor="text1" w:themeTint="F2"/>
                <w:kern w:val="0"/>
                <w:sz w:val="21"/>
                <w:szCs w:val="21"/>
                <w:u w:val="single"/>
                <w:vertAlign w:val="subscript"/>
                <w14:textFill>
                  <w14:solidFill>
                    <w14:schemeClr w14:val="tx1">
                      <w14:lumMod w14:val="95000"/>
                      <w14:lumOff w14:val="5000"/>
                    </w14:schemeClr>
                  </w14:solidFill>
                </w14:textFill>
              </w:rPr>
              <w:t>L</w:t>
            </w:r>
          </w:p>
        </w:tc>
        <w:tc>
          <w:tcPr>
            <w:tcW w:w="1066" w:type="pct"/>
            <w:vAlign w:val="center"/>
          </w:tcPr>
          <w:p w14:paraId="3663AFD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m</w:t>
            </w:r>
            <w:r>
              <w:rPr>
                <w:rFonts w:hint="eastAsia" w:cs="Times New Roman"/>
                <w:color w:val="0D0D0D" w:themeColor="text1" w:themeTint="F2"/>
                <w:kern w:val="0"/>
                <w:sz w:val="21"/>
                <w:szCs w:val="21"/>
                <w:u w:val="single"/>
                <w:vertAlign w:val="superscript"/>
                <w14:textFill>
                  <w14:solidFill>
                    <w14:schemeClr w14:val="tx1">
                      <w14:lumMod w14:val="95000"/>
                      <w14:lumOff w14:val="5000"/>
                    </w14:schemeClr>
                  </w14:solidFill>
                </w14:textFill>
              </w:rPr>
              <w:t>2</w:t>
            </w: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/d</w:t>
            </w:r>
          </w:p>
        </w:tc>
        <w:tc>
          <w:tcPr>
            <w:tcW w:w="1000" w:type="pct"/>
            <w:vAlign w:val="center"/>
          </w:tcPr>
          <w:p w14:paraId="295D3C3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4859E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4" w:type="pct"/>
            <w:gridSpan w:val="2"/>
            <w:vAlign w:val="center"/>
          </w:tcPr>
          <w:p w14:paraId="6C9CC99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横向弥散系数D</w:t>
            </w:r>
            <w:r>
              <w:rPr>
                <w:rFonts w:hint="eastAsia" w:cs="Times New Roman"/>
                <w:color w:val="0D0D0D" w:themeColor="text1" w:themeTint="F2"/>
                <w:kern w:val="0"/>
                <w:sz w:val="21"/>
                <w:szCs w:val="21"/>
                <w:u w:val="single"/>
                <w:vertAlign w:val="subscript"/>
                <w14:textFill>
                  <w14:solidFill>
                    <w14:schemeClr w14:val="tx1">
                      <w14:lumMod w14:val="95000"/>
                      <w14:lumOff w14:val="5000"/>
                    </w14:schemeClr>
                  </w14:solidFill>
                </w14:textFill>
              </w:rPr>
              <w:t>T</w:t>
            </w:r>
          </w:p>
        </w:tc>
        <w:tc>
          <w:tcPr>
            <w:tcW w:w="1066" w:type="pct"/>
            <w:vAlign w:val="center"/>
          </w:tcPr>
          <w:p w14:paraId="55EEB0C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m</w:t>
            </w:r>
            <w:r>
              <w:rPr>
                <w:rFonts w:hint="eastAsia" w:cs="Times New Roman"/>
                <w:color w:val="0D0D0D" w:themeColor="text1" w:themeTint="F2"/>
                <w:kern w:val="0"/>
                <w:sz w:val="21"/>
                <w:szCs w:val="21"/>
                <w:u w:val="single"/>
                <w:vertAlign w:val="superscript"/>
                <w14:textFill>
                  <w14:solidFill>
                    <w14:schemeClr w14:val="tx1">
                      <w14:lumMod w14:val="95000"/>
                      <w14:lumOff w14:val="5000"/>
                    </w14:schemeClr>
                  </w14:solidFill>
                </w14:textFill>
              </w:rPr>
              <w:t>2</w:t>
            </w: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/d</w:t>
            </w:r>
          </w:p>
        </w:tc>
        <w:tc>
          <w:tcPr>
            <w:tcW w:w="1000" w:type="pct"/>
            <w:vAlign w:val="center"/>
          </w:tcPr>
          <w:p w14:paraId="41006CC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63171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4" w:type="pct"/>
            <w:gridSpan w:val="2"/>
            <w:vAlign w:val="center"/>
          </w:tcPr>
          <w:p w14:paraId="73BBB2F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有效孔隙度</w:t>
            </w:r>
          </w:p>
        </w:tc>
        <w:tc>
          <w:tcPr>
            <w:tcW w:w="1066" w:type="pct"/>
            <w:vAlign w:val="center"/>
          </w:tcPr>
          <w:p w14:paraId="02CD050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无量纲</w:t>
            </w:r>
          </w:p>
        </w:tc>
        <w:tc>
          <w:tcPr>
            <w:tcW w:w="1000" w:type="pct"/>
            <w:vAlign w:val="center"/>
          </w:tcPr>
          <w:p w14:paraId="0E475F1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r>
      <w:tr w14:paraId="1C877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vAlign w:val="center"/>
          </w:tcPr>
          <w:p w14:paraId="7949BA92">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注：项目污水处理站隔油池距离北部海域约40m，距离东部金鼓江海域约170m。</w:t>
            </w:r>
          </w:p>
        </w:tc>
      </w:tr>
    </w:tbl>
    <w:p w14:paraId="77780C58">
      <w:pPr>
        <w:pStyle w:val="10"/>
      </w:pPr>
      <w:r>
        <w:rPr>
          <w:rFonts w:hint="eastAsia"/>
        </w:rPr>
        <w:t>预测结果</w:t>
      </w:r>
    </w:p>
    <w:bookmarkEnd w:id="175"/>
    <w:p w14:paraId="44E65157">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前文分析，将水文地质参数及污染源的源强，代入相应公式进行模型计算，对污染物COD和氨氮在地下水环境中的分布、程度进行分析，从而对污染事故对地下水的影响进行定量的评价，给出COD和氨氮的影响距离和程度。COD环境质量标准为3mg/L，检出限为0.05mg/L；氨氮环境质量标准为0.5mg/L，检出限为0.025mg/L。</w:t>
      </w:r>
    </w:p>
    <w:p w14:paraId="37057AA1">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预测结果详见表5.4-3~表5.4-5。</w:t>
      </w:r>
    </w:p>
    <w:p w14:paraId="277322F9">
      <w:pPr>
        <w:pStyle w:val="2"/>
        <w:ind w:firstLine="240"/>
      </w:pPr>
      <w:r>
        <w:br w:type="page"/>
      </w:r>
    </w:p>
    <w:p w14:paraId="36FABB99">
      <w:pPr>
        <w:pStyle w:val="11"/>
      </w:pPr>
      <w:r>
        <w:rPr>
          <w:rFonts w:hint="eastAsia"/>
        </w:rPr>
        <w:t xml:space="preserve"> 废水泄漏10d贡献值预测结果表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1997"/>
        <w:gridCol w:w="1274"/>
        <w:gridCol w:w="1274"/>
        <w:gridCol w:w="1342"/>
        <w:gridCol w:w="1274"/>
        <w:gridCol w:w="1274"/>
      </w:tblGrid>
      <w:tr w14:paraId="0F9C2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restart"/>
            <w:vAlign w:val="center"/>
          </w:tcPr>
          <w:p w14:paraId="1ACEDE1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预测</w:t>
            </w:r>
          </w:p>
          <w:p w14:paraId="71F8E0B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因子</w:t>
            </w:r>
          </w:p>
        </w:tc>
        <w:tc>
          <w:tcPr>
            <w:tcW w:w="1081" w:type="pct"/>
            <w:vMerge w:val="restart"/>
            <w:vAlign w:val="center"/>
          </w:tcPr>
          <w:p w14:paraId="6506007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X轴坐标（m）</w:t>
            </w:r>
          </w:p>
          <w:p w14:paraId="73D17DC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浓度（mg/L）</w:t>
            </w:r>
          </w:p>
        </w:tc>
        <w:tc>
          <w:tcPr>
            <w:tcW w:w="3482" w:type="pct"/>
            <w:gridSpan w:val="5"/>
            <w:vAlign w:val="center"/>
          </w:tcPr>
          <w:p w14:paraId="5B86E68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Y轴</w:t>
            </w:r>
          </w:p>
        </w:tc>
      </w:tr>
      <w:tr w14:paraId="7C9C5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vAlign w:val="center"/>
          </w:tcPr>
          <w:p w14:paraId="75E5740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081" w:type="pct"/>
            <w:vMerge w:val="continue"/>
            <w:vAlign w:val="center"/>
          </w:tcPr>
          <w:p w14:paraId="7EA0E73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689" w:type="pct"/>
            <w:vAlign w:val="center"/>
          </w:tcPr>
          <w:p w14:paraId="7DD4001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w:t>
            </w:r>
          </w:p>
        </w:tc>
        <w:tc>
          <w:tcPr>
            <w:tcW w:w="689" w:type="pct"/>
            <w:vAlign w:val="center"/>
          </w:tcPr>
          <w:p w14:paraId="4913CEE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10</w:t>
            </w:r>
          </w:p>
        </w:tc>
        <w:tc>
          <w:tcPr>
            <w:tcW w:w="726" w:type="pct"/>
            <w:vAlign w:val="center"/>
          </w:tcPr>
          <w:p w14:paraId="17F5C42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20</w:t>
            </w:r>
          </w:p>
        </w:tc>
        <w:tc>
          <w:tcPr>
            <w:tcW w:w="689" w:type="pct"/>
            <w:vAlign w:val="center"/>
          </w:tcPr>
          <w:p w14:paraId="4A7290D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30</w:t>
            </w:r>
          </w:p>
        </w:tc>
        <w:tc>
          <w:tcPr>
            <w:tcW w:w="689" w:type="pct"/>
            <w:vAlign w:val="center"/>
          </w:tcPr>
          <w:p w14:paraId="18AE3CE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40</w:t>
            </w:r>
          </w:p>
        </w:tc>
      </w:tr>
      <w:tr w14:paraId="589A4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restart"/>
            <w:vAlign w:val="center"/>
          </w:tcPr>
          <w:p w14:paraId="13D3131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COD</w:t>
            </w:r>
          </w:p>
        </w:tc>
        <w:tc>
          <w:tcPr>
            <w:tcW w:w="1081" w:type="pct"/>
            <w:vAlign w:val="center"/>
          </w:tcPr>
          <w:p w14:paraId="239059D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w:t>
            </w:r>
          </w:p>
        </w:tc>
        <w:tc>
          <w:tcPr>
            <w:tcW w:w="689" w:type="pct"/>
            <w:vAlign w:val="center"/>
          </w:tcPr>
          <w:p w14:paraId="73D4141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3.47E+02</w:t>
            </w:r>
          </w:p>
        </w:tc>
        <w:tc>
          <w:tcPr>
            <w:tcW w:w="689" w:type="pct"/>
            <w:vAlign w:val="center"/>
          </w:tcPr>
          <w:p w14:paraId="2A1418B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1.06E-39</w:t>
            </w:r>
          </w:p>
        </w:tc>
        <w:tc>
          <w:tcPr>
            <w:tcW w:w="726" w:type="pct"/>
            <w:vAlign w:val="center"/>
          </w:tcPr>
          <w:p w14:paraId="6004F44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9.74E-165</w:t>
            </w:r>
          </w:p>
        </w:tc>
        <w:tc>
          <w:tcPr>
            <w:tcW w:w="689" w:type="pct"/>
            <w:vAlign w:val="center"/>
          </w:tcPr>
          <w:p w14:paraId="391C32C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689" w:type="pct"/>
          </w:tcPr>
          <w:p w14:paraId="5D22EEC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r>
      <w:tr w14:paraId="54387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vAlign w:val="center"/>
          </w:tcPr>
          <w:p w14:paraId="31CA323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081" w:type="pct"/>
            <w:vAlign w:val="center"/>
          </w:tcPr>
          <w:p w14:paraId="34F4997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10</w:t>
            </w:r>
          </w:p>
        </w:tc>
        <w:tc>
          <w:tcPr>
            <w:tcW w:w="689" w:type="pct"/>
          </w:tcPr>
          <w:p w14:paraId="26AFE98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689" w:type="pct"/>
          </w:tcPr>
          <w:p w14:paraId="459FD47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726" w:type="pct"/>
          </w:tcPr>
          <w:p w14:paraId="1FA59D1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689" w:type="pct"/>
          </w:tcPr>
          <w:p w14:paraId="2F882B0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689" w:type="pct"/>
          </w:tcPr>
          <w:p w14:paraId="2D539C8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r>
      <w:tr w14:paraId="65A26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vAlign w:val="center"/>
          </w:tcPr>
          <w:p w14:paraId="15C7936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081" w:type="pct"/>
            <w:vAlign w:val="center"/>
          </w:tcPr>
          <w:p w14:paraId="246F55C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20</w:t>
            </w:r>
          </w:p>
        </w:tc>
        <w:tc>
          <w:tcPr>
            <w:tcW w:w="689" w:type="pct"/>
          </w:tcPr>
          <w:p w14:paraId="5E3A67F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689" w:type="pct"/>
          </w:tcPr>
          <w:p w14:paraId="01B3632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726" w:type="pct"/>
          </w:tcPr>
          <w:p w14:paraId="59F04CC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689" w:type="pct"/>
          </w:tcPr>
          <w:p w14:paraId="72BF28B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689" w:type="pct"/>
          </w:tcPr>
          <w:p w14:paraId="31A6DA1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r>
      <w:tr w14:paraId="4AC82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vAlign w:val="center"/>
          </w:tcPr>
          <w:p w14:paraId="2322E02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081" w:type="pct"/>
            <w:vAlign w:val="center"/>
          </w:tcPr>
          <w:p w14:paraId="0BFD375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30</w:t>
            </w:r>
          </w:p>
        </w:tc>
        <w:tc>
          <w:tcPr>
            <w:tcW w:w="689" w:type="pct"/>
          </w:tcPr>
          <w:p w14:paraId="0C41E1C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689" w:type="pct"/>
          </w:tcPr>
          <w:p w14:paraId="567F2D7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726" w:type="pct"/>
          </w:tcPr>
          <w:p w14:paraId="6800F5F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689" w:type="pct"/>
          </w:tcPr>
          <w:p w14:paraId="07E8F19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689" w:type="pct"/>
          </w:tcPr>
          <w:p w14:paraId="330347B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r>
      <w:tr w14:paraId="7B672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vAlign w:val="center"/>
          </w:tcPr>
          <w:p w14:paraId="463710E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081" w:type="pct"/>
            <w:vAlign w:val="center"/>
          </w:tcPr>
          <w:p w14:paraId="49917DC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40</w:t>
            </w:r>
          </w:p>
        </w:tc>
        <w:tc>
          <w:tcPr>
            <w:tcW w:w="689" w:type="pct"/>
          </w:tcPr>
          <w:p w14:paraId="6D9457F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689" w:type="pct"/>
          </w:tcPr>
          <w:p w14:paraId="6F00BDC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726" w:type="pct"/>
          </w:tcPr>
          <w:p w14:paraId="0A7C998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689" w:type="pct"/>
          </w:tcPr>
          <w:p w14:paraId="691A0EE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689" w:type="pct"/>
          </w:tcPr>
          <w:p w14:paraId="313939B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r>
      <w:tr w14:paraId="1241C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restart"/>
            <w:vAlign w:val="center"/>
          </w:tcPr>
          <w:p w14:paraId="3B72E21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氨氮</w:t>
            </w:r>
          </w:p>
        </w:tc>
        <w:tc>
          <w:tcPr>
            <w:tcW w:w="1081" w:type="pct"/>
            <w:vAlign w:val="center"/>
          </w:tcPr>
          <w:p w14:paraId="4157D4D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w:t>
            </w:r>
          </w:p>
        </w:tc>
        <w:tc>
          <w:tcPr>
            <w:tcW w:w="689" w:type="pct"/>
            <w:vAlign w:val="center"/>
          </w:tcPr>
          <w:p w14:paraId="618CD8B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5.06E+01</w:t>
            </w:r>
          </w:p>
        </w:tc>
        <w:tc>
          <w:tcPr>
            <w:tcW w:w="689" w:type="pct"/>
            <w:vAlign w:val="center"/>
          </w:tcPr>
          <w:p w14:paraId="7363403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1.54E-40</w:t>
            </w:r>
          </w:p>
        </w:tc>
        <w:tc>
          <w:tcPr>
            <w:tcW w:w="726" w:type="pct"/>
            <w:vAlign w:val="center"/>
          </w:tcPr>
          <w:p w14:paraId="41A4813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1.42E-165</w:t>
            </w:r>
          </w:p>
        </w:tc>
        <w:tc>
          <w:tcPr>
            <w:tcW w:w="689" w:type="pct"/>
          </w:tcPr>
          <w:p w14:paraId="5EFDC3A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689" w:type="pct"/>
          </w:tcPr>
          <w:p w14:paraId="45EF8EB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r>
      <w:tr w14:paraId="011D8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vAlign w:val="center"/>
          </w:tcPr>
          <w:p w14:paraId="0E6029B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081" w:type="pct"/>
            <w:vAlign w:val="center"/>
          </w:tcPr>
          <w:p w14:paraId="1A2C0CB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10</w:t>
            </w:r>
          </w:p>
        </w:tc>
        <w:tc>
          <w:tcPr>
            <w:tcW w:w="689" w:type="pct"/>
          </w:tcPr>
          <w:p w14:paraId="26F0C92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689" w:type="pct"/>
          </w:tcPr>
          <w:p w14:paraId="7E60F27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726" w:type="pct"/>
          </w:tcPr>
          <w:p w14:paraId="6842CC9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689" w:type="pct"/>
          </w:tcPr>
          <w:p w14:paraId="65B0C04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689" w:type="pct"/>
          </w:tcPr>
          <w:p w14:paraId="3918A27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r>
      <w:tr w14:paraId="0368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vAlign w:val="center"/>
          </w:tcPr>
          <w:p w14:paraId="48940E5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081" w:type="pct"/>
            <w:vAlign w:val="center"/>
          </w:tcPr>
          <w:p w14:paraId="72F6696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20</w:t>
            </w:r>
          </w:p>
        </w:tc>
        <w:tc>
          <w:tcPr>
            <w:tcW w:w="689" w:type="pct"/>
          </w:tcPr>
          <w:p w14:paraId="723794A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689" w:type="pct"/>
          </w:tcPr>
          <w:p w14:paraId="594E8F8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726" w:type="pct"/>
          </w:tcPr>
          <w:p w14:paraId="35E5052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689" w:type="pct"/>
          </w:tcPr>
          <w:p w14:paraId="2E04BF6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689" w:type="pct"/>
          </w:tcPr>
          <w:p w14:paraId="751D62E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r>
      <w:tr w14:paraId="2E591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vAlign w:val="center"/>
          </w:tcPr>
          <w:p w14:paraId="50F6E32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081" w:type="pct"/>
            <w:vAlign w:val="center"/>
          </w:tcPr>
          <w:p w14:paraId="2A75B71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30</w:t>
            </w:r>
          </w:p>
        </w:tc>
        <w:tc>
          <w:tcPr>
            <w:tcW w:w="689" w:type="pct"/>
          </w:tcPr>
          <w:p w14:paraId="00FD0E3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689" w:type="pct"/>
          </w:tcPr>
          <w:p w14:paraId="07167A2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726" w:type="pct"/>
          </w:tcPr>
          <w:p w14:paraId="0458991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689" w:type="pct"/>
          </w:tcPr>
          <w:p w14:paraId="55F5B67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689" w:type="pct"/>
          </w:tcPr>
          <w:p w14:paraId="768D85F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r>
      <w:tr w14:paraId="7EE60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vAlign w:val="center"/>
          </w:tcPr>
          <w:p w14:paraId="27C6D78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081" w:type="pct"/>
            <w:vAlign w:val="center"/>
          </w:tcPr>
          <w:p w14:paraId="124722D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40</w:t>
            </w:r>
          </w:p>
        </w:tc>
        <w:tc>
          <w:tcPr>
            <w:tcW w:w="689" w:type="pct"/>
          </w:tcPr>
          <w:p w14:paraId="4E10994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689" w:type="pct"/>
          </w:tcPr>
          <w:p w14:paraId="6DD5065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726" w:type="pct"/>
          </w:tcPr>
          <w:p w14:paraId="206137B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689" w:type="pct"/>
          </w:tcPr>
          <w:p w14:paraId="4CA3F22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689" w:type="pct"/>
          </w:tcPr>
          <w:p w14:paraId="767EF0B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r>
    </w:tbl>
    <w:p w14:paraId="60065C3A">
      <w:pPr>
        <w:pStyle w:val="11"/>
      </w:pPr>
      <w:r>
        <w:rPr>
          <w:rFonts w:hint="eastAsia"/>
        </w:rPr>
        <w:t xml:space="preserve"> 废水泄漏100d贡献值预测结果表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1941"/>
        <w:gridCol w:w="1303"/>
        <w:gridCol w:w="1303"/>
        <w:gridCol w:w="1303"/>
        <w:gridCol w:w="1303"/>
        <w:gridCol w:w="1305"/>
      </w:tblGrid>
      <w:tr w14:paraId="63ABD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4" w:type="pct"/>
            <w:vMerge w:val="restart"/>
            <w:vAlign w:val="center"/>
          </w:tcPr>
          <w:p w14:paraId="6F0CF3E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预测</w:t>
            </w:r>
          </w:p>
          <w:p w14:paraId="5EF61F7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因子</w:t>
            </w:r>
          </w:p>
        </w:tc>
        <w:tc>
          <w:tcPr>
            <w:tcW w:w="1050" w:type="pct"/>
            <w:vMerge w:val="restart"/>
            <w:vAlign w:val="center"/>
          </w:tcPr>
          <w:p w14:paraId="2322E35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X轴坐标（m）</w:t>
            </w:r>
          </w:p>
          <w:p w14:paraId="0C784DC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浓度（mg/L）</w:t>
            </w:r>
          </w:p>
        </w:tc>
        <w:tc>
          <w:tcPr>
            <w:tcW w:w="3526" w:type="pct"/>
            <w:gridSpan w:val="5"/>
            <w:vAlign w:val="center"/>
          </w:tcPr>
          <w:p w14:paraId="7E4CCEF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Y轴</w:t>
            </w:r>
          </w:p>
        </w:tc>
      </w:tr>
      <w:tr w14:paraId="08AA9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4" w:type="pct"/>
            <w:vMerge w:val="continue"/>
            <w:vAlign w:val="center"/>
          </w:tcPr>
          <w:p w14:paraId="51C51D8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050" w:type="pct"/>
            <w:vMerge w:val="continue"/>
            <w:vAlign w:val="center"/>
          </w:tcPr>
          <w:p w14:paraId="120BD66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05" w:type="pct"/>
            <w:vAlign w:val="center"/>
          </w:tcPr>
          <w:p w14:paraId="6B2D3D5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w:t>
            </w:r>
          </w:p>
        </w:tc>
        <w:tc>
          <w:tcPr>
            <w:tcW w:w="705" w:type="pct"/>
            <w:vAlign w:val="center"/>
          </w:tcPr>
          <w:p w14:paraId="4197A34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10</w:t>
            </w:r>
          </w:p>
        </w:tc>
        <w:tc>
          <w:tcPr>
            <w:tcW w:w="705" w:type="pct"/>
            <w:vAlign w:val="center"/>
          </w:tcPr>
          <w:p w14:paraId="715F9EC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20</w:t>
            </w:r>
          </w:p>
        </w:tc>
        <w:tc>
          <w:tcPr>
            <w:tcW w:w="705" w:type="pct"/>
            <w:vAlign w:val="center"/>
          </w:tcPr>
          <w:p w14:paraId="7C5A224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30</w:t>
            </w:r>
          </w:p>
        </w:tc>
        <w:tc>
          <w:tcPr>
            <w:tcW w:w="705" w:type="pct"/>
            <w:vAlign w:val="center"/>
          </w:tcPr>
          <w:p w14:paraId="28E2322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40</w:t>
            </w:r>
          </w:p>
        </w:tc>
      </w:tr>
      <w:tr w14:paraId="75F9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4" w:type="pct"/>
            <w:vMerge w:val="restart"/>
            <w:vAlign w:val="center"/>
          </w:tcPr>
          <w:p w14:paraId="137E00D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COD</w:t>
            </w:r>
          </w:p>
        </w:tc>
        <w:tc>
          <w:tcPr>
            <w:tcW w:w="1050" w:type="pct"/>
            <w:vAlign w:val="center"/>
          </w:tcPr>
          <w:p w14:paraId="63F3E09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w:t>
            </w:r>
          </w:p>
        </w:tc>
        <w:tc>
          <w:tcPr>
            <w:tcW w:w="705" w:type="pct"/>
            <w:vAlign w:val="center"/>
          </w:tcPr>
          <w:p w14:paraId="1DFC1DE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3.45E+01</w:t>
            </w:r>
          </w:p>
        </w:tc>
        <w:tc>
          <w:tcPr>
            <w:tcW w:w="705" w:type="pct"/>
            <w:vAlign w:val="center"/>
          </w:tcPr>
          <w:p w14:paraId="6C141C5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4.02E-03</w:t>
            </w:r>
          </w:p>
        </w:tc>
        <w:tc>
          <w:tcPr>
            <w:tcW w:w="705" w:type="pct"/>
            <w:vAlign w:val="center"/>
          </w:tcPr>
          <w:p w14:paraId="5A8FB48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2.08E-15</w:t>
            </w:r>
          </w:p>
        </w:tc>
        <w:tc>
          <w:tcPr>
            <w:tcW w:w="705" w:type="pct"/>
            <w:vAlign w:val="center"/>
          </w:tcPr>
          <w:p w14:paraId="560E971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4.80E-36</w:t>
            </w:r>
          </w:p>
        </w:tc>
        <w:tc>
          <w:tcPr>
            <w:tcW w:w="705" w:type="pct"/>
            <w:vAlign w:val="center"/>
          </w:tcPr>
          <w:p w14:paraId="08C7D9C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4.92E-65</w:t>
            </w:r>
          </w:p>
        </w:tc>
      </w:tr>
      <w:tr w14:paraId="0753A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4" w:type="pct"/>
            <w:vMerge w:val="continue"/>
            <w:vAlign w:val="center"/>
          </w:tcPr>
          <w:p w14:paraId="7BE3EE9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050" w:type="pct"/>
            <w:vAlign w:val="center"/>
          </w:tcPr>
          <w:p w14:paraId="7244A2C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10</w:t>
            </w:r>
          </w:p>
        </w:tc>
        <w:tc>
          <w:tcPr>
            <w:tcW w:w="705" w:type="pct"/>
            <w:vAlign w:val="center"/>
          </w:tcPr>
          <w:p w14:paraId="4E2534E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2.22E-35</w:t>
            </w:r>
          </w:p>
        </w:tc>
        <w:tc>
          <w:tcPr>
            <w:tcW w:w="705" w:type="pct"/>
            <w:vAlign w:val="center"/>
          </w:tcPr>
          <w:p w14:paraId="046BA44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2.59E-39</w:t>
            </w:r>
          </w:p>
        </w:tc>
        <w:tc>
          <w:tcPr>
            <w:tcW w:w="705" w:type="pct"/>
            <w:vAlign w:val="center"/>
          </w:tcPr>
          <w:p w14:paraId="308A75F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1.34E-51</w:t>
            </w:r>
          </w:p>
        </w:tc>
        <w:tc>
          <w:tcPr>
            <w:tcW w:w="705" w:type="pct"/>
            <w:vAlign w:val="center"/>
          </w:tcPr>
          <w:p w14:paraId="4ADC385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3.09E-72</w:t>
            </w:r>
          </w:p>
        </w:tc>
        <w:tc>
          <w:tcPr>
            <w:tcW w:w="705" w:type="pct"/>
            <w:vAlign w:val="center"/>
          </w:tcPr>
          <w:p w14:paraId="7D6ADAA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3.17E-101</w:t>
            </w:r>
          </w:p>
        </w:tc>
      </w:tr>
      <w:tr w14:paraId="7CDFD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4" w:type="pct"/>
            <w:vMerge w:val="continue"/>
            <w:vAlign w:val="center"/>
          </w:tcPr>
          <w:p w14:paraId="2EAB5D1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050" w:type="pct"/>
            <w:vAlign w:val="center"/>
          </w:tcPr>
          <w:p w14:paraId="7F20139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20</w:t>
            </w:r>
          </w:p>
        </w:tc>
        <w:tc>
          <w:tcPr>
            <w:tcW w:w="705" w:type="pct"/>
            <w:vAlign w:val="center"/>
          </w:tcPr>
          <w:p w14:paraId="0C9BD9C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5.93E-144</w:t>
            </w:r>
          </w:p>
        </w:tc>
        <w:tc>
          <w:tcPr>
            <w:tcW w:w="705" w:type="pct"/>
            <w:vAlign w:val="center"/>
          </w:tcPr>
          <w:p w14:paraId="51FE660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6.90E-148</w:t>
            </w:r>
          </w:p>
        </w:tc>
        <w:tc>
          <w:tcPr>
            <w:tcW w:w="705" w:type="pct"/>
            <w:vAlign w:val="center"/>
          </w:tcPr>
          <w:p w14:paraId="279C35D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3.58E-160</w:t>
            </w:r>
          </w:p>
        </w:tc>
        <w:tc>
          <w:tcPr>
            <w:tcW w:w="705" w:type="pct"/>
            <w:vAlign w:val="center"/>
          </w:tcPr>
          <w:p w14:paraId="2ECA4E2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8.24E-181</w:t>
            </w:r>
          </w:p>
        </w:tc>
        <w:tc>
          <w:tcPr>
            <w:tcW w:w="705" w:type="pct"/>
            <w:vAlign w:val="center"/>
          </w:tcPr>
          <w:p w14:paraId="2224E7D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8.45E-210</w:t>
            </w:r>
          </w:p>
        </w:tc>
      </w:tr>
      <w:tr w14:paraId="0E81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4" w:type="pct"/>
            <w:vMerge w:val="continue"/>
            <w:vAlign w:val="center"/>
          </w:tcPr>
          <w:p w14:paraId="334FDD5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050" w:type="pct"/>
            <w:vAlign w:val="center"/>
          </w:tcPr>
          <w:p w14:paraId="19EB8CA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30</w:t>
            </w:r>
          </w:p>
        </w:tc>
        <w:tc>
          <w:tcPr>
            <w:tcW w:w="705" w:type="pct"/>
          </w:tcPr>
          <w:p w14:paraId="7C7FBD0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705" w:type="pct"/>
          </w:tcPr>
          <w:p w14:paraId="4B83B7F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705" w:type="pct"/>
          </w:tcPr>
          <w:p w14:paraId="17366E4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705" w:type="pct"/>
          </w:tcPr>
          <w:p w14:paraId="1E308B6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705" w:type="pct"/>
          </w:tcPr>
          <w:p w14:paraId="4761D04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r>
      <w:tr w14:paraId="21E0A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4" w:type="pct"/>
            <w:vMerge w:val="continue"/>
            <w:vAlign w:val="center"/>
          </w:tcPr>
          <w:p w14:paraId="0932296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050" w:type="pct"/>
            <w:vAlign w:val="center"/>
          </w:tcPr>
          <w:p w14:paraId="646ABF7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40</w:t>
            </w:r>
          </w:p>
        </w:tc>
        <w:tc>
          <w:tcPr>
            <w:tcW w:w="705" w:type="pct"/>
          </w:tcPr>
          <w:p w14:paraId="6E3F0AE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705" w:type="pct"/>
          </w:tcPr>
          <w:p w14:paraId="0392D46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705" w:type="pct"/>
          </w:tcPr>
          <w:p w14:paraId="32EB572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705" w:type="pct"/>
          </w:tcPr>
          <w:p w14:paraId="097B1D9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705" w:type="pct"/>
          </w:tcPr>
          <w:p w14:paraId="532A894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r>
      <w:tr w14:paraId="0387B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4" w:type="pct"/>
            <w:vMerge w:val="restart"/>
            <w:vAlign w:val="center"/>
          </w:tcPr>
          <w:p w14:paraId="42B2FC4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氨氮</w:t>
            </w:r>
          </w:p>
        </w:tc>
        <w:tc>
          <w:tcPr>
            <w:tcW w:w="1050" w:type="pct"/>
            <w:vAlign w:val="center"/>
          </w:tcPr>
          <w:p w14:paraId="678572C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w:t>
            </w:r>
          </w:p>
        </w:tc>
        <w:tc>
          <w:tcPr>
            <w:tcW w:w="705" w:type="pct"/>
            <w:vAlign w:val="center"/>
          </w:tcPr>
          <w:p w14:paraId="0590481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5.03E+00</w:t>
            </w:r>
          </w:p>
        </w:tc>
        <w:tc>
          <w:tcPr>
            <w:tcW w:w="705" w:type="pct"/>
            <w:vAlign w:val="center"/>
          </w:tcPr>
          <w:p w14:paraId="0B2A0BA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5.86E-04</w:t>
            </w:r>
          </w:p>
        </w:tc>
        <w:tc>
          <w:tcPr>
            <w:tcW w:w="705" w:type="pct"/>
            <w:vAlign w:val="center"/>
          </w:tcPr>
          <w:p w14:paraId="670E883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3.04E-16</w:t>
            </w:r>
          </w:p>
        </w:tc>
        <w:tc>
          <w:tcPr>
            <w:tcW w:w="705" w:type="pct"/>
            <w:vAlign w:val="center"/>
          </w:tcPr>
          <w:p w14:paraId="338DACA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7.00E-37</w:t>
            </w:r>
          </w:p>
        </w:tc>
        <w:tc>
          <w:tcPr>
            <w:tcW w:w="705" w:type="pct"/>
            <w:vAlign w:val="center"/>
          </w:tcPr>
          <w:p w14:paraId="5D2585B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7.17E-66</w:t>
            </w:r>
          </w:p>
        </w:tc>
      </w:tr>
      <w:tr w14:paraId="1DDF6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4" w:type="pct"/>
            <w:vMerge w:val="continue"/>
            <w:vAlign w:val="center"/>
          </w:tcPr>
          <w:p w14:paraId="07BBA8D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050" w:type="pct"/>
            <w:vAlign w:val="center"/>
          </w:tcPr>
          <w:p w14:paraId="4547E9A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10</w:t>
            </w:r>
          </w:p>
        </w:tc>
        <w:tc>
          <w:tcPr>
            <w:tcW w:w="705" w:type="pct"/>
            <w:vAlign w:val="center"/>
          </w:tcPr>
          <w:p w14:paraId="72DBD7C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3.24E-36</w:t>
            </w:r>
          </w:p>
        </w:tc>
        <w:tc>
          <w:tcPr>
            <w:tcW w:w="705" w:type="pct"/>
            <w:vAlign w:val="center"/>
          </w:tcPr>
          <w:p w14:paraId="76F1CFE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3.77E-40</w:t>
            </w:r>
          </w:p>
        </w:tc>
        <w:tc>
          <w:tcPr>
            <w:tcW w:w="705" w:type="pct"/>
            <w:vAlign w:val="center"/>
          </w:tcPr>
          <w:p w14:paraId="35C185E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1.95E-52</w:t>
            </w:r>
          </w:p>
        </w:tc>
        <w:tc>
          <w:tcPr>
            <w:tcW w:w="705" w:type="pct"/>
            <w:vAlign w:val="center"/>
          </w:tcPr>
          <w:p w14:paraId="5C3A65D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4.50E-73</w:t>
            </w:r>
          </w:p>
        </w:tc>
        <w:tc>
          <w:tcPr>
            <w:tcW w:w="705" w:type="pct"/>
            <w:vAlign w:val="center"/>
          </w:tcPr>
          <w:p w14:paraId="476236D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4.62E-102</w:t>
            </w:r>
          </w:p>
        </w:tc>
      </w:tr>
      <w:tr w14:paraId="3DBFB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4" w:type="pct"/>
            <w:vMerge w:val="continue"/>
            <w:vAlign w:val="center"/>
          </w:tcPr>
          <w:p w14:paraId="1E932BB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050" w:type="pct"/>
            <w:vAlign w:val="center"/>
          </w:tcPr>
          <w:p w14:paraId="0F01C40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20</w:t>
            </w:r>
          </w:p>
        </w:tc>
        <w:tc>
          <w:tcPr>
            <w:tcW w:w="705" w:type="pct"/>
            <w:vAlign w:val="center"/>
          </w:tcPr>
          <w:p w14:paraId="51C94C1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8.64E-145</w:t>
            </w:r>
          </w:p>
        </w:tc>
        <w:tc>
          <w:tcPr>
            <w:tcW w:w="705" w:type="pct"/>
            <w:vAlign w:val="center"/>
          </w:tcPr>
          <w:p w14:paraId="3279774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1.01E-148</w:t>
            </w:r>
          </w:p>
        </w:tc>
        <w:tc>
          <w:tcPr>
            <w:tcW w:w="705" w:type="pct"/>
            <w:vAlign w:val="center"/>
          </w:tcPr>
          <w:p w14:paraId="78E2E0D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5.22E-161</w:t>
            </w:r>
          </w:p>
        </w:tc>
        <w:tc>
          <w:tcPr>
            <w:tcW w:w="705" w:type="pct"/>
            <w:vAlign w:val="center"/>
          </w:tcPr>
          <w:p w14:paraId="32D7D14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1.20E-181</w:t>
            </w:r>
          </w:p>
        </w:tc>
        <w:tc>
          <w:tcPr>
            <w:tcW w:w="705" w:type="pct"/>
            <w:vAlign w:val="center"/>
          </w:tcPr>
          <w:p w14:paraId="1C8537F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1.23E-210</w:t>
            </w:r>
          </w:p>
        </w:tc>
      </w:tr>
      <w:tr w14:paraId="2DADB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4" w:type="pct"/>
            <w:vMerge w:val="continue"/>
            <w:vAlign w:val="center"/>
          </w:tcPr>
          <w:p w14:paraId="7F093C7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050" w:type="pct"/>
            <w:vAlign w:val="center"/>
          </w:tcPr>
          <w:p w14:paraId="20624C5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30</w:t>
            </w:r>
          </w:p>
        </w:tc>
        <w:tc>
          <w:tcPr>
            <w:tcW w:w="705" w:type="pct"/>
          </w:tcPr>
          <w:p w14:paraId="7617AA0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705" w:type="pct"/>
          </w:tcPr>
          <w:p w14:paraId="04E1C0A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705" w:type="pct"/>
          </w:tcPr>
          <w:p w14:paraId="63A7B96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705" w:type="pct"/>
          </w:tcPr>
          <w:p w14:paraId="34817BB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705" w:type="pct"/>
          </w:tcPr>
          <w:p w14:paraId="6674E62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r>
      <w:tr w14:paraId="1AB97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4" w:type="pct"/>
            <w:vMerge w:val="continue"/>
            <w:vAlign w:val="center"/>
          </w:tcPr>
          <w:p w14:paraId="7D3120D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050" w:type="pct"/>
            <w:vAlign w:val="center"/>
          </w:tcPr>
          <w:p w14:paraId="60C601E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40</w:t>
            </w:r>
          </w:p>
        </w:tc>
        <w:tc>
          <w:tcPr>
            <w:tcW w:w="705" w:type="pct"/>
          </w:tcPr>
          <w:p w14:paraId="274378B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705" w:type="pct"/>
          </w:tcPr>
          <w:p w14:paraId="627C06F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705" w:type="pct"/>
          </w:tcPr>
          <w:p w14:paraId="4B23E17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705" w:type="pct"/>
          </w:tcPr>
          <w:p w14:paraId="3A8D3A6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c>
          <w:tcPr>
            <w:tcW w:w="705" w:type="pct"/>
          </w:tcPr>
          <w:p w14:paraId="5705F5F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0.00E+00</w:t>
            </w:r>
          </w:p>
        </w:tc>
      </w:tr>
    </w:tbl>
    <w:p w14:paraId="74F395C2">
      <w:pPr>
        <w:pStyle w:val="11"/>
      </w:pPr>
      <w:r>
        <w:rPr>
          <w:rFonts w:hint="eastAsia"/>
        </w:rPr>
        <w:t xml:space="preserve"> 废水泄漏1000d贡献值预测结果表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2081"/>
        <w:gridCol w:w="1264"/>
        <w:gridCol w:w="1264"/>
        <w:gridCol w:w="1264"/>
        <w:gridCol w:w="1265"/>
        <w:gridCol w:w="1263"/>
      </w:tblGrid>
      <w:tr w14:paraId="6590B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55" w:type="pct"/>
            <w:vMerge w:val="restart"/>
            <w:vAlign w:val="center"/>
          </w:tcPr>
          <w:p w14:paraId="3FC5386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预测</w:t>
            </w:r>
          </w:p>
          <w:p w14:paraId="0C1183E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因子</w:t>
            </w:r>
          </w:p>
        </w:tc>
        <w:tc>
          <w:tcPr>
            <w:tcW w:w="1126" w:type="pct"/>
            <w:vMerge w:val="restart"/>
            <w:vAlign w:val="center"/>
          </w:tcPr>
          <w:p w14:paraId="16FD655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X轴坐标（m）</w:t>
            </w:r>
          </w:p>
          <w:p w14:paraId="1225BE8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浓度（mg/L）</w:t>
            </w:r>
          </w:p>
        </w:tc>
        <w:tc>
          <w:tcPr>
            <w:tcW w:w="3418" w:type="pct"/>
            <w:gridSpan w:val="5"/>
            <w:vAlign w:val="center"/>
          </w:tcPr>
          <w:p w14:paraId="4D0C226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Y轴</w:t>
            </w:r>
          </w:p>
        </w:tc>
      </w:tr>
      <w:tr w14:paraId="72C50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55" w:type="pct"/>
            <w:vMerge w:val="continue"/>
            <w:vAlign w:val="center"/>
          </w:tcPr>
          <w:p w14:paraId="7C6043C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126" w:type="pct"/>
            <w:vMerge w:val="continue"/>
            <w:vAlign w:val="center"/>
          </w:tcPr>
          <w:p w14:paraId="14152B2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684" w:type="pct"/>
            <w:vAlign w:val="center"/>
          </w:tcPr>
          <w:p w14:paraId="0B24FC0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w:t>
            </w:r>
          </w:p>
        </w:tc>
        <w:tc>
          <w:tcPr>
            <w:tcW w:w="684" w:type="pct"/>
            <w:vAlign w:val="center"/>
          </w:tcPr>
          <w:p w14:paraId="24E5DE0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10</w:t>
            </w:r>
          </w:p>
        </w:tc>
        <w:tc>
          <w:tcPr>
            <w:tcW w:w="684" w:type="pct"/>
            <w:vAlign w:val="center"/>
          </w:tcPr>
          <w:p w14:paraId="2184916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20</w:t>
            </w:r>
          </w:p>
        </w:tc>
        <w:tc>
          <w:tcPr>
            <w:tcW w:w="684" w:type="pct"/>
            <w:vAlign w:val="center"/>
          </w:tcPr>
          <w:p w14:paraId="75CC1AB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30</w:t>
            </w:r>
          </w:p>
        </w:tc>
        <w:tc>
          <w:tcPr>
            <w:tcW w:w="683" w:type="pct"/>
            <w:vAlign w:val="center"/>
          </w:tcPr>
          <w:p w14:paraId="32293AE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40</w:t>
            </w:r>
          </w:p>
        </w:tc>
      </w:tr>
      <w:tr w14:paraId="7D562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5" w:type="pct"/>
            <w:vMerge w:val="restart"/>
            <w:vAlign w:val="center"/>
          </w:tcPr>
          <w:p w14:paraId="0C6B422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COD</w:t>
            </w:r>
          </w:p>
        </w:tc>
        <w:tc>
          <w:tcPr>
            <w:tcW w:w="1126" w:type="pct"/>
            <w:vAlign w:val="center"/>
          </w:tcPr>
          <w:p w14:paraId="09D5DBA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w:t>
            </w:r>
          </w:p>
        </w:tc>
        <w:tc>
          <w:tcPr>
            <w:tcW w:w="684" w:type="pct"/>
          </w:tcPr>
          <w:p w14:paraId="6C58C82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3.21E+00</w:t>
            </w:r>
          </w:p>
        </w:tc>
        <w:tc>
          <w:tcPr>
            <w:tcW w:w="684" w:type="pct"/>
          </w:tcPr>
          <w:p w14:paraId="250326E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2.14E+00</w:t>
            </w:r>
          </w:p>
        </w:tc>
        <w:tc>
          <w:tcPr>
            <w:tcW w:w="684" w:type="pct"/>
          </w:tcPr>
          <w:p w14:paraId="04F868A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2.09E-01</w:t>
            </w:r>
          </w:p>
        </w:tc>
        <w:tc>
          <w:tcPr>
            <w:tcW w:w="684" w:type="pct"/>
          </w:tcPr>
          <w:p w14:paraId="48D478E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2.98E-03</w:t>
            </w:r>
          </w:p>
        </w:tc>
        <w:tc>
          <w:tcPr>
            <w:tcW w:w="683" w:type="pct"/>
          </w:tcPr>
          <w:p w14:paraId="1A2E4D3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6.21E-06</w:t>
            </w:r>
          </w:p>
        </w:tc>
      </w:tr>
      <w:tr w14:paraId="3BDF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5" w:type="pct"/>
            <w:vMerge w:val="continue"/>
            <w:vAlign w:val="center"/>
          </w:tcPr>
          <w:p w14:paraId="6D1E5A0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126" w:type="pct"/>
            <w:vAlign w:val="center"/>
          </w:tcPr>
          <w:p w14:paraId="4070CC1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10</w:t>
            </w:r>
          </w:p>
        </w:tc>
        <w:tc>
          <w:tcPr>
            <w:tcW w:w="684" w:type="pct"/>
          </w:tcPr>
          <w:p w14:paraId="4252201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7.71E-04</w:t>
            </w:r>
          </w:p>
        </w:tc>
        <w:tc>
          <w:tcPr>
            <w:tcW w:w="684" w:type="pct"/>
          </w:tcPr>
          <w:p w14:paraId="63A6D43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5.15E-04</w:t>
            </w:r>
          </w:p>
        </w:tc>
        <w:tc>
          <w:tcPr>
            <w:tcW w:w="684" w:type="pct"/>
          </w:tcPr>
          <w:p w14:paraId="12295B5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5.02E-05</w:t>
            </w:r>
          </w:p>
        </w:tc>
        <w:tc>
          <w:tcPr>
            <w:tcW w:w="684" w:type="pct"/>
          </w:tcPr>
          <w:p w14:paraId="57A0F18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7.16E-07</w:t>
            </w:r>
          </w:p>
        </w:tc>
        <w:tc>
          <w:tcPr>
            <w:tcW w:w="683" w:type="pct"/>
          </w:tcPr>
          <w:p w14:paraId="545E2C8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1.49E-09</w:t>
            </w:r>
          </w:p>
        </w:tc>
      </w:tr>
      <w:tr w14:paraId="54612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5" w:type="pct"/>
            <w:vMerge w:val="continue"/>
            <w:vAlign w:val="center"/>
          </w:tcPr>
          <w:p w14:paraId="1087C08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126" w:type="pct"/>
            <w:vAlign w:val="center"/>
          </w:tcPr>
          <w:p w14:paraId="42F2577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20</w:t>
            </w:r>
          </w:p>
        </w:tc>
        <w:tc>
          <w:tcPr>
            <w:tcW w:w="684" w:type="pct"/>
          </w:tcPr>
          <w:p w14:paraId="6612F25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1.07E-14</w:t>
            </w:r>
          </w:p>
        </w:tc>
        <w:tc>
          <w:tcPr>
            <w:tcW w:w="684" w:type="pct"/>
          </w:tcPr>
          <w:p w14:paraId="7FE883B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7.15E-15</w:t>
            </w:r>
          </w:p>
        </w:tc>
        <w:tc>
          <w:tcPr>
            <w:tcW w:w="684" w:type="pct"/>
          </w:tcPr>
          <w:p w14:paraId="1613057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6.97E-16</w:t>
            </w:r>
          </w:p>
        </w:tc>
        <w:tc>
          <w:tcPr>
            <w:tcW w:w="684" w:type="pct"/>
          </w:tcPr>
          <w:p w14:paraId="72C4657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9.95E-18</w:t>
            </w:r>
          </w:p>
        </w:tc>
        <w:tc>
          <w:tcPr>
            <w:tcW w:w="683" w:type="pct"/>
          </w:tcPr>
          <w:p w14:paraId="73746C0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2.07E-20</w:t>
            </w:r>
          </w:p>
        </w:tc>
      </w:tr>
      <w:tr w14:paraId="341BE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5" w:type="pct"/>
            <w:vMerge w:val="continue"/>
            <w:vAlign w:val="center"/>
          </w:tcPr>
          <w:p w14:paraId="2E84CEE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126" w:type="pct"/>
            <w:vAlign w:val="center"/>
          </w:tcPr>
          <w:p w14:paraId="38037B3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30</w:t>
            </w:r>
          </w:p>
        </w:tc>
        <w:tc>
          <w:tcPr>
            <w:tcW w:w="684" w:type="pct"/>
          </w:tcPr>
          <w:p w14:paraId="7899F4D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8.59E-33</w:t>
            </w:r>
          </w:p>
        </w:tc>
        <w:tc>
          <w:tcPr>
            <w:tcW w:w="684" w:type="pct"/>
          </w:tcPr>
          <w:p w14:paraId="4553E25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5.73E-33</w:t>
            </w:r>
          </w:p>
        </w:tc>
        <w:tc>
          <w:tcPr>
            <w:tcW w:w="684" w:type="pct"/>
          </w:tcPr>
          <w:p w14:paraId="3E1EB01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5.60E-34</w:t>
            </w:r>
          </w:p>
        </w:tc>
        <w:tc>
          <w:tcPr>
            <w:tcW w:w="684" w:type="pct"/>
          </w:tcPr>
          <w:p w14:paraId="3A57558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7.98E-36</w:t>
            </w:r>
          </w:p>
        </w:tc>
        <w:tc>
          <w:tcPr>
            <w:tcW w:w="683" w:type="pct"/>
          </w:tcPr>
          <w:p w14:paraId="4379D63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1.66E-38</w:t>
            </w:r>
          </w:p>
        </w:tc>
      </w:tr>
      <w:tr w14:paraId="25A0D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5" w:type="pct"/>
            <w:vMerge w:val="continue"/>
            <w:vAlign w:val="center"/>
          </w:tcPr>
          <w:p w14:paraId="2E75E1F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126" w:type="pct"/>
            <w:vAlign w:val="center"/>
          </w:tcPr>
          <w:p w14:paraId="7B6A981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40</w:t>
            </w:r>
          </w:p>
        </w:tc>
        <w:tc>
          <w:tcPr>
            <w:tcW w:w="684" w:type="pct"/>
          </w:tcPr>
          <w:p w14:paraId="4359C8F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3.98E-58</w:t>
            </w:r>
          </w:p>
        </w:tc>
        <w:tc>
          <w:tcPr>
            <w:tcW w:w="684" w:type="pct"/>
          </w:tcPr>
          <w:p w14:paraId="66800D3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2.66E-58</w:t>
            </w:r>
          </w:p>
        </w:tc>
        <w:tc>
          <w:tcPr>
            <w:tcW w:w="684" w:type="pct"/>
          </w:tcPr>
          <w:p w14:paraId="5986D9A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2.59E-59</w:t>
            </w:r>
          </w:p>
        </w:tc>
        <w:tc>
          <w:tcPr>
            <w:tcW w:w="684" w:type="pct"/>
          </w:tcPr>
          <w:p w14:paraId="2557E49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3.70E-61</w:t>
            </w:r>
          </w:p>
        </w:tc>
        <w:tc>
          <w:tcPr>
            <w:tcW w:w="683" w:type="pct"/>
          </w:tcPr>
          <w:p w14:paraId="37E9F67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7.72E-64</w:t>
            </w:r>
          </w:p>
        </w:tc>
      </w:tr>
      <w:tr w14:paraId="2D971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5" w:type="pct"/>
            <w:vMerge w:val="restart"/>
            <w:vAlign w:val="center"/>
          </w:tcPr>
          <w:p w14:paraId="25C2E1D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氨氮</w:t>
            </w:r>
          </w:p>
        </w:tc>
        <w:tc>
          <w:tcPr>
            <w:tcW w:w="1126" w:type="pct"/>
            <w:vAlign w:val="center"/>
          </w:tcPr>
          <w:p w14:paraId="405E4B1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w:t>
            </w:r>
          </w:p>
        </w:tc>
        <w:tc>
          <w:tcPr>
            <w:tcW w:w="684" w:type="pct"/>
          </w:tcPr>
          <w:p w14:paraId="7C72CF3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4.68E-01</w:t>
            </w:r>
          </w:p>
        </w:tc>
        <w:tc>
          <w:tcPr>
            <w:tcW w:w="684" w:type="pct"/>
          </w:tcPr>
          <w:p w14:paraId="5B83B35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3.12E-01</w:t>
            </w:r>
          </w:p>
        </w:tc>
        <w:tc>
          <w:tcPr>
            <w:tcW w:w="684" w:type="pct"/>
          </w:tcPr>
          <w:p w14:paraId="6682F18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3.05E-02</w:t>
            </w:r>
          </w:p>
        </w:tc>
        <w:tc>
          <w:tcPr>
            <w:tcW w:w="684" w:type="pct"/>
          </w:tcPr>
          <w:p w14:paraId="4878D6B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4.35E-04</w:t>
            </w:r>
          </w:p>
        </w:tc>
        <w:tc>
          <w:tcPr>
            <w:tcW w:w="683" w:type="pct"/>
          </w:tcPr>
          <w:p w14:paraId="5ED1B19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9.06E-07</w:t>
            </w:r>
          </w:p>
        </w:tc>
      </w:tr>
      <w:tr w14:paraId="3F002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5" w:type="pct"/>
            <w:vMerge w:val="continue"/>
            <w:vAlign w:val="center"/>
          </w:tcPr>
          <w:p w14:paraId="196FD3F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126" w:type="pct"/>
            <w:vAlign w:val="center"/>
          </w:tcPr>
          <w:p w14:paraId="7223815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10</w:t>
            </w:r>
          </w:p>
        </w:tc>
        <w:tc>
          <w:tcPr>
            <w:tcW w:w="684" w:type="pct"/>
          </w:tcPr>
          <w:p w14:paraId="57260C4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1.12E-04</w:t>
            </w:r>
          </w:p>
        </w:tc>
        <w:tc>
          <w:tcPr>
            <w:tcW w:w="684" w:type="pct"/>
          </w:tcPr>
          <w:p w14:paraId="69B1A44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7.50E-05</w:t>
            </w:r>
          </w:p>
        </w:tc>
        <w:tc>
          <w:tcPr>
            <w:tcW w:w="684" w:type="pct"/>
          </w:tcPr>
          <w:p w14:paraId="5EF8499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7.32E-06</w:t>
            </w:r>
          </w:p>
        </w:tc>
        <w:tc>
          <w:tcPr>
            <w:tcW w:w="684" w:type="pct"/>
          </w:tcPr>
          <w:p w14:paraId="762C84E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1.04E-07</w:t>
            </w:r>
          </w:p>
        </w:tc>
        <w:tc>
          <w:tcPr>
            <w:tcW w:w="683" w:type="pct"/>
          </w:tcPr>
          <w:p w14:paraId="24F3FB6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2.18E-10</w:t>
            </w:r>
          </w:p>
        </w:tc>
      </w:tr>
      <w:tr w14:paraId="47422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5" w:type="pct"/>
            <w:vMerge w:val="continue"/>
            <w:vAlign w:val="center"/>
          </w:tcPr>
          <w:p w14:paraId="0487529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126" w:type="pct"/>
            <w:vAlign w:val="center"/>
          </w:tcPr>
          <w:p w14:paraId="56787B1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20</w:t>
            </w:r>
          </w:p>
        </w:tc>
        <w:tc>
          <w:tcPr>
            <w:tcW w:w="684" w:type="pct"/>
          </w:tcPr>
          <w:p w14:paraId="6717147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1.56E-15</w:t>
            </w:r>
          </w:p>
        </w:tc>
        <w:tc>
          <w:tcPr>
            <w:tcW w:w="684" w:type="pct"/>
          </w:tcPr>
          <w:p w14:paraId="7B78334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1.04E-15</w:t>
            </w:r>
          </w:p>
        </w:tc>
        <w:tc>
          <w:tcPr>
            <w:tcW w:w="684" w:type="pct"/>
          </w:tcPr>
          <w:p w14:paraId="4D53164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1.02E-16</w:t>
            </w:r>
          </w:p>
        </w:tc>
        <w:tc>
          <w:tcPr>
            <w:tcW w:w="684" w:type="pct"/>
          </w:tcPr>
          <w:p w14:paraId="078AC81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1.45E-18</w:t>
            </w:r>
          </w:p>
        </w:tc>
        <w:tc>
          <w:tcPr>
            <w:tcW w:w="683" w:type="pct"/>
          </w:tcPr>
          <w:p w14:paraId="7229C39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3.02E-21</w:t>
            </w:r>
          </w:p>
        </w:tc>
      </w:tr>
      <w:tr w14:paraId="19A11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5" w:type="pct"/>
            <w:vMerge w:val="continue"/>
            <w:vAlign w:val="center"/>
          </w:tcPr>
          <w:p w14:paraId="4F0DC4A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126" w:type="pct"/>
            <w:vAlign w:val="center"/>
          </w:tcPr>
          <w:p w14:paraId="5E3E683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30</w:t>
            </w:r>
          </w:p>
        </w:tc>
        <w:tc>
          <w:tcPr>
            <w:tcW w:w="684" w:type="pct"/>
          </w:tcPr>
          <w:p w14:paraId="1B30607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1.25E-33</w:t>
            </w:r>
          </w:p>
        </w:tc>
        <w:tc>
          <w:tcPr>
            <w:tcW w:w="684" w:type="pct"/>
          </w:tcPr>
          <w:p w14:paraId="29F0A8D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8.36E-34</w:t>
            </w:r>
          </w:p>
        </w:tc>
        <w:tc>
          <w:tcPr>
            <w:tcW w:w="684" w:type="pct"/>
          </w:tcPr>
          <w:p w14:paraId="108924A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8.16E-35</w:t>
            </w:r>
          </w:p>
        </w:tc>
        <w:tc>
          <w:tcPr>
            <w:tcW w:w="684" w:type="pct"/>
          </w:tcPr>
          <w:p w14:paraId="784F11F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1.16E-36</w:t>
            </w:r>
          </w:p>
        </w:tc>
        <w:tc>
          <w:tcPr>
            <w:tcW w:w="683" w:type="pct"/>
          </w:tcPr>
          <w:p w14:paraId="0C7257D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2.43E-39</w:t>
            </w:r>
          </w:p>
        </w:tc>
      </w:tr>
      <w:tr w14:paraId="66BAD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5" w:type="pct"/>
            <w:vMerge w:val="continue"/>
            <w:vAlign w:val="center"/>
          </w:tcPr>
          <w:p w14:paraId="53C45D0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1126" w:type="pct"/>
            <w:vAlign w:val="center"/>
          </w:tcPr>
          <w:p w14:paraId="2F32704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40</w:t>
            </w:r>
          </w:p>
        </w:tc>
        <w:tc>
          <w:tcPr>
            <w:tcW w:w="684" w:type="pct"/>
          </w:tcPr>
          <w:p w14:paraId="3D09076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5.81E-59</w:t>
            </w:r>
          </w:p>
        </w:tc>
        <w:tc>
          <w:tcPr>
            <w:tcW w:w="684" w:type="pct"/>
          </w:tcPr>
          <w:p w14:paraId="1E6D4D6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3.88E-59</w:t>
            </w:r>
          </w:p>
        </w:tc>
        <w:tc>
          <w:tcPr>
            <w:tcW w:w="684" w:type="pct"/>
          </w:tcPr>
          <w:p w14:paraId="623EA26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3.78E-60</w:t>
            </w:r>
          </w:p>
        </w:tc>
        <w:tc>
          <w:tcPr>
            <w:tcW w:w="684" w:type="pct"/>
          </w:tcPr>
          <w:p w14:paraId="17EA638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5.40E-62</w:t>
            </w:r>
          </w:p>
        </w:tc>
        <w:tc>
          <w:tcPr>
            <w:tcW w:w="683" w:type="pct"/>
          </w:tcPr>
          <w:p w14:paraId="15F803E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1.13E-64</w:t>
            </w:r>
          </w:p>
        </w:tc>
      </w:tr>
    </w:tbl>
    <w:p w14:paraId="63A94471">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由上表可知，废水泄漏10d时，COD超标距离为下游3.029m，预测范围内超标面积为：1000m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；影响距离为下游4.029m，预测范围内影响面积为：100m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。氨氮超标距离为下游3.029m，预测范围内超标面积为：100m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；影响距离为下游3.029m，预测范围内影响面积为：100m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。废水泄漏100d时，COD超标距离为下游6.29m，预测范围内超标面积为：100m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；影响距离为下游9.29m，预测范围内影响面积为：100m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。氨氮超标距离为下游5.29m，预测范围内超标面积为：100m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；影响距离为下游8.29m，预测范围内影响面积为：100m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。废水泄漏1000d时，COD超标距离为下游10.84m，预测范围内超标面积为：100m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；影响距离为下游20.11m，预测范围内影响面积为：100m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。氨氮超标距离为下游15.31m，预测范围内超标面积为：100m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；影响距离为下游18.62m，预测范围内影响面积为：100m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在地下水运移及稀释作用下，泄漏点及中心点浓度不断降低，浓度最大点随着水流运移方向偏移。项目污水处理站隔油池距离北部海域约40m，距离东部金鼓江海域约170m，项目非正常工况下废水泄漏会对北部海域以及金鼓江海域造成影响。</w:t>
      </w:r>
    </w:p>
    <w:p w14:paraId="04729F98">
      <w:pPr>
        <w:pStyle w:val="10"/>
      </w:pPr>
      <w:r>
        <w:rPr>
          <w:rFonts w:hint="eastAsia"/>
        </w:rPr>
        <w:t>对区域饮用水水源的影响</w:t>
      </w:r>
    </w:p>
    <w:p w14:paraId="58151719">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项目地下水环境影响评价范围内无饮用水水源地，周边最近的饮用水水源地为金窝水库，项目与金窝水库无水力联系，因此，项目非正常工况下废水泄漏不会对区域饮用水水源造成影响。</w:t>
      </w:r>
    </w:p>
    <w:p w14:paraId="4A0C7982">
      <w:pPr>
        <w:pStyle w:val="10"/>
      </w:pPr>
      <w:r>
        <w:rPr>
          <w:rFonts w:hint="eastAsia"/>
        </w:rPr>
        <w:t>小结</w:t>
      </w:r>
    </w:p>
    <w:p w14:paraId="69A008DA">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正常工况下，项目按照《环境影响评价技术导则  地下水环境》（HJ610-2016）进行防渗处理。在防渗层完好的正常工况下，对区域地下水环境影响不大。</w:t>
      </w:r>
    </w:p>
    <w:p w14:paraId="77A632A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非正常工况下，根据预测结果，COD超标距离为下游3.029m，预测范围内超标面积为：1000m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；影响距离为下游4.029m，预测范围内影响面积为：100m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。氨氮超标距离为下游3.029m，预测范围内超标面积为：100m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；影响距离为下游3.029m，预测范围内影响面积为：100m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。废水泄漏100d时，COD超标距离为下游6.29m，预测范围内超标面积为：100m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；影响距离为下游9.29m，预测范围内影响面积为：100m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。氨氮超标距离为下游5.29m，预测范围内超标面积为：100m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；影响距离为下游8.29m，预测范围内影响面积为：100m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。废水泄漏1000d时，COD超标距离为下游10.84m，预测范围内超标面积为：100m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；影响距离为下游20.11m，预测范围内影响面积为：100m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。氨氮超标距离为下游15.31m，预测范围内超标面积为：100m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；影响距离为下游18.62m，预测范围内影响面积为：100m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在地下水运移及稀释作用下，泄漏点及中心点浓度不断降低，浓度最大点随着水流运移方向偏移。项目污水处理站隔油池距离北部海域约40m，距离东部金鼓江海域约170m，项目非正常工况下废水泄漏会对北部海域以及金鼓江海域造成影响</w:t>
      </w:r>
      <w:r>
        <w:rPr>
          <w:rFonts w:hint="eastAsia"/>
          <w:color w:val="0D0D0D" w:themeColor="text1" w:themeTint="F2"/>
          <w14:textFill>
            <w14:solidFill>
              <w14:schemeClr w14:val="tx1">
                <w14:lumMod w14:val="95000"/>
                <w14:lumOff w14:val="5000"/>
              </w14:schemeClr>
            </w14:solidFill>
          </w14:textFill>
        </w:rPr>
        <w:t>。</w:t>
      </w:r>
    </w:p>
    <w:p w14:paraId="2FC41A5E">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项目地下水环境影响评价范围内无饮用水水源地，周边最近的饮用水水源地为金窝水库，项目与金窝水库无水力联系，因此，项目非正常工况下废水泄漏不会对区域饮用水水源造成影响。</w:t>
      </w:r>
    </w:p>
    <w:p w14:paraId="0356194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因此，在采取防渗措施时，应考虑潜在污染源自身性质和场地水文地质条件，并应加强项目运营期间的监控工作，防止对地下水造成污染。非正常工况下，预测污染物从污水处理站呈点状污染并开始向下游运移扩散。因此，如若发生风险事故，应立即采取有效的应急措施，以保护地下水环境，避免发生地下水污染后长期难以修复的困境。</w:t>
      </w:r>
    </w:p>
    <w:p w14:paraId="443FF2D1">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综上，项目地下水环境影响可接受。</w:t>
      </w:r>
    </w:p>
    <w:p w14:paraId="635707C9">
      <w:pPr>
        <w:pStyle w:val="9"/>
      </w:pPr>
      <w:r>
        <w:rPr>
          <w:rFonts w:hint="eastAsia"/>
        </w:rPr>
        <w:t>输油管线对地下水环境的影响分析</w:t>
      </w:r>
    </w:p>
    <w:p w14:paraId="38557AE6">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输油管线主要输送物质为生物柴油和工业级混合油，其中生物柴油主要含脂肪酸甲酯（FAME），工业级混合油主要含甘三酯和脂肪酸，可能包含烃类（如烷烃、芳香烃）等物质。当输油管线出现破损等情形造成物料泄漏后，这些物质通过土壤渗透进入地下水，形成污染。泄漏初期，污染物随重力作用向下迁移至包气带，随后进入含水层，地下水流动带动污染物横向扩散，项目输油管线距离金鼓江海域较近，结合区域地下水流向，油品泄漏后会随着地下水流动对金鼓江海域造成影响。生物柴油易生物降解，但短期可能形成油膜，影响溶解氧；甘三酯和脂肪酸可被微生物降解，但高浓度时可能造成局部缺氧。</w:t>
      </w:r>
    </w:p>
    <w:p w14:paraId="41A0E74A">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正常工况下，管线泄漏概率低，且项目安排专人对输油管线进行日常巡查，输油管线施工过程严格按照规范要求进行取材和施工，物料出现泄漏的可能性较小，对地下水的影响较小。</w:t>
      </w:r>
    </w:p>
    <w:p w14:paraId="2AEF3EF3">
      <w:pPr>
        <w:pStyle w:val="8"/>
      </w:pPr>
      <w:bookmarkStart w:id="176" w:name="_Toc204062639"/>
      <w:r>
        <w:rPr>
          <w:rFonts w:hint="eastAsia"/>
        </w:rPr>
        <w:t>运营期声环境影响分析</w:t>
      </w:r>
      <w:bookmarkEnd w:id="176"/>
    </w:p>
    <w:p w14:paraId="506CE258">
      <w:pPr>
        <w:pStyle w:val="9"/>
        <w:numPr>
          <w:ilvl w:val="2"/>
          <w:numId w:val="47"/>
        </w:numPr>
      </w:pPr>
      <w:bookmarkStart w:id="177" w:name="_Toc204062640"/>
      <w:r>
        <w:rPr>
          <w:rFonts w:hint="eastAsia"/>
        </w:rPr>
        <w:t>噪声源强</w:t>
      </w:r>
      <w:bookmarkEnd w:id="177"/>
    </w:p>
    <w:p w14:paraId="5F0A558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噪声源主要来自各生产装置的生产塔、物料泵组、循环水泵组等。项目噪声源较多，因此对噪声源进行概化，以各生产单元为单位，将各单位内同类噪声源等效叠加为一个噪声源，位置在该单位中心点。噪声设备源强详见表5.5-1和表5.5-2。</w:t>
      </w:r>
    </w:p>
    <w:p w14:paraId="606FEFFB">
      <w:pPr>
        <w:pStyle w:val="11"/>
        <w:sectPr>
          <w:pgSz w:w="11906" w:h="16838"/>
          <w:pgMar w:top="1440" w:right="1440" w:bottom="1440" w:left="1440" w:header="851" w:footer="992" w:gutter="0"/>
          <w:cols w:space="425" w:num="1"/>
          <w:docGrid w:type="lines" w:linePitch="312" w:charSpace="0"/>
        </w:sectPr>
      </w:pPr>
    </w:p>
    <w:p w14:paraId="6B8F4FC3">
      <w:pPr>
        <w:pStyle w:val="11"/>
        <w:numPr>
          <w:ilvl w:val="4"/>
          <w:numId w:val="48"/>
        </w:numPr>
      </w:pPr>
      <w:r>
        <w:rPr>
          <w:rFonts w:hint="eastAsia"/>
        </w:rPr>
        <w:t xml:space="preserve"> 工业企业噪声源强调查清单（室外声源）</w:t>
      </w:r>
    </w:p>
    <w:p w14:paraId="24B65AEC">
      <w:pPr>
        <w:jc w:val="center"/>
        <w:rPr>
          <w:rFonts w:hint="eastAsia"/>
        </w:rPr>
      </w:pPr>
      <w:r>
        <w:rPr>
          <w:rFonts w:hint="eastAsia"/>
        </w:rPr>
        <w:t>（涉密，公示本已删除）</w:t>
      </w:r>
    </w:p>
    <w:p w14:paraId="4F70E3E4">
      <w:pPr>
        <w:pStyle w:val="11"/>
      </w:pPr>
      <w:r>
        <w:rPr>
          <w:rFonts w:hint="eastAsia"/>
        </w:rPr>
        <w:t xml:space="preserve"> 工业企业主要噪声源强调查清单（室内声源）</w:t>
      </w:r>
    </w:p>
    <w:p w14:paraId="0C94A34F">
      <w:pPr>
        <w:jc w:val="center"/>
      </w:pPr>
      <w:r>
        <w:rPr>
          <w:rFonts w:hint="eastAsia"/>
        </w:rPr>
        <w:t>（涉密，公示本已删除）</w:t>
      </w:r>
    </w:p>
    <w:p w14:paraId="3CF42913">
      <w:pPr>
        <w:pStyle w:val="2"/>
        <w:ind w:firstLine="240"/>
        <w:rPr>
          <w:rFonts w:hint="eastAsia"/>
        </w:rPr>
      </w:pPr>
    </w:p>
    <w:p w14:paraId="33B6D5FA">
      <w:pPr>
        <w:rPr>
          <w:color w:val="0D0D0D" w:themeColor="text1" w:themeTint="F2"/>
          <w14:textFill>
            <w14:solidFill>
              <w14:schemeClr w14:val="tx1">
                <w14:lumMod w14:val="95000"/>
                <w14:lumOff w14:val="5000"/>
              </w14:schemeClr>
            </w14:solidFill>
          </w14:textFill>
        </w:rPr>
        <w:sectPr>
          <w:pgSz w:w="16838" w:h="11906" w:orient="landscape"/>
          <w:pgMar w:top="1440" w:right="1440" w:bottom="1440" w:left="1440" w:header="851" w:footer="992" w:gutter="0"/>
          <w:cols w:space="425" w:num="1"/>
          <w:docGrid w:type="linesAndChars" w:linePitch="312" w:charSpace="0"/>
        </w:sectPr>
      </w:pPr>
    </w:p>
    <w:p w14:paraId="36C50D8C">
      <w:pPr>
        <w:pStyle w:val="9"/>
      </w:pPr>
      <w:bookmarkStart w:id="178" w:name="_Toc204062641"/>
      <w:r>
        <w:rPr>
          <w:rFonts w:hint="eastAsia"/>
        </w:rPr>
        <w:t>噪声环境数据</w:t>
      </w:r>
      <w:bookmarkEnd w:id="178"/>
    </w:p>
    <w:p w14:paraId="29008BC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环境噪声数据详见表5.5-3。</w:t>
      </w:r>
    </w:p>
    <w:p w14:paraId="59487DE4">
      <w:pPr>
        <w:pStyle w:val="11"/>
      </w:pPr>
      <w:r>
        <w:rPr>
          <w:rFonts w:hint="eastAsia"/>
        </w:rPr>
        <w:t xml:space="preserve"> 噪声环境影响预测基础数据表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
        <w:gridCol w:w="3665"/>
        <w:gridCol w:w="5054"/>
      </w:tblGrid>
      <w:tr w14:paraId="53CC6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3" w:type="pct"/>
            <w:vAlign w:val="center"/>
          </w:tcPr>
          <w:p w14:paraId="490BF976">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序号</w:t>
            </w:r>
          </w:p>
        </w:tc>
        <w:tc>
          <w:tcPr>
            <w:tcW w:w="1983" w:type="pct"/>
            <w:vAlign w:val="center"/>
          </w:tcPr>
          <w:p w14:paraId="6B6E08F1">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环境要素</w:t>
            </w:r>
          </w:p>
        </w:tc>
        <w:tc>
          <w:tcPr>
            <w:tcW w:w="2734" w:type="pct"/>
            <w:vAlign w:val="center"/>
          </w:tcPr>
          <w:p w14:paraId="775A0706">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预测参数</w:t>
            </w:r>
          </w:p>
        </w:tc>
      </w:tr>
      <w:tr w14:paraId="3431C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3" w:type="pct"/>
            <w:vAlign w:val="center"/>
          </w:tcPr>
          <w:p w14:paraId="646E96A0">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1</w:t>
            </w:r>
          </w:p>
        </w:tc>
        <w:tc>
          <w:tcPr>
            <w:tcW w:w="1983" w:type="pct"/>
            <w:vAlign w:val="center"/>
          </w:tcPr>
          <w:p w14:paraId="019553B1">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年平均风速</w:t>
            </w:r>
          </w:p>
        </w:tc>
        <w:tc>
          <w:tcPr>
            <w:tcW w:w="2734" w:type="pct"/>
            <w:vAlign w:val="center"/>
          </w:tcPr>
          <w:p w14:paraId="58B85F6D">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2.2m/s</w:t>
            </w:r>
          </w:p>
        </w:tc>
      </w:tr>
      <w:tr w14:paraId="16CFC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3" w:type="pct"/>
            <w:vAlign w:val="center"/>
          </w:tcPr>
          <w:p w14:paraId="74910D8D">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2</w:t>
            </w:r>
          </w:p>
        </w:tc>
        <w:tc>
          <w:tcPr>
            <w:tcW w:w="1983" w:type="pct"/>
            <w:vAlign w:val="center"/>
          </w:tcPr>
          <w:p w14:paraId="7BC1C00C">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区域主导风向</w:t>
            </w:r>
          </w:p>
        </w:tc>
        <w:tc>
          <w:tcPr>
            <w:tcW w:w="2734" w:type="pct"/>
            <w:vAlign w:val="center"/>
          </w:tcPr>
          <w:p w14:paraId="52F186DE">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N</w:t>
            </w:r>
          </w:p>
        </w:tc>
      </w:tr>
      <w:tr w14:paraId="2C59D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3" w:type="pct"/>
            <w:vAlign w:val="center"/>
          </w:tcPr>
          <w:p w14:paraId="3CCDAA1E">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3</w:t>
            </w:r>
          </w:p>
        </w:tc>
        <w:tc>
          <w:tcPr>
            <w:tcW w:w="1983" w:type="pct"/>
            <w:vAlign w:val="center"/>
          </w:tcPr>
          <w:p w14:paraId="390414E5">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区域年平均气温</w:t>
            </w:r>
          </w:p>
        </w:tc>
        <w:tc>
          <w:tcPr>
            <w:tcW w:w="2734" w:type="pct"/>
            <w:vAlign w:val="center"/>
          </w:tcPr>
          <w:p w14:paraId="6CA2606B">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22.9℃</w:t>
            </w:r>
          </w:p>
        </w:tc>
      </w:tr>
      <w:tr w14:paraId="161DF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3" w:type="pct"/>
            <w:vAlign w:val="center"/>
          </w:tcPr>
          <w:p w14:paraId="0CABF98E">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4</w:t>
            </w:r>
          </w:p>
        </w:tc>
        <w:tc>
          <w:tcPr>
            <w:tcW w:w="1983" w:type="pct"/>
            <w:vAlign w:val="center"/>
          </w:tcPr>
          <w:p w14:paraId="3C916F17">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区域年平均相对湿度</w:t>
            </w:r>
          </w:p>
        </w:tc>
        <w:tc>
          <w:tcPr>
            <w:tcW w:w="2734" w:type="pct"/>
            <w:vAlign w:val="center"/>
          </w:tcPr>
          <w:p w14:paraId="325F892B">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79%</w:t>
            </w:r>
          </w:p>
        </w:tc>
      </w:tr>
      <w:tr w14:paraId="79563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3" w:type="pct"/>
            <w:vAlign w:val="center"/>
          </w:tcPr>
          <w:p w14:paraId="16E0D948">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5</w:t>
            </w:r>
          </w:p>
        </w:tc>
        <w:tc>
          <w:tcPr>
            <w:tcW w:w="1983" w:type="pct"/>
            <w:vAlign w:val="center"/>
          </w:tcPr>
          <w:p w14:paraId="4AFC4BF7">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区域大气压强</w:t>
            </w:r>
          </w:p>
        </w:tc>
        <w:tc>
          <w:tcPr>
            <w:tcW w:w="2734" w:type="pct"/>
            <w:vAlign w:val="center"/>
          </w:tcPr>
          <w:p w14:paraId="4BFB0E08">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1010.8KPa</w:t>
            </w:r>
          </w:p>
        </w:tc>
      </w:tr>
      <w:tr w14:paraId="2BD73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3" w:type="pct"/>
            <w:vAlign w:val="center"/>
          </w:tcPr>
          <w:p w14:paraId="7BA786B7">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6</w:t>
            </w:r>
          </w:p>
        </w:tc>
        <w:tc>
          <w:tcPr>
            <w:tcW w:w="1983" w:type="pct"/>
            <w:vAlign w:val="center"/>
          </w:tcPr>
          <w:p w14:paraId="64E81330">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声源和预测点间的地形、高差</w:t>
            </w:r>
          </w:p>
        </w:tc>
        <w:tc>
          <w:tcPr>
            <w:tcW w:w="2734" w:type="pct"/>
            <w:vAlign w:val="center"/>
          </w:tcPr>
          <w:p w14:paraId="36350A41">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w:t>
            </w:r>
          </w:p>
        </w:tc>
      </w:tr>
      <w:tr w14:paraId="2162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3" w:type="pct"/>
            <w:vAlign w:val="center"/>
          </w:tcPr>
          <w:p w14:paraId="7A428EA1">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7</w:t>
            </w:r>
          </w:p>
        </w:tc>
        <w:tc>
          <w:tcPr>
            <w:tcW w:w="1983" w:type="pct"/>
            <w:vAlign w:val="center"/>
          </w:tcPr>
          <w:p w14:paraId="6666AFDF">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声源和预测点间障碍物的几何参数</w:t>
            </w:r>
          </w:p>
        </w:tc>
        <w:tc>
          <w:tcPr>
            <w:tcW w:w="2734" w:type="pct"/>
            <w:vAlign w:val="center"/>
          </w:tcPr>
          <w:p w14:paraId="0C75E1BF">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r>
      <w:tr w14:paraId="55DF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3" w:type="pct"/>
            <w:vAlign w:val="center"/>
          </w:tcPr>
          <w:p w14:paraId="48AB929B">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8</w:t>
            </w:r>
          </w:p>
        </w:tc>
        <w:tc>
          <w:tcPr>
            <w:tcW w:w="1983" w:type="pct"/>
            <w:vAlign w:val="center"/>
          </w:tcPr>
          <w:p w14:paraId="79241D9F">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声源和预测点间树林、灌木等的分布情况以及地面覆盖情况</w:t>
            </w:r>
          </w:p>
        </w:tc>
        <w:tc>
          <w:tcPr>
            <w:tcW w:w="2734" w:type="pct"/>
            <w:vAlign w:val="center"/>
          </w:tcPr>
          <w:p w14:paraId="79914A61">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声源和预测点间无树林、灌木分布情况；混合地面</w:t>
            </w:r>
          </w:p>
        </w:tc>
      </w:tr>
    </w:tbl>
    <w:p w14:paraId="163087A4">
      <w:pPr>
        <w:pStyle w:val="9"/>
      </w:pPr>
      <w:bookmarkStart w:id="179" w:name="_Toc204062642"/>
      <w:r>
        <w:rPr>
          <w:rFonts w:hint="eastAsia"/>
        </w:rPr>
        <w:t>预测模式</w:t>
      </w:r>
      <w:bookmarkEnd w:id="179"/>
    </w:p>
    <w:p w14:paraId="19EFE74D">
      <w:pPr>
        <w:adjustRightInd w:val="0"/>
        <w:snapToGrid w:val="0"/>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根据《</w:t>
      </w:r>
      <w:r>
        <w:rPr>
          <w:rFonts w:hint="eastAsia"/>
          <w:color w:val="0D0D0D" w:themeColor="text1" w:themeTint="F2"/>
          <w14:textFill>
            <w14:solidFill>
              <w14:schemeClr w14:val="tx1">
                <w14:lumMod w14:val="95000"/>
                <w14:lumOff w14:val="5000"/>
              </w14:schemeClr>
            </w14:solidFill>
          </w14:textFill>
        </w:rPr>
        <w:t>环境影响评价技术导则  声环境</w:t>
      </w:r>
      <w:r>
        <w:rPr>
          <w:color w:val="0D0D0D" w:themeColor="text1" w:themeTint="F2"/>
          <w14:textFill>
            <w14:solidFill>
              <w14:schemeClr w14:val="tx1">
                <w14:lumMod w14:val="95000"/>
                <w14:lumOff w14:val="5000"/>
              </w14:schemeClr>
            </w14:solidFill>
          </w14:textFill>
        </w:rPr>
        <w:t>》（HJ2.4-2021），</w:t>
      </w:r>
      <w:r>
        <w:rPr>
          <w:rFonts w:hint="eastAsia"/>
          <w:color w:val="0D0D0D" w:themeColor="text1" w:themeTint="F2"/>
          <w14:textFill>
            <w14:solidFill>
              <w14:schemeClr w14:val="tx1">
                <w14:lumMod w14:val="95000"/>
                <w14:lumOff w14:val="5000"/>
              </w14:schemeClr>
            </w14:solidFill>
          </w14:textFill>
        </w:rPr>
        <w:t>本次评价</w:t>
      </w:r>
      <w:r>
        <w:rPr>
          <w:color w:val="0D0D0D" w:themeColor="text1" w:themeTint="F2"/>
          <w14:textFill>
            <w14:solidFill>
              <w14:schemeClr w14:val="tx1">
                <w14:lumMod w14:val="95000"/>
                <w14:lumOff w14:val="5000"/>
              </w14:schemeClr>
            </w14:solidFill>
          </w14:textFill>
        </w:rPr>
        <w:t>采用附录A（规范性附录）户外声传播的衰减和附录B（规范性附录）中</w:t>
      </w:r>
      <w:r>
        <w:rPr>
          <w:rFonts w:hint="eastAsia"/>
          <w:color w:val="0D0D0D" w:themeColor="text1" w:themeTint="F2"/>
          <w14:textFill>
            <w14:solidFill>
              <w14:schemeClr w14:val="tx1">
                <w14:lumMod w14:val="95000"/>
                <w14:lumOff w14:val="5000"/>
              </w14:schemeClr>
            </w14:solidFill>
          </w14:textFill>
        </w:rPr>
        <w:t>“</w:t>
      </w:r>
      <w:r>
        <w:rPr>
          <w:color w:val="0D0D0D" w:themeColor="text1" w:themeTint="F2"/>
          <w14:textFill>
            <w14:solidFill>
              <w14:schemeClr w14:val="tx1">
                <w14:lumMod w14:val="95000"/>
                <w14:lumOff w14:val="5000"/>
              </w14:schemeClr>
            </w14:solidFill>
          </w14:textFill>
        </w:rPr>
        <w:t>B.1工业噪声预测计算模型</w:t>
      </w:r>
      <w:r>
        <w:rPr>
          <w:rFonts w:hint="eastAsia"/>
          <w:color w:val="0D0D0D" w:themeColor="text1" w:themeTint="F2"/>
          <w14:textFill>
            <w14:solidFill>
              <w14:schemeClr w14:val="tx1">
                <w14:lumMod w14:val="95000"/>
                <w14:lumOff w14:val="5000"/>
              </w14:schemeClr>
            </w14:solidFill>
          </w14:textFill>
        </w:rPr>
        <w:t>”对项目声环境影响进行预测</w:t>
      </w:r>
      <w:r>
        <w:rPr>
          <w:color w:val="0D0D0D" w:themeColor="text1" w:themeTint="F2"/>
          <w14:textFill>
            <w14:solidFill>
              <w14:schemeClr w14:val="tx1">
                <w14:lumMod w14:val="95000"/>
                <w14:lumOff w14:val="5000"/>
              </w14:schemeClr>
            </w14:solidFill>
          </w14:textFill>
        </w:rPr>
        <w:t>。</w:t>
      </w:r>
    </w:p>
    <w:p w14:paraId="23892BD2">
      <w:pPr>
        <w:adjustRightInd w:val="0"/>
        <w:snapToGrid w:val="0"/>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w:t>
      </w:r>
      <w:r>
        <w:rPr>
          <w:color w:val="0D0D0D" w:themeColor="text1" w:themeTint="F2"/>
          <w14:textFill>
            <w14:solidFill>
              <w14:schemeClr w14:val="tx1">
                <w14:lumMod w14:val="95000"/>
                <w14:lumOff w14:val="5000"/>
              </w14:schemeClr>
            </w14:solidFill>
          </w14:textFill>
        </w:rPr>
        <w:t>单个室外点声源在预测点的倍频带声压级</w:t>
      </w:r>
    </w:p>
    <w:p w14:paraId="6062EFA1">
      <w:pPr>
        <w:adjustRightInd w:val="0"/>
        <w:snapToGrid w:val="0"/>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在只考虑几何发散衰减时，计算预测点的声级公式如下：</w:t>
      </w:r>
    </w:p>
    <w:p w14:paraId="4E8FD33F">
      <w:pPr>
        <w:widowControl/>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L</w:t>
      </w:r>
      <w:r>
        <w:rPr>
          <w:rFonts w:hint="eastAsia"/>
          <w:color w:val="0D0D0D" w:themeColor="text1" w:themeTint="F2"/>
          <w:vertAlign w:val="subscript"/>
          <w14:textFill>
            <w14:solidFill>
              <w14:schemeClr w14:val="tx1">
                <w14:lumMod w14:val="95000"/>
                <w14:lumOff w14:val="5000"/>
              </w14:schemeClr>
            </w14:solidFill>
          </w14:textFill>
        </w:rPr>
        <w:t>A</w:t>
      </w:r>
      <w:r>
        <w:rPr>
          <w:color w:val="0D0D0D" w:themeColor="text1" w:themeTint="F2"/>
          <w14:textFill>
            <w14:solidFill>
              <w14:schemeClr w14:val="tx1">
                <w14:lumMod w14:val="95000"/>
                <w14:lumOff w14:val="5000"/>
              </w14:schemeClr>
            </w14:solidFill>
          </w14:textFill>
        </w:rPr>
        <w:t>(r)＝L</w:t>
      </w:r>
      <w:r>
        <w:rPr>
          <w:rFonts w:hint="eastAsia"/>
          <w:color w:val="0D0D0D" w:themeColor="text1" w:themeTint="F2"/>
          <w:vertAlign w:val="subscript"/>
          <w14:textFill>
            <w14:solidFill>
              <w14:schemeClr w14:val="tx1">
                <w14:lumMod w14:val="95000"/>
                <w14:lumOff w14:val="5000"/>
              </w14:schemeClr>
            </w14:solidFill>
          </w14:textFill>
        </w:rPr>
        <w:t>A</w:t>
      </w:r>
      <w:r>
        <w:rPr>
          <w:color w:val="0D0D0D" w:themeColor="text1" w:themeTint="F2"/>
          <w14:textFill>
            <w14:solidFill>
              <w14:schemeClr w14:val="tx1">
                <w14:lumMod w14:val="95000"/>
                <w14:lumOff w14:val="5000"/>
              </w14:schemeClr>
            </w14:solidFill>
          </w14:textFill>
        </w:rPr>
        <w:t>(r</w:t>
      </w:r>
      <w:r>
        <w:rPr>
          <w:color w:val="0D0D0D" w:themeColor="text1" w:themeTint="F2"/>
          <w:vertAlign w:val="subscript"/>
          <w14:textFill>
            <w14:solidFill>
              <w14:schemeClr w14:val="tx1">
                <w14:lumMod w14:val="95000"/>
                <w14:lumOff w14:val="5000"/>
              </w14:schemeClr>
            </w14:solidFill>
          </w14:textFill>
        </w:rPr>
        <w:t>0</w:t>
      </w:r>
      <w:r>
        <w:rPr>
          <w:color w:val="0D0D0D" w:themeColor="text1" w:themeTint="F2"/>
          <w14:textFill>
            <w14:solidFill>
              <w14:schemeClr w14:val="tx1">
                <w14:lumMod w14:val="95000"/>
                <w14:lumOff w14:val="5000"/>
              </w14:schemeClr>
            </w14:solidFill>
          </w14:textFill>
        </w:rPr>
        <w:t>)－A</w:t>
      </w:r>
      <w:r>
        <w:rPr>
          <w:color w:val="0D0D0D" w:themeColor="text1" w:themeTint="F2"/>
          <w:vertAlign w:val="subscript"/>
          <w14:textFill>
            <w14:solidFill>
              <w14:schemeClr w14:val="tx1">
                <w14:lumMod w14:val="95000"/>
                <w14:lumOff w14:val="5000"/>
              </w14:schemeClr>
            </w14:solidFill>
          </w14:textFill>
        </w:rPr>
        <w:t>div</w:t>
      </w:r>
    </w:p>
    <w:p w14:paraId="7EA7F6F8">
      <w:pPr>
        <w:widowControl/>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式中：</w:t>
      </w:r>
    </w:p>
    <w:p w14:paraId="0CBA7531">
      <w:pPr>
        <w:widowControl/>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L</w:t>
      </w:r>
      <w:r>
        <w:rPr>
          <w:rFonts w:hint="eastAsia"/>
          <w:color w:val="0D0D0D" w:themeColor="text1" w:themeTint="F2"/>
          <w:vertAlign w:val="subscript"/>
          <w14:textFill>
            <w14:solidFill>
              <w14:schemeClr w14:val="tx1">
                <w14:lumMod w14:val="95000"/>
                <w14:lumOff w14:val="5000"/>
              </w14:schemeClr>
            </w14:solidFill>
          </w14:textFill>
        </w:rPr>
        <w:t>A</w:t>
      </w:r>
      <w:r>
        <w:rPr>
          <w:color w:val="0D0D0D" w:themeColor="text1" w:themeTint="F2"/>
          <w14:textFill>
            <w14:solidFill>
              <w14:schemeClr w14:val="tx1">
                <w14:lumMod w14:val="95000"/>
                <w14:lumOff w14:val="5000"/>
              </w14:schemeClr>
            </w14:solidFill>
          </w14:textFill>
        </w:rPr>
        <w:t>(r)</w:t>
      </w:r>
      <w:r>
        <w:rPr>
          <w:rFonts w:hint="eastAsia" w:cs="Times New Roman"/>
          <w:color w:val="0D0D0D" w:themeColor="text1" w:themeTint="F2"/>
          <w14:textFill>
            <w14:solidFill>
              <w14:schemeClr w14:val="tx1">
                <w14:lumMod w14:val="95000"/>
                <w14:lumOff w14:val="5000"/>
              </w14:schemeClr>
            </w14:solidFill>
          </w14:textFill>
        </w:rPr>
        <w:t>——</w:t>
      </w:r>
      <w:r>
        <w:rPr>
          <w:rFonts w:hint="eastAsia"/>
          <w:color w:val="0D0D0D" w:themeColor="text1" w:themeTint="F2"/>
          <w14:textFill>
            <w14:solidFill>
              <w14:schemeClr w14:val="tx1">
                <w14:lumMod w14:val="95000"/>
                <w14:lumOff w14:val="5000"/>
              </w14:schemeClr>
            </w14:solidFill>
          </w14:textFill>
        </w:rPr>
        <w:t>距声源r处的A声压级</w:t>
      </w:r>
      <w:r>
        <w:rPr>
          <w:color w:val="0D0D0D" w:themeColor="text1" w:themeTint="F2"/>
          <w14:textFill>
            <w14:solidFill>
              <w14:schemeClr w14:val="tx1">
                <w14:lumMod w14:val="95000"/>
                <w14:lumOff w14:val="5000"/>
              </w14:schemeClr>
            </w14:solidFill>
          </w14:textFill>
        </w:rPr>
        <w:t>，dB</w:t>
      </w:r>
      <w:r>
        <w:rPr>
          <w:rFonts w:hint="eastAsia"/>
          <w:color w:val="0D0D0D" w:themeColor="text1" w:themeTint="F2"/>
          <w14:textFill>
            <w14:solidFill>
              <w14:schemeClr w14:val="tx1">
                <w14:lumMod w14:val="95000"/>
                <w14:lumOff w14:val="5000"/>
              </w14:schemeClr>
            </w14:solidFill>
          </w14:textFill>
        </w:rPr>
        <w:t>(A)</w:t>
      </w:r>
      <w:r>
        <w:rPr>
          <w:color w:val="0D0D0D" w:themeColor="text1" w:themeTint="F2"/>
          <w14:textFill>
            <w14:solidFill>
              <w14:schemeClr w14:val="tx1">
                <w14:lumMod w14:val="95000"/>
                <w14:lumOff w14:val="5000"/>
              </w14:schemeClr>
            </w14:solidFill>
          </w14:textFill>
        </w:rPr>
        <w:t>；</w:t>
      </w:r>
    </w:p>
    <w:p w14:paraId="682E9E42">
      <w:pPr>
        <w:widowControl/>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L</w:t>
      </w:r>
      <w:r>
        <w:rPr>
          <w:rFonts w:hint="eastAsia"/>
          <w:color w:val="0D0D0D" w:themeColor="text1" w:themeTint="F2"/>
          <w:vertAlign w:val="subscript"/>
          <w14:textFill>
            <w14:solidFill>
              <w14:schemeClr w14:val="tx1">
                <w14:lumMod w14:val="95000"/>
                <w14:lumOff w14:val="5000"/>
              </w14:schemeClr>
            </w14:solidFill>
          </w14:textFill>
        </w:rPr>
        <w:t>A</w:t>
      </w:r>
      <w:r>
        <w:rPr>
          <w:color w:val="0D0D0D" w:themeColor="text1" w:themeTint="F2"/>
          <w14:textFill>
            <w14:solidFill>
              <w14:schemeClr w14:val="tx1">
                <w14:lumMod w14:val="95000"/>
                <w14:lumOff w14:val="5000"/>
              </w14:schemeClr>
            </w14:solidFill>
          </w14:textFill>
        </w:rPr>
        <w:t>(r</w:t>
      </w:r>
      <w:r>
        <w:rPr>
          <w:color w:val="0D0D0D" w:themeColor="text1" w:themeTint="F2"/>
          <w:vertAlign w:val="subscript"/>
          <w14:textFill>
            <w14:solidFill>
              <w14:schemeClr w14:val="tx1">
                <w14:lumMod w14:val="95000"/>
                <w14:lumOff w14:val="5000"/>
              </w14:schemeClr>
            </w14:solidFill>
          </w14:textFill>
        </w:rPr>
        <w:t>0</w:t>
      </w:r>
      <w:r>
        <w:rPr>
          <w:color w:val="0D0D0D" w:themeColor="text1" w:themeTint="F2"/>
          <w14:textFill>
            <w14:solidFill>
              <w14:schemeClr w14:val="tx1">
                <w14:lumMod w14:val="95000"/>
                <w14:lumOff w14:val="5000"/>
              </w14:schemeClr>
            </w14:solidFill>
          </w14:textFill>
        </w:rPr>
        <w:t>)</w:t>
      </w:r>
      <w:r>
        <w:rPr>
          <w:rFonts w:hint="eastAsia" w:cs="Times New Roman"/>
          <w:color w:val="0D0D0D" w:themeColor="text1" w:themeTint="F2"/>
          <w14:textFill>
            <w14:solidFill>
              <w14:schemeClr w14:val="tx1">
                <w14:lumMod w14:val="95000"/>
                <w14:lumOff w14:val="5000"/>
              </w14:schemeClr>
            </w14:solidFill>
          </w14:textFill>
        </w:rPr>
        <w:t>——</w:t>
      </w:r>
      <w:r>
        <w:rPr>
          <w:rFonts w:hint="eastAsia"/>
          <w:color w:val="0D0D0D" w:themeColor="text1" w:themeTint="F2"/>
          <w:lang w:bidi="ar"/>
          <w14:textFill>
            <w14:solidFill>
              <w14:schemeClr w14:val="tx1">
                <w14:lumMod w14:val="95000"/>
                <w14:lumOff w14:val="5000"/>
              </w14:schemeClr>
            </w14:solidFill>
          </w14:textFill>
        </w:rPr>
        <w:t>参考位置</w:t>
      </w:r>
      <w:r>
        <w:rPr>
          <w:color w:val="0D0D0D" w:themeColor="text1" w:themeTint="F2"/>
          <w:lang w:bidi="ar"/>
          <w14:textFill>
            <w14:solidFill>
              <w14:schemeClr w14:val="tx1">
                <w14:lumMod w14:val="95000"/>
                <w14:lumOff w14:val="5000"/>
              </w14:schemeClr>
            </w14:solidFill>
          </w14:textFill>
        </w:rPr>
        <w:t>r</w:t>
      </w:r>
      <w:r>
        <w:rPr>
          <w:rFonts w:hint="eastAsia"/>
          <w:color w:val="0D0D0D" w:themeColor="text1" w:themeTint="F2"/>
          <w:vertAlign w:val="subscript"/>
          <w:lang w:bidi="ar"/>
          <w14:textFill>
            <w14:solidFill>
              <w14:schemeClr w14:val="tx1">
                <w14:lumMod w14:val="95000"/>
                <w14:lumOff w14:val="5000"/>
              </w14:schemeClr>
            </w14:solidFill>
          </w14:textFill>
        </w:rPr>
        <w:t>0</w:t>
      </w:r>
      <w:r>
        <w:rPr>
          <w:rFonts w:hint="eastAsia"/>
          <w:color w:val="0D0D0D" w:themeColor="text1" w:themeTint="F2"/>
          <w:lang w:bidi="ar"/>
          <w14:textFill>
            <w14:solidFill>
              <w14:schemeClr w14:val="tx1">
                <w14:lumMod w14:val="95000"/>
                <w14:lumOff w14:val="5000"/>
              </w14:schemeClr>
            </w14:solidFill>
          </w14:textFill>
        </w:rPr>
        <w:t>处的</w:t>
      </w:r>
      <w:r>
        <w:rPr>
          <w:color w:val="0D0D0D" w:themeColor="text1" w:themeTint="F2"/>
          <w:lang w:bidi="ar"/>
          <w14:textFill>
            <w14:solidFill>
              <w14:schemeClr w14:val="tx1">
                <w14:lumMod w14:val="95000"/>
                <w14:lumOff w14:val="5000"/>
              </w14:schemeClr>
            </w14:solidFill>
          </w14:textFill>
        </w:rPr>
        <w:t>A</w:t>
      </w:r>
      <w:r>
        <w:rPr>
          <w:rFonts w:hint="eastAsia"/>
          <w:color w:val="0D0D0D" w:themeColor="text1" w:themeTint="F2"/>
          <w:lang w:bidi="ar"/>
          <w14:textFill>
            <w14:solidFill>
              <w14:schemeClr w14:val="tx1">
                <w14:lumMod w14:val="95000"/>
                <w14:lumOff w14:val="5000"/>
              </w14:schemeClr>
            </w14:solidFill>
          </w14:textFill>
        </w:rPr>
        <w:t>声级，</w:t>
      </w:r>
      <w:r>
        <w:rPr>
          <w:color w:val="0D0D0D" w:themeColor="text1" w:themeTint="F2"/>
          <w:lang w:bidi="ar"/>
          <w14:textFill>
            <w14:solidFill>
              <w14:schemeClr w14:val="tx1">
                <w14:lumMod w14:val="95000"/>
                <w14:lumOff w14:val="5000"/>
              </w14:schemeClr>
            </w14:solidFill>
          </w14:textFill>
        </w:rPr>
        <w:t>dB(A)</w:t>
      </w:r>
      <w:r>
        <w:rPr>
          <w:rFonts w:hint="eastAsia"/>
          <w:color w:val="0D0D0D" w:themeColor="text1" w:themeTint="F2"/>
          <w:lang w:bidi="ar"/>
          <w14:textFill>
            <w14:solidFill>
              <w14:schemeClr w14:val="tx1">
                <w14:lumMod w14:val="95000"/>
                <w14:lumOff w14:val="5000"/>
              </w14:schemeClr>
            </w14:solidFill>
          </w14:textFill>
        </w:rPr>
        <w:t>；</w:t>
      </w:r>
    </w:p>
    <w:p w14:paraId="5F7A326D">
      <w:pPr>
        <w:widowControl/>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A</w:t>
      </w:r>
      <w:r>
        <w:rPr>
          <w:color w:val="0D0D0D" w:themeColor="text1" w:themeTint="F2"/>
          <w:vertAlign w:val="subscript"/>
          <w14:textFill>
            <w14:solidFill>
              <w14:schemeClr w14:val="tx1">
                <w14:lumMod w14:val="95000"/>
                <w14:lumOff w14:val="5000"/>
              </w14:schemeClr>
            </w14:solidFill>
          </w14:textFill>
        </w:rPr>
        <w:t>div</w:t>
      </w:r>
      <w:r>
        <w:rPr>
          <w:rFonts w:hint="eastAsia" w:cs="Times New Roman"/>
          <w:color w:val="0D0D0D" w:themeColor="text1" w:themeTint="F2"/>
          <w14:textFill>
            <w14:solidFill>
              <w14:schemeClr w14:val="tx1">
                <w14:lumMod w14:val="95000"/>
                <w14:lumOff w14:val="5000"/>
              </w14:schemeClr>
            </w14:solidFill>
          </w14:textFill>
        </w:rPr>
        <w:t>——</w:t>
      </w:r>
      <w:r>
        <w:rPr>
          <w:color w:val="0D0D0D" w:themeColor="text1" w:themeTint="F2"/>
          <w14:textFill>
            <w14:solidFill>
              <w14:schemeClr w14:val="tx1">
                <w14:lumMod w14:val="95000"/>
                <w14:lumOff w14:val="5000"/>
              </w14:schemeClr>
            </w14:solidFill>
          </w14:textFill>
        </w:rPr>
        <w:t>几何发散引起的衰减，dB。</w:t>
      </w:r>
    </w:p>
    <w:p w14:paraId="6DED6160">
      <w:pPr>
        <w:adjustRightInd w:val="0"/>
        <w:snapToGrid w:val="0"/>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无指向性点声源几何发散衰减</w:t>
      </w:r>
      <w:r>
        <w:rPr>
          <w:color w:val="0D0D0D" w:themeColor="text1" w:themeTint="F2"/>
          <w14:textFill>
            <w14:solidFill>
              <w14:schemeClr w14:val="tx1">
                <w14:lumMod w14:val="95000"/>
                <w14:lumOff w14:val="5000"/>
              </w14:schemeClr>
            </w14:solidFill>
          </w14:textFill>
        </w:rPr>
        <w:t>A</w:t>
      </w:r>
      <w:r>
        <w:rPr>
          <w:color w:val="0D0D0D" w:themeColor="text1" w:themeTint="F2"/>
          <w:vertAlign w:val="subscript"/>
          <w14:textFill>
            <w14:solidFill>
              <w14:schemeClr w14:val="tx1">
                <w14:lumMod w14:val="95000"/>
                <w14:lumOff w14:val="5000"/>
              </w14:schemeClr>
            </w14:solidFill>
          </w14:textFill>
        </w:rPr>
        <w:t>div</w:t>
      </w:r>
      <w:r>
        <w:rPr>
          <w:color w:val="0D0D0D" w:themeColor="text1" w:themeTint="F2"/>
          <w14:textFill>
            <w14:solidFill>
              <w14:schemeClr w14:val="tx1">
                <w14:lumMod w14:val="95000"/>
                <w14:lumOff w14:val="5000"/>
              </w14:schemeClr>
            </w14:solidFill>
          </w14:textFill>
        </w:rPr>
        <w:t>＝</w:t>
      </w:r>
      <w:r>
        <w:rPr>
          <w:rFonts w:hint="eastAsia"/>
          <w:color w:val="0D0D0D" w:themeColor="text1" w:themeTint="F2"/>
          <w14:textFill>
            <w14:solidFill>
              <w14:schemeClr w14:val="tx1">
                <w14:lumMod w14:val="95000"/>
                <w14:lumOff w14:val="5000"/>
              </w14:schemeClr>
            </w14:solidFill>
          </w14:textFill>
        </w:rPr>
        <w:t>20lg</w:t>
      </w:r>
      <w:r>
        <w:rPr>
          <w:color w:val="0D0D0D" w:themeColor="text1" w:themeTint="F2"/>
          <w14:textFill>
            <w14:solidFill>
              <w14:schemeClr w14:val="tx1">
                <w14:lumMod w14:val="95000"/>
                <w14:lumOff w14:val="5000"/>
              </w14:schemeClr>
            </w14:solidFill>
          </w14:textFill>
        </w:rPr>
        <w:t>(</w:t>
      </w:r>
      <w:r>
        <w:rPr>
          <w:rFonts w:hint="eastAsia"/>
          <w:color w:val="0D0D0D" w:themeColor="text1" w:themeTint="F2"/>
          <w14:textFill>
            <w14:solidFill>
              <w14:schemeClr w14:val="tx1">
                <w14:lumMod w14:val="95000"/>
                <w14:lumOff w14:val="5000"/>
              </w14:schemeClr>
            </w14:solidFill>
          </w14:textFill>
        </w:rPr>
        <w:t>r/</w:t>
      </w:r>
      <w:r>
        <w:rPr>
          <w:color w:val="0D0D0D" w:themeColor="text1" w:themeTint="F2"/>
          <w14:textFill>
            <w14:solidFill>
              <w14:schemeClr w14:val="tx1">
                <w14:lumMod w14:val="95000"/>
                <w14:lumOff w14:val="5000"/>
              </w14:schemeClr>
            </w14:solidFill>
          </w14:textFill>
        </w:rPr>
        <w:t>r</w:t>
      </w:r>
      <w:r>
        <w:rPr>
          <w:color w:val="0D0D0D" w:themeColor="text1" w:themeTint="F2"/>
          <w:vertAlign w:val="subscript"/>
          <w14:textFill>
            <w14:solidFill>
              <w14:schemeClr w14:val="tx1">
                <w14:lumMod w14:val="95000"/>
                <w14:lumOff w14:val="5000"/>
              </w14:schemeClr>
            </w14:solidFill>
          </w14:textFill>
        </w:rPr>
        <w:t>0</w:t>
      </w:r>
      <w:r>
        <w:rPr>
          <w:color w:val="0D0D0D" w:themeColor="text1" w:themeTint="F2"/>
          <w14:textFill>
            <w14:solidFill>
              <w14:schemeClr w14:val="tx1">
                <w14:lumMod w14:val="95000"/>
                <w14:lumOff w14:val="5000"/>
              </w14:schemeClr>
            </w14:solidFill>
          </w14:textFill>
        </w:rPr>
        <w:t>)</w:t>
      </w:r>
      <w:r>
        <w:rPr>
          <w:rFonts w:hint="eastAsia"/>
          <w:color w:val="0D0D0D" w:themeColor="text1" w:themeTint="F2"/>
          <w14:textFill>
            <w14:solidFill>
              <w14:schemeClr w14:val="tx1">
                <w14:lumMod w14:val="95000"/>
                <w14:lumOff w14:val="5000"/>
              </w14:schemeClr>
            </w14:solidFill>
          </w14:textFill>
        </w:rPr>
        <w:t>。</w:t>
      </w:r>
    </w:p>
    <w:p w14:paraId="46BDA1A7">
      <w:pPr>
        <w:adjustRightInd w:val="0"/>
        <w:snapToGrid w:val="0"/>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w:t>
      </w:r>
      <w:r>
        <w:rPr>
          <w:color w:val="0D0D0D" w:themeColor="text1" w:themeTint="F2"/>
          <w14:textFill>
            <w14:solidFill>
              <w14:schemeClr w14:val="tx1">
                <w14:lumMod w14:val="95000"/>
                <w14:lumOff w14:val="5000"/>
              </w14:schemeClr>
            </w14:solidFill>
          </w14:textFill>
        </w:rPr>
        <w:t>室内声源等效室外声源声功率级计算方法</w:t>
      </w:r>
    </w:p>
    <w:p w14:paraId="73EF4E38">
      <w:pPr>
        <w:adjustRightInd w:val="0"/>
        <w:snapToGrid w:val="0"/>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声源位于室内，室内声源可采用等效室外声源声功率级法进行计算。设靠近开口处（或窗户）室内、室外某倍频带的声压级或A声级分别为L</w:t>
      </w:r>
      <w:r>
        <w:rPr>
          <w:color w:val="0D0D0D" w:themeColor="text1" w:themeTint="F2"/>
          <w:vertAlign w:val="subscript"/>
          <w14:textFill>
            <w14:solidFill>
              <w14:schemeClr w14:val="tx1">
                <w14:lumMod w14:val="95000"/>
                <w14:lumOff w14:val="5000"/>
              </w14:schemeClr>
            </w14:solidFill>
          </w14:textFill>
        </w:rPr>
        <w:t>p1</w:t>
      </w:r>
      <w:r>
        <w:rPr>
          <w:color w:val="0D0D0D" w:themeColor="text1" w:themeTint="F2"/>
          <w14:textFill>
            <w14:solidFill>
              <w14:schemeClr w14:val="tx1">
                <w14:lumMod w14:val="95000"/>
                <w14:lumOff w14:val="5000"/>
              </w14:schemeClr>
            </w14:solidFill>
          </w14:textFill>
        </w:rPr>
        <w:t>和L</w:t>
      </w:r>
      <w:r>
        <w:rPr>
          <w:color w:val="0D0D0D" w:themeColor="text1" w:themeTint="F2"/>
          <w:vertAlign w:val="subscript"/>
          <w14:textFill>
            <w14:solidFill>
              <w14:schemeClr w14:val="tx1">
                <w14:lumMod w14:val="95000"/>
                <w14:lumOff w14:val="5000"/>
              </w14:schemeClr>
            </w14:solidFill>
          </w14:textFill>
        </w:rPr>
        <w:t>p2</w:t>
      </w:r>
      <w:r>
        <w:rPr>
          <w:color w:val="0D0D0D" w:themeColor="text1" w:themeTint="F2"/>
          <w14:textFill>
            <w14:solidFill>
              <w14:schemeClr w14:val="tx1">
                <w14:lumMod w14:val="95000"/>
                <w14:lumOff w14:val="5000"/>
              </w14:schemeClr>
            </w14:solidFill>
          </w14:textFill>
        </w:rPr>
        <w:t>。若声源所在室内声场为近似扩散声场，则室外的倍频带声压级可按式（B.1）近似求出：</w:t>
      </w:r>
    </w:p>
    <w:p w14:paraId="3E98B048">
      <w:pPr>
        <w:adjustRightInd w:val="0"/>
        <w:snapToGrid w:val="0"/>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L</w:t>
      </w:r>
      <w:r>
        <w:rPr>
          <w:color w:val="0D0D0D" w:themeColor="text1" w:themeTint="F2"/>
          <w:vertAlign w:val="subscript"/>
          <w14:textFill>
            <w14:solidFill>
              <w14:schemeClr w14:val="tx1">
                <w14:lumMod w14:val="95000"/>
                <w14:lumOff w14:val="5000"/>
              </w14:schemeClr>
            </w14:solidFill>
          </w14:textFill>
        </w:rPr>
        <w:t>p2</w:t>
      </w:r>
      <w:r>
        <w:rPr>
          <w:color w:val="0D0D0D" w:themeColor="text1" w:themeTint="F2"/>
          <w14:textFill>
            <w14:solidFill>
              <w14:schemeClr w14:val="tx1">
                <w14:lumMod w14:val="95000"/>
                <w14:lumOff w14:val="5000"/>
              </w14:schemeClr>
            </w14:solidFill>
          </w14:textFill>
        </w:rPr>
        <w:t>=L</w:t>
      </w:r>
      <w:r>
        <w:rPr>
          <w:color w:val="0D0D0D" w:themeColor="text1" w:themeTint="F2"/>
          <w:vertAlign w:val="subscript"/>
          <w14:textFill>
            <w14:solidFill>
              <w14:schemeClr w14:val="tx1">
                <w14:lumMod w14:val="95000"/>
                <w14:lumOff w14:val="5000"/>
              </w14:schemeClr>
            </w14:solidFill>
          </w14:textFill>
        </w:rPr>
        <w:t>p1</w:t>
      </w:r>
      <w:r>
        <w:rPr>
          <w:color w:val="0D0D0D" w:themeColor="text1" w:themeTint="F2"/>
          <w14:textFill>
            <w14:solidFill>
              <w14:schemeClr w14:val="tx1">
                <w14:lumMod w14:val="95000"/>
                <w14:lumOff w14:val="5000"/>
              </w14:schemeClr>
            </w14:solidFill>
          </w14:textFill>
        </w:rPr>
        <w:t>-（TL+6）</w:t>
      </w:r>
      <w:r>
        <w:rPr>
          <w:rFonts w:hint="eastAsia"/>
          <w:color w:val="0D0D0D" w:themeColor="text1" w:themeTint="F2"/>
          <w14:textFill>
            <w14:solidFill>
              <w14:schemeClr w14:val="tx1">
                <w14:lumMod w14:val="95000"/>
                <w14:lumOff w14:val="5000"/>
              </w14:schemeClr>
            </w14:solidFill>
          </w14:textFill>
        </w:rPr>
        <w:t xml:space="preserve">  （B.1）</w:t>
      </w:r>
    </w:p>
    <w:p w14:paraId="02AF9067">
      <w:pPr>
        <w:adjustRightInd w:val="0"/>
        <w:snapToGrid w:val="0"/>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式中：</w:t>
      </w:r>
    </w:p>
    <w:p w14:paraId="24437585">
      <w:pPr>
        <w:adjustRightInd w:val="0"/>
        <w:snapToGrid w:val="0"/>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L</w:t>
      </w:r>
      <w:r>
        <w:rPr>
          <w:color w:val="0D0D0D" w:themeColor="text1" w:themeTint="F2"/>
          <w:vertAlign w:val="subscript"/>
          <w14:textFill>
            <w14:solidFill>
              <w14:schemeClr w14:val="tx1">
                <w14:lumMod w14:val="95000"/>
                <w14:lumOff w14:val="5000"/>
              </w14:schemeClr>
            </w14:solidFill>
          </w14:textFill>
        </w:rPr>
        <w:t>p1</w:t>
      </w:r>
      <w:r>
        <w:rPr>
          <w:color w:val="0D0D0D" w:themeColor="text1" w:themeTint="F2"/>
          <w14:textFill>
            <w14:solidFill>
              <w14:schemeClr w14:val="tx1">
                <w14:lumMod w14:val="95000"/>
                <w14:lumOff w14:val="5000"/>
              </w14:schemeClr>
            </w14:solidFill>
          </w14:textFill>
        </w:rPr>
        <w:t>——靠近开口处（或窗户）室内某倍频带的声压级或A声级，dB；</w:t>
      </w:r>
    </w:p>
    <w:p w14:paraId="4B002857">
      <w:pPr>
        <w:adjustRightInd w:val="0"/>
        <w:snapToGrid w:val="0"/>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L</w:t>
      </w:r>
      <w:r>
        <w:rPr>
          <w:color w:val="0D0D0D" w:themeColor="text1" w:themeTint="F2"/>
          <w:vertAlign w:val="subscript"/>
          <w14:textFill>
            <w14:solidFill>
              <w14:schemeClr w14:val="tx1">
                <w14:lumMod w14:val="95000"/>
                <w14:lumOff w14:val="5000"/>
              </w14:schemeClr>
            </w14:solidFill>
          </w14:textFill>
        </w:rPr>
        <w:t>p2</w:t>
      </w:r>
      <w:r>
        <w:rPr>
          <w:color w:val="0D0D0D" w:themeColor="text1" w:themeTint="F2"/>
          <w14:textFill>
            <w14:solidFill>
              <w14:schemeClr w14:val="tx1">
                <w14:lumMod w14:val="95000"/>
                <w14:lumOff w14:val="5000"/>
              </w14:schemeClr>
            </w14:solidFill>
          </w14:textFill>
        </w:rPr>
        <w:t>——靠近开口处（或窗户）室外某倍频带的声压级或A声级，dB；</w:t>
      </w:r>
    </w:p>
    <w:p w14:paraId="601864D9">
      <w:pPr>
        <w:adjustRightInd w:val="0"/>
        <w:snapToGrid w:val="0"/>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TL——隔墙（或窗户）倍频带或A声级的隔声量，dB。</w:t>
      </w:r>
    </w:p>
    <w:p w14:paraId="22E1D178">
      <w:pPr>
        <w:adjustRightInd w:val="0"/>
        <w:snapToGrid w:val="0"/>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然后按式（B.3）计算出所有室内声源在围护结构处产生的i倍频带叠加声压级：</w:t>
      </w:r>
    </w:p>
    <w:p w14:paraId="4C2DAD01">
      <w:pPr>
        <w:jc w:val="center"/>
        <w:rPr>
          <w:color w:val="0D0D0D" w:themeColor="text1" w:themeTint="F2"/>
          <w14:textFill>
            <w14:solidFill>
              <w14:schemeClr w14:val="tx1">
                <w14:lumMod w14:val="95000"/>
                <w14:lumOff w14:val="5000"/>
              </w14:schemeClr>
            </w14:solidFill>
          </w14:textFill>
        </w:rPr>
      </w:pPr>
      <m:oMath>
        <m:sSub>
          <m:sSubPr>
            <m:ctrlPr>
              <w:rPr>
                <w:rFonts w:ascii="Cambria Math" w:hAnsi="Cambria Math"/>
                <w:i/>
                <w:color w:val="0D0D0D" w:themeColor="text1" w:themeTint="F2"/>
                <w14:textFill>
                  <w14:solidFill>
                    <w14:schemeClr w14:val="tx1">
                      <w14:lumMod w14:val="95000"/>
                      <w14:lumOff w14:val="5000"/>
                    </w14:schemeClr>
                  </w14:solidFill>
                </w14:textFill>
              </w:rPr>
            </m:ctrlPr>
          </m:sSubPr>
          <m:e>
            <m:r>
              <m:rPr/>
              <w:rPr>
                <w:rFonts w:ascii="Cambria Math" w:hAnsi="Cambria Math"/>
                <w:color w:val="0D0D0D" w:themeColor="text1" w:themeTint="F2"/>
                <w14:textFill>
                  <w14:solidFill>
                    <w14:schemeClr w14:val="tx1">
                      <w14:lumMod w14:val="95000"/>
                      <w14:lumOff w14:val="5000"/>
                    </w14:schemeClr>
                  </w14:solidFill>
                </w14:textFill>
              </w:rPr>
              <m:t>L</m:t>
            </m:r>
            <m:ctrlPr>
              <w:rPr>
                <w:rFonts w:ascii="Cambria Math" w:hAnsi="Cambria Math"/>
                <w:i/>
                <w:color w:val="0D0D0D" w:themeColor="text1" w:themeTint="F2"/>
                <w14:textFill>
                  <w14:solidFill>
                    <w14:schemeClr w14:val="tx1">
                      <w14:lumMod w14:val="95000"/>
                      <w14:lumOff w14:val="5000"/>
                    </w14:schemeClr>
                  </w14:solidFill>
                </w14:textFill>
              </w:rPr>
            </m:ctrlPr>
          </m:e>
          <m:sub>
            <m:r>
              <m:rPr/>
              <w:rPr>
                <w:rFonts w:ascii="Cambria Math" w:hAnsi="Cambria Math"/>
                <w:color w:val="0D0D0D" w:themeColor="text1" w:themeTint="F2"/>
                <w14:textFill>
                  <w14:solidFill>
                    <w14:schemeClr w14:val="tx1">
                      <w14:lumMod w14:val="95000"/>
                      <w14:lumOff w14:val="5000"/>
                    </w14:schemeClr>
                  </w14:solidFill>
                </w14:textFill>
              </w:rPr>
              <m:t>p1i</m:t>
            </m:r>
            <m:ctrlPr>
              <w:rPr>
                <w:rFonts w:ascii="Cambria Math" w:hAnsi="Cambria Math"/>
                <w:i/>
                <w:color w:val="0D0D0D" w:themeColor="text1" w:themeTint="F2"/>
                <w14:textFill>
                  <w14:solidFill>
                    <w14:schemeClr w14:val="tx1">
                      <w14:lumMod w14:val="95000"/>
                      <w14:lumOff w14:val="5000"/>
                    </w14:schemeClr>
                  </w14:solidFill>
                </w14:textFill>
              </w:rPr>
            </m:ctrlPr>
          </m:sub>
        </m:sSub>
        <m:r>
          <m:rPr/>
          <w:rPr>
            <w:rFonts w:ascii="Cambria Math" w:hAnsi="Cambria Math"/>
            <w:color w:val="0D0D0D" w:themeColor="text1" w:themeTint="F2"/>
            <w14:textFill>
              <w14:solidFill>
                <w14:schemeClr w14:val="tx1">
                  <w14:lumMod w14:val="95000"/>
                  <w14:lumOff w14:val="5000"/>
                </w14:schemeClr>
              </w14:solidFill>
            </w14:textFill>
          </w:rPr>
          <m:t>(T)=10</m:t>
        </m:r>
        <m:func>
          <m:funcPr>
            <m:ctrlPr>
              <w:rPr>
                <w:rFonts w:ascii="Cambria Math" w:hAnsi="Cambria Math"/>
                <w:color w:val="0D0D0D" w:themeColor="text1" w:themeTint="F2"/>
                <w14:textFill>
                  <w14:solidFill>
                    <w14:schemeClr w14:val="tx1">
                      <w14:lumMod w14:val="95000"/>
                      <w14:lumOff w14:val="5000"/>
                    </w14:schemeClr>
                  </w14:solidFill>
                </w14:textFill>
              </w:rPr>
            </m:ctrlPr>
          </m:funcPr>
          <m:fName>
            <m:r>
              <m:rPr>
                <m:sty m:val="p"/>
              </m:rPr>
              <w:rPr>
                <w:rFonts w:ascii="Cambria Math" w:hAnsi="Cambria Math"/>
                <w:color w:val="0D0D0D" w:themeColor="text1" w:themeTint="F2"/>
                <w14:textFill>
                  <w14:solidFill>
                    <w14:schemeClr w14:val="tx1">
                      <w14:lumMod w14:val="95000"/>
                      <w14:lumOff w14:val="5000"/>
                    </w14:schemeClr>
                  </w14:solidFill>
                </w14:textFill>
              </w:rPr>
              <m:t>lg</m:t>
            </m:r>
            <m:ctrlPr>
              <w:rPr>
                <w:rFonts w:ascii="Cambria Math" w:hAnsi="Cambria Math"/>
                <w:i/>
                <w:color w:val="0D0D0D" w:themeColor="text1" w:themeTint="F2"/>
                <w14:textFill>
                  <w14:solidFill>
                    <w14:schemeClr w14:val="tx1">
                      <w14:lumMod w14:val="95000"/>
                      <w14:lumOff w14:val="5000"/>
                    </w14:schemeClr>
                  </w14:solidFill>
                </w14:textFill>
              </w:rPr>
            </m:ctrlPr>
          </m:fName>
          <m:e>
            <m:d>
              <m:dPr>
                <m:ctrlPr>
                  <w:rPr>
                    <w:rFonts w:ascii="Cambria Math" w:hAnsi="Cambria Math"/>
                    <w:i/>
                    <w:color w:val="0D0D0D" w:themeColor="text1" w:themeTint="F2"/>
                    <w14:textFill>
                      <w14:solidFill>
                        <w14:schemeClr w14:val="tx1">
                          <w14:lumMod w14:val="95000"/>
                          <w14:lumOff w14:val="5000"/>
                        </w14:schemeClr>
                      </w14:solidFill>
                    </w14:textFill>
                  </w:rPr>
                </m:ctrlPr>
              </m:dPr>
              <m:e>
                <m:nary>
                  <m:naryPr>
                    <m:chr m:val="∑"/>
                    <m:limLoc m:val="undOvr"/>
                    <m:ctrlPr>
                      <w:rPr>
                        <w:rFonts w:ascii="Cambria Math" w:hAnsi="Cambria Math"/>
                        <w:i/>
                        <w:color w:val="0D0D0D" w:themeColor="text1" w:themeTint="F2"/>
                        <w14:textFill>
                          <w14:solidFill>
                            <w14:schemeClr w14:val="tx1">
                              <w14:lumMod w14:val="95000"/>
                              <w14:lumOff w14:val="5000"/>
                            </w14:schemeClr>
                          </w14:solidFill>
                        </w14:textFill>
                      </w:rPr>
                    </m:ctrlPr>
                  </m:naryPr>
                  <m:sub>
                    <m:r>
                      <m:rPr/>
                      <w:rPr>
                        <w:rFonts w:ascii="Cambria Math" w:hAnsi="Cambria Math"/>
                        <w:color w:val="0D0D0D" w:themeColor="text1" w:themeTint="F2"/>
                        <w14:textFill>
                          <w14:solidFill>
                            <w14:schemeClr w14:val="tx1">
                              <w14:lumMod w14:val="95000"/>
                              <w14:lumOff w14:val="5000"/>
                            </w14:schemeClr>
                          </w14:solidFill>
                        </w14:textFill>
                      </w:rPr>
                      <m:t>j=1</m:t>
                    </m:r>
                    <m:ctrlPr>
                      <w:rPr>
                        <w:rFonts w:ascii="Cambria Math" w:hAnsi="Cambria Math"/>
                        <w:i/>
                        <w:color w:val="0D0D0D" w:themeColor="text1" w:themeTint="F2"/>
                        <w14:textFill>
                          <w14:solidFill>
                            <w14:schemeClr w14:val="tx1">
                              <w14:lumMod w14:val="95000"/>
                              <w14:lumOff w14:val="5000"/>
                            </w14:schemeClr>
                          </w14:solidFill>
                        </w14:textFill>
                      </w:rPr>
                    </m:ctrlPr>
                  </m:sub>
                  <m:sup>
                    <m:r>
                      <m:rPr/>
                      <w:rPr>
                        <w:rFonts w:ascii="Cambria Math" w:hAnsi="Cambria Math"/>
                        <w:color w:val="0D0D0D" w:themeColor="text1" w:themeTint="F2"/>
                        <w14:textFill>
                          <w14:solidFill>
                            <w14:schemeClr w14:val="tx1">
                              <w14:lumMod w14:val="95000"/>
                              <w14:lumOff w14:val="5000"/>
                            </w14:schemeClr>
                          </w14:solidFill>
                        </w14:textFill>
                      </w:rPr>
                      <m:t>N</m:t>
                    </m:r>
                    <m:ctrlPr>
                      <w:rPr>
                        <w:rFonts w:ascii="Cambria Math" w:hAnsi="Cambria Math"/>
                        <w:i/>
                        <w:color w:val="0D0D0D" w:themeColor="text1" w:themeTint="F2"/>
                        <w14:textFill>
                          <w14:solidFill>
                            <w14:schemeClr w14:val="tx1">
                              <w14:lumMod w14:val="95000"/>
                              <w14:lumOff w14:val="5000"/>
                            </w14:schemeClr>
                          </w14:solidFill>
                        </w14:textFill>
                      </w:rPr>
                    </m:ctrlPr>
                  </m:sup>
                  <m:e>
                    <m:sSup>
                      <m:sSupPr>
                        <m:ctrlPr>
                          <w:rPr>
                            <w:rFonts w:ascii="Cambria Math" w:hAnsi="Cambria Math"/>
                            <w:i/>
                            <w:color w:val="0D0D0D" w:themeColor="text1" w:themeTint="F2"/>
                            <w14:textFill>
                              <w14:solidFill>
                                <w14:schemeClr w14:val="tx1">
                                  <w14:lumMod w14:val="95000"/>
                                  <w14:lumOff w14:val="5000"/>
                                </w14:schemeClr>
                              </w14:solidFill>
                            </w14:textFill>
                          </w:rPr>
                        </m:ctrlPr>
                      </m:sSupPr>
                      <m:e>
                        <m:r>
                          <m:rPr/>
                          <w:rPr>
                            <w:rFonts w:ascii="Cambria Math" w:hAnsi="Cambria Math"/>
                            <w:color w:val="0D0D0D" w:themeColor="text1" w:themeTint="F2"/>
                            <w14:textFill>
                              <w14:solidFill>
                                <w14:schemeClr w14:val="tx1">
                                  <w14:lumMod w14:val="95000"/>
                                  <w14:lumOff w14:val="5000"/>
                                </w14:schemeClr>
                              </w14:solidFill>
                            </w14:textFill>
                          </w:rPr>
                          <m:t>10</m:t>
                        </m:r>
                        <m:ctrlPr>
                          <w:rPr>
                            <w:rFonts w:ascii="Cambria Math" w:hAnsi="Cambria Math"/>
                            <w:i/>
                            <w:color w:val="0D0D0D" w:themeColor="text1" w:themeTint="F2"/>
                            <w14:textFill>
                              <w14:solidFill>
                                <w14:schemeClr w14:val="tx1">
                                  <w14:lumMod w14:val="95000"/>
                                  <w14:lumOff w14:val="5000"/>
                                </w14:schemeClr>
                              </w14:solidFill>
                            </w14:textFill>
                          </w:rPr>
                        </m:ctrlPr>
                      </m:e>
                      <m:sup>
                        <m:r>
                          <m:rPr/>
                          <w:rPr>
                            <w:rFonts w:ascii="Cambria Math" w:hAnsi="Cambria Math"/>
                            <w:color w:val="0D0D0D" w:themeColor="text1" w:themeTint="F2"/>
                            <w14:textFill>
                              <w14:solidFill>
                                <w14:schemeClr w14:val="tx1">
                                  <w14:lumMod w14:val="95000"/>
                                  <w14:lumOff w14:val="5000"/>
                                </w14:schemeClr>
                              </w14:solidFill>
                            </w14:textFill>
                          </w:rPr>
                          <m:t>0.1</m:t>
                        </m:r>
                        <m:sSub>
                          <m:sSubPr>
                            <m:ctrlPr>
                              <w:rPr>
                                <w:rFonts w:ascii="Cambria Math" w:hAnsi="Cambria Math"/>
                                <w:i/>
                                <w:color w:val="0D0D0D" w:themeColor="text1" w:themeTint="F2"/>
                                <w14:textFill>
                                  <w14:solidFill>
                                    <w14:schemeClr w14:val="tx1">
                                      <w14:lumMod w14:val="95000"/>
                                      <w14:lumOff w14:val="5000"/>
                                    </w14:schemeClr>
                                  </w14:solidFill>
                                </w14:textFill>
                              </w:rPr>
                            </m:ctrlPr>
                          </m:sSubPr>
                          <m:e>
                            <m:r>
                              <m:rPr/>
                              <w:rPr>
                                <w:rFonts w:ascii="Cambria Math" w:hAnsi="Cambria Math"/>
                                <w:color w:val="0D0D0D" w:themeColor="text1" w:themeTint="F2"/>
                                <w14:textFill>
                                  <w14:solidFill>
                                    <w14:schemeClr w14:val="tx1">
                                      <w14:lumMod w14:val="95000"/>
                                      <w14:lumOff w14:val="5000"/>
                                    </w14:schemeClr>
                                  </w14:solidFill>
                                </w14:textFill>
                              </w:rPr>
                              <m:t>L</m:t>
                            </m:r>
                            <m:ctrlPr>
                              <w:rPr>
                                <w:rFonts w:ascii="Cambria Math" w:hAnsi="Cambria Math"/>
                                <w:i/>
                                <w:color w:val="0D0D0D" w:themeColor="text1" w:themeTint="F2"/>
                                <w14:textFill>
                                  <w14:solidFill>
                                    <w14:schemeClr w14:val="tx1">
                                      <w14:lumMod w14:val="95000"/>
                                      <w14:lumOff w14:val="5000"/>
                                    </w14:schemeClr>
                                  </w14:solidFill>
                                </w14:textFill>
                              </w:rPr>
                            </m:ctrlPr>
                          </m:e>
                          <m:sub>
                            <m:r>
                              <m:rPr/>
                              <w:rPr>
                                <w:rFonts w:ascii="Cambria Math" w:hAnsi="Cambria Math"/>
                                <w:color w:val="0D0D0D" w:themeColor="text1" w:themeTint="F2"/>
                                <w14:textFill>
                                  <w14:solidFill>
                                    <w14:schemeClr w14:val="tx1">
                                      <w14:lumMod w14:val="95000"/>
                                      <w14:lumOff w14:val="5000"/>
                                    </w14:schemeClr>
                                  </w14:solidFill>
                                </w14:textFill>
                              </w:rPr>
                              <m:t>p1ij</m:t>
                            </m:r>
                            <m:ctrlPr>
                              <w:rPr>
                                <w:rFonts w:ascii="Cambria Math" w:hAnsi="Cambria Math"/>
                                <w:i/>
                                <w:color w:val="0D0D0D" w:themeColor="text1" w:themeTint="F2"/>
                                <w14:textFill>
                                  <w14:solidFill>
                                    <w14:schemeClr w14:val="tx1">
                                      <w14:lumMod w14:val="95000"/>
                                      <w14:lumOff w14:val="5000"/>
                                    </w14:schemeClr>
                                  </w14:solidFill>
                                </w14:textFill>
                              </w:rPr>
                            </m:ctrlPr>
                          </m:sub>
                        </m:sSub>
                        <m:ctrlPr>
                          <w:rPr>
                            <w:rFonts w:ascii="Cambria Math" w:hAnsi="Cambria Math"/>
                            <w:i/>
                            <w:color w:val="0D0D0D" w:themeColor="text1" w:themeTint="F2"/>
                            <w14:textFill>
                              <w14:solidFill>
                                <w14:schemeClr w14:val="tx1">
                                  <w14:lumMod w14:val="95000"/>
                                  <w14:lumOff w14:val="5000"/>
                                </w14:schemeClr>
                              </w14:solidFill>
                            </w14:textFill>
                          </w:rPr>
                        </m:ctrlPr>
                      </m:sup>
                    </m:sSup>
                    <m:ctrlPr>
                      <w:rPr>
                        <w:rFonts w:ascii="Cambria Math" w:hAnsi="Cambria Math"/>
                        <w:i/>
                        <w:color w:val="0D0D0D" w:themeColor="text1" w:themeTint="F2"/>
                        <w14:textFill>
                          <w14:solidFill>
                            <w14:schemeClr w14:val="tx1">
                              <w14:lumMod w14:val="95000"/>
                              <w14:lumOff w14:val="5000"/>
                            </w14:schemeClr>
                          </w14:solidFill>
                        </w14:textFill>
                      </w:rPr>
                    </m:ctrlPr>
                  </m:e>
                </m:nary>
                <m:ctrlPr>
                  <w:rPr>
                    <w:rFonts w:ascii="Cambria Math" w:hAnsi="Cambria Math"/>
                    <w:i/>
                    <w:color w:val="0D0D0D" w:themeColor="text1" w:themeTint="F2"/>
                    <w14:textFill>
                      <w14:solidFill>
                        <w14:schemeClr w14:val="tx1">
                          <w14:lumMod w14:val="95000"/>
                          <w14:lumOff w14:val="5000"/>
                        </w14:schemeClr>
                      </w14:solidFill>
                    </w14:textFill>
                  </w:rPr>
                </m:ctrlPr>
              </m:e>
            </m:d>
            <m:ctrlPr>
              <w:rPr>
                <w:rFonts w:ascii="Cambria Math" w:hAnsi="Cambria Math"/>
                <w:i/>
                <w:color w:val="0D0D0D" w:themeColor="text1" w:themeTint="F2"/>
                <w14:textFill>
                  <w14:solidFill>
                    <w14:schemeClr w14:val="tx1">
                      <w14:lumMod w14:val="95000"/>
                      <w14:lumOff w14:val="5000"/>
                    </w14:schemeClr>
                  </w14:solidFill>
                </w14:textFill>
              </w:rPr>
            </m:ctrlPr>
          </m:e>
        </m:func>
      </m:oMath>
      <w:r>
        <w:rPr>
          <w:rFonts w:hint="eastAsia"/>
          <w:color w:val="0D0D0D" w:themeColor="text1" w:themeTint="F2"/>
          <w14:textFill>
            <w14:solidFill>
              <w14:schemeClr w14:val="tx1">
                <w14:lumMod w14:val="95000"/>
                <w14:lumOff w14:val="5000"/>
              </w14:schemeClr>
            </w14:solidFill>
          </w14:textFill>
        </w:rPr>
        <w:t xml:space="preserve">  （B.2）</w:t>
      </w:r>
    </w:p>
    <w:p w14:paraId="0F52D2FD">
      <w:pPr>
        <w:adjustRightInd w:val="0"/>
        <w:snapToGrid w:val="0"/>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式中：</w:t>
      </w:r>
    </w:p>
    <w:p w14:paraId="7774DC4B">
      <w:pPr>
        <w:adjustRightInd w:val="0"/>
        <w:snapToGrid w:val="0"/>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L</w:t>
      </w:r>
      <w:r>
        <w:rPr>
          <w:color w:val="0D0D0D" w:themeColor="text1" w:themeTint="F2"/>
          <w:vertAlign w:val="subscript"/>
          <w14:textFill>
            <w14:solidFill>
              <w14:schemeClr w14:val="tx1">
                <w14:lumMod w14:val="95000"/>
                <w14:lumOff w14:val="5000"/>
              </w14:schemeClr>
            </w14:solidFill>
          </w14:textFill>
        </w:rPr>
        <w:t>p1i</w:t>
      </w:r>
      <w:r>
        <w:rPr>
          <w:color w:val="0D0D0D" w:themeColor="text1" w:themeTint="F2"/>
          <w14:textFill>
            <w14:solidFill>
              <w14:schemeClr w14:val="tx1">
                <w14:lumMod w14:val="95000"/>
                <w14:lumOff w14:val="5000"/>
              </w14:schemeClr>
            </w14:solidFill>
          </w14:textFill>
        </w:rPr>
        <w:t>(T)——靠近围护结构处室内N个声源i倍频带的叠加声压级，dB；</w:t>
      </w:r>
    </w:p>
    <w:p w14:paraId="593425C7">
      <w:pPr>
        <w:adjustRightInd w:val="0"/>
        <w:snapToGrid w:val="0"/>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L</w:t>
      </w:r>
      <w:r>
        <w:rPr>
          <w:color w:val="0D0D0D" w:themeColor="text1" w:themeTint="F2"/>
          <w:vertAlign w:val="subscript"/>
          <w14:textFill>
            <w14:solidFill>
              <w14:schemeClr w14:val="tx1">
                <w14:lumMod w14:val="95000"/>
                <w14:lumOff w14:val="5000"/>
              </w14:schemeClr>
            </w14:solidFill>
          </w14:textFill>
        </w:rPr>
        <w:t>pij</w:t>
      </w:r>
      <w:r>
        <w:rPr>
          <w:color w:val="0D0D0D" w:themeColor="text1" w:themeTint="F2"/>
          <w14:textFill>
            <w14:solidFill>
              <w14:schemeClr w14:val="tx1">
                <w14:lumMod w14:val="95000"/>
                <w14:lumOff w14:val="5000"/>
              </w14:schemeClr>
            </w14:solidFill>
          </w14:textFill>
        </w:rPr>
        <w:t>——室内j声源i倍频带的声压级，dB；</w:t>
      </w:r>
    </w:p>
    <w:p w14:paraId="409A18F0">
      <w:pPr>
        <w:adjustRightInd w:val="0"/>
        <w:snapToGrid w:val="0"/>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N——室内声源总数。</w:t>
      </w:r>
    </w:p>
    <w:p w14:paraId="72BB7A43">
      <w:pPr>
        <w:adjustRightInd w:val="0"/>
        <w:snapToGrid w:val="0"/>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w:t>
      </w:r>
      <w:r>
        <w:rPr>
          <w:rFonts w:hint="eastAsia"/>
          <w:color w:val="0D0D0D" w:themeColor="text1" w:themeTint="F2"/>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）噪声贡献值计算</w:t>
      </w:r>
    </w:p>
    <w:p w14:paraId="1D4E5CB2">
      <w:pPr>
        <w:adjustRightInd w:val="0"/>
        <w:snapToGrid w:val="0"/>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设第i个室外声源在预测点产生的A声级为L</w:t>
      </w:r>
      <w:r>
        <w:rPr>
          <w:color w:val="0D0D0D" w:themeColor="text1" w:themeTint="F2"/>
          <w:vertAlign w:val="subscript"/>
          <w14:textFill>
            <w14:solidFill>
              <w14:schemeClr w14:val="tx1">
                <w14:lumMod w14:val="95000"/>
                <w14:lumOff w14:val="5000"/>
              </w14:schemeClr>
            </w14:solidFill>
          </w14:textFill>
        </w:rPr>
        <w:t>Ai</w:t>
      </w:r>
      <w:r>
        <w:rPr>
          <w:color w:val="0D0D0D" w:themeColor="text1" w:themeTint="F2"/>
          <w14:textFill>
            <w14:solidFill>
              <w14:schemeClr w14:val="tx1">
                <w14:lumMod w14:val="95000"/>
                <w14:lumOff w14:val="5000"/>
              </w14:schemeClr>
            </w14:solidFill>
          </w14:textFill>
        </w:rPr>
        <w:t>，在T时间内该声源工作时间为t</w:t>
      </w:r>
      <w:r>
        <w:rPr>
          <w:color w:val="0D0D0D" w:themeColor="text1" w:themeTint="F2"/>
          <w:vertAlign w:val="subscript"/>
          <w14:textFill>
            <w14:solidFill>
              <w14:schemeClr w14:val="tx1">
                <w14:lumMod w14:val="95000"/>
                <w14:lumOff w14:val="5000"/>
              </w14:schemeClr>
            </w14:solidFill>
          </w14:textFill>
        </w:rPr>
        <w:t>i</w:t>
      </w:r>
      <w:r>
        <w:rPr>
          <w:color w:val="0D0D0D" w:themeColor="text1" w:themeTint="F2"/>
          <w14:textFill>
            <w14:solidFill>
              <w14:schemeClr w14:val="tx1">
                <w14:lumMod w14:val="95000"/>
                <w14:lumOff w14:val="5000"/>
              </w14:schemeClr>
            </w14:solidFill>
          </w14:textFill>
        </w:rPr>
        <w:t>；第j个等效室外声源在预测点产生的A声级为L</w:t>
      </w:r>
      <w:r>
        <w:rPr>
          <w:color w:val="0D0D0D" w:themeColor="text1" w:themeTint="F2"/>
          <w:vertAlign w:val="subscript"/>
          <w14:textFill>
            <w14:solidFill>
              <w14:schemeClr w14:val="tx1">
                <w14:lumMod w14:val="95000"/>
                <w14:lumOff w14:val="5000"/>
              </w14:schemeClr>
            </w14:solidFill>
          </w14:textFill>
        </w:rPr>
        <w:t>Aj</w:t>
      </w:r>
      <w:r>
        <w:rPr>
          <w:color w:val="0D0D0D" w:themeColor="text1" w:themeTint="F2"/>
          <w14:textFill>
            <w14:solidFill>
              <w14:schemeClr w14:val="tx1">
                <w14:lumMod w14:val="95000"/>
                <w14:lumOff w14:val="5000"/>
              </w14:schemeClr>
            </w14:solidFill>
          </w14:textFill>
        </w:rPr>
        <w:t>，在T时间内该声源工作时间为j</w:t>
      </w:r>
      <w:r>
        <w:rPr>
          <w:color w:val="0D0D0D" w:themeColor="text1" w:themeTint="F2"/>
          <w:vertAlign w:val="subscript"/>
          <w14:textFill>
            <w14:solidFill>
              <w14:schemeClr w14:val="tx1">
                <w14:lumMod w14:val="95000"/>
                <w14:lumOff w14:val="5000"/>
              </w14:schemeClr>
            </w14:solidFill>
          </w14:textFill>
        </w:rPr>
        <w:t xml:space="preserve"> t</w:t>
      </w:r>
      <w:r>
        <w:rPr>
          <w:color w:val="0D0D0D" w:themeColor="text1" w:themeTint="F2"/>
          <w14:textFill>
            <w14:solidFill>
              <w14:schemeClr w14:val="tx1">
                <w14:lumMod w14:val="95000"/>
                <w14:lumOff w14:val="5000"/>
              </w14:schemeClr>
            </w14:solidFill>
          </w14:textFill>
        </w:rPr>
        <w:t>，则项目声源对预测点产生的贡献值（Leqg）为：</w:t>
      </w:r>
    </w:p>
    <w:p w14:paraId="6246D1FC">
      <w:pPr>
        <w:jc w:val="center"/>
        <w:rPr>
          <w:rFonts w:cs="Times New Roman"/>
          <w:color w:val="0D0D0D" w:themeColor="text1" w:themeTint="F2"/>
          <w14:textFill>
            <w14:solidFill>
              <w14:schemeClr w14:val="tx1">
                <w14:lumMod w14:val="95000"/>
                <w14:lumOff w14:val="5000"/>
              </w14:schemeClr>
            </w14:solidFill>
          </w14:textFill>
        </w:rPr>
      </w:pPr>
      <m:oMathPara>
        <m:oMath>
          <m:sSub>
            <m:sSubPr>
              <m:ctrlPr>
                <w:rPr>
                  <w:rFonts w:ascii="Cambria Math" w:hAnsi="Cambria Math" w:cs="Times New Roman"/>
                  <w:i/>
                  <w:color w:val="0D0D0D" w:themeColor="text1" w:themeTint="F2"/>
                  <w14:textFill>
                    <w14:solidFill>
                      <w14:schemeClr w14:val="tx1">
                        <w14:lumMod w14:val="95000"/>
                        <w14:lumOff w14:val="5000"/>
                      </w14:schemeClr>
                    </w14:solidFill>
                  </w14:textFill>
                </w:rPr>
              </m:ctrlPr>
            </m:sSubPr>
            <m:e>
              <m:r>
                <m:rPr/>
                <w:rPr>
                  <w:rFonts w:ascii="Cambria Math" w:hAnsi="Cambria Math" w:cs="Times New Roman"/>
                  <w:color w:val="0D0D0D" w:themeColor="text1" w:themeTint="F2"/>
                  <w14:textFill>
                    <w14:solidFill>
                      <w14:schemeClr w14:val="tx1">
                        <w14:lumMod w14:val="95000"/>
                        <w14:lumOff w14:val="5000"/>
                      </w14:schemeClr>
                    </w14:solidFill>
                  </w14:textFill>
                </w:rPr>
                <m:t>L</m:t>
              </m:r>
              <m:ctrlPr>
                <w:rPr>
                  <w:rFonts w:ascii="Cambria Math" w:hAnsi="Cambria Math" w:cs="Times New Roman"/>
                  <w:i/>
                  <w:color w:val="0D0D0D" w:themeColor="text1" w:themeTint="F2"/>
                  <w14:textFill>
                    <w14:solidFill>
                      <w14:schemeClr w14:val="tx1">
                        <w14:lumMod w14:val="95000"/>
                        <w14:lumOff w14:val="5000"/>
                      </w14:schemeClr>
                    </w14:solidFill>
                  </w14:textFill>
                </w:rPr>
              </m:ctrlPr>
            </m:e>
            <m:sub>
              <m:r>
                <m:rPr/>
                <w:rPr>
                  <w:rFonts w:ascii="Cambria Math" w:hAnsi="Cambria Math" w:cs="Times New Roman"/>
                  <w:color w:val="0D0D0D" w:themeColor="text1" w:themeTint="F2"/>
                  <w14:textFill>
                    <w14:solidFill>
                      <w14:schemeClr w14:val="tx1">
                        <w14:lumMod w14:val="95000"/>
                        <w14:lumOff w14:val="5000"/>
                      </w14:schemeClr>
                    </w14:solidFill>
                  </w14:textFill>
                </w:rPr>
                <m:t>eqg</m:t>
              </m:r>
              <m:ctrlPr>
                <w:rPr>
                  <w:rFonts w:ascii="Cambria Math" w:hAnsi="Cambria Math" w:cs="Times New Roman"/>
                  <w:i/>
                  <w:color w:val="0D0D0D" w:themeColor="text1" w:themeTint="F2"/>
                  <w14:textFill>
                    <w14:solidFill>
                      <w14:schemeClr w14:val="tx1">
                        <w14:lumMod w14:val="95000"/>
                        <w14:lumOff w14:val="5000"/>
                      </w14:schemeClr>
                    </w14:solidFill>
                  </w14:textFill>
                </w:rPr>
              </m:ctrlPr>
            </m:sub>
          </m:sSub>
          <m:r>
            <m:rPr/>
            <w:rPr>
              <w:rFonts w:ascii="Cambria Math" w:hAnsi="Cambria Math" w:cs="Times New Roman"/>
              <w:color w:val="0D0D0D" w:themeColor="text1" w:themeTint="F2"/>
              <w14:textFill>
                <w14:solidFill>
                  <w14:schemeClr w14:val="tx1">
                    <w14:lumMod w14:val="95000"/>
                    <w14:lumOff w14:val="5000"/>
                  </w14:schemeClr>
                </w14:solidFill>
              </w14:textFill>
            </w:rPr>
            <m:t>=10</m:t>
          </m:r>
          <m:func>
            <m:funcPr>
              <m:ctrlPr>
                <w:rPr>
                  <w:rFonts w:ascii="Cambria Math" w:hAnsi="Cambria Math" w:cs="Times New Roman"/>
                  <w:color w:val="0D0D0D" w:themeColor="text1" w:themeTint="F2"/>
                  <w14:textFill>
                    <w14:solidFill>
                      <w14:schemeClr w14:val="tx1">
                        <w14:lumMod w14:val="95000"/>
                        <w14:lumOff w14:val="5000"/>
                      </w14:schemeClr>
                    </w14:solidFill>
                  </w14:textFill>
                </w:rPr>
              </m:ctrlPr>
            </m:funcPr>
            <m:fName>
              <m:r>
                <m:rPr>
                  <m:sty m:val="p"/>
                </m:rPr>
                <w:rPr>
                  <w:rFonts w:ascii="Cambria Math" w:hAnsi="Cambria Math" w:cs="Times New Roman"/>
                  <w:color w:val="0D0D0D" w:themeColor="text1" w:themeTint="F2"/>
                  <w14:textFill>
                    <w14:solidFill>
                      <w14:schemeClr w14:val="tx1">
                        <w14:lumMod w14:val="95000"/>
                        <w14:lumOff w14:val="5000"/>
                      </w14:schemeClr>
                    </w14:solidFill>
                  </w14:textFill>
                </w:rPr>
                <m:t>lg</m:t>
              </m:r>
              <m:ctrlPr>
                <w:rPr>
                  <w:rFonts w:ascii="Cambria Math" w:hAnsi="Cambria Math" w:cs="Times New Roman"/>
                  <w:i/>
                  <w:color w:val="0D0D0D" w:themeColor="text1" w:themeTint="F2"/>
                  <w14:textFill>
                    <w14:solidFill>
                      <w14:schemeClr w14:val="tx1">
                        <w14:lumMod w14:val="95000"/>
                        <w14:lumOff w14:val="5000"/>
                      </w14:schemeClr>
                    </w14:solidFill>
                  </w14:textFill>
                </w:rPr>
              </m:ctrlPr>
            </m:fName>
            <m:e>
              <m:d>
                <m:dPr>
                  <m:begChr m:val="["/>
                  <m:endChr m:val="]"/>
                  <m:ctrlPr>
                    <w:rPr>
                      <w:rFonts w:ascii="Cambria Math" w:hAnsi="Cambria Math" w:cs="Times New Roman"/>
                      <w:i/>
                      <w:color w:val="0D0D0D" w:themeColor="text1" w:themeTint="F2"/>
                      <w14:textFill>
                        <w14:solidFill>
                          <w14:schemeClr w14:val="tx1">
                            <w14:lumMod w14:val="95000"/>
                            <w14:lumOff w14:val="5000"/>
                          </w14:schemeClr>
                        </w14:solidFill>
                      </w14:textFill>
                    </w:rPr>
                  </m:ctrlPr>
                </m:dPr>
                <m:e>
                  <m:f>
                    <m:fPr>
                      <m:ctrlPr>
                        <w:rPr>
                          <w:rFonts w:ascii="Cambria Math" w:hAnsi="Cambria Math" w:cs="Times New Roman"/>
                          <w:i/>
                          <w:color w:val="0D0D0D" w:themeColor="text1" w:themeTint="F2"/>
                          <w14:textFill>
                            <w14:solidFill>
                              <w14:schemeClr w14:val="tx1">
                                <w14:lumMod w14:val="95000"/>
                                <w14:lumOff w14:val="5000"/>
                              </w14:schemeClr>
                            </w14:solidFill>
                          </w14:textFill>
                        </w:rPr>
                      </m:ctrlPr>
                    </m:fPr>
                    <m:num>
                      <m:r>
                        <m:rPr/>
                        <w:rPr>
                          <w:rFonts w:ascii="Cambria Math" w:hAnsi="Cambria Math" w:cs="Times New Roman"/>
                          <w:color w:val="0D0D0D" w:themeColor="text1" w:themeTint="F2"/>
                          <w14:textFill>
                            <w14:solidFill>
                              <w14:schemeClr w14:val="tx1">
                                <w14:lumMod w14:val="95000"/>
                                <w14:lumOff w14:val="5000"/>
                              </w14:schemeClr>
                            </w14:solidFill>
                          </w14:textFill>
                        </w:rPr>
                        <m:t>1</m:t>
                      </m:r>
                      <m:ctrlPr>
                        <w:rPr>
                          <w:rFonts w:ascii="Cambria Math" w:hAnsi="Cambria Math" w:cs="Times New Roman"/>
                          <w:i/>
                          <w:color w:val="0D0D0D" w:themeColor="text1" w:themeTint="F2"/>
                          <w14:textFill>
                            <w14:solidFill>
                              <w14:schemeClr w14:val="tx1">
                                <w14:lumMod w14:val="95000"/>
                                <w14:lumOff w14:val="5000"/>
                              </w14:schemeClr>
                            </w14:solidFill>
                          </w14:textFill>
                        </w:rPr>
                      </m:ctrlPr>
                    </m:num>
                    <m:den>
                      <m:r>
                        <m:rPr/>
                        <w:rPr>
                          <w:rFonts w:ascii="Cambria Math" w:hAnsi="Cambria Math" w:cs="Times New Roman"/>
                          <w:color w:val="0D0D0D" w:themeColor="text1" w:themeTint="F2"/>
                          <w14:textFill>
                            <w14:solidFill>
                              <w14:schemeClr w14:val="tx1">
                                <w14:lumMod w14:val="95000"/>
                                <w14:lumOff w14:val="5000"/>
                              </w14:schemeClr>
                            </w14:solidFill>
                          </w14:textFill>
                        </w:rPr>
                        <m:t>T</m:t>
                      </m:r>
                      <m:ctrlPr>
                        <w:rPr>
                          <w:rFonts w:ascii="Cambria Math" w:hAnsi="Cambria Math" w:cs="Times New Roman"/>
                          <w:i/>
                          <w:color w:val="0D0D0D" w:themeColor="text1" w:themeTint="F2"/>
                          <w14:textFill>
                            <w14:solidFill>
                              <w14:schemeClr w14:val="tx1">
                                <w14:lumMod w14:val="95000"/>
                                <w14:lumOff w14:val="5000"/>
                              </w14:schemeClr>
                            </w14:solidFill>
                          </w14:textFill>
                        </w:rPr>
                      </m:ctrlPr>
                    </m:den>
                  </m:f>
                  <m:d>
                    <m:dPr>
                      <m:ctrlPr>
                        <w:rPr>
                          <w:rFonts w:ascii="Cambria Math" w:hAnsi="Cambria Math" w:cs="Times New Roman"/>
                          <w:i/>
                          <w:color w:val="0D0D0D" w:themeColor="text1" w:themeTint="F2"/>
                          <w14:textFill>
                            <w14:solidFill>
                              <w14:schemeClr w14:val="tx1">
                                <w14:lumMod w14:val="95000"/>
                                <w14:lumOff w14:val="5000"/>
                              </w14:schemeClr>
                            </w14:solidFill>
                          </w14:textFill>
                        </w:rPr>
                      </m:ctrlPr>
                    </m:dPr>
                    <m:e>
                      <m:nary>
                        <m:naryPr>
                          <m:chr m:val="∑"/>
                          <m:limLoc m:val="undOvr"/>
                          <m:ctrlPr>
                            <w:rPr>
                              <w:rFonts w:ascii="Cambria Math" w:hAnsi="Cambria Math" w:cs="Times New Roman"/>
                              <w:i/>
                              <w:color w:val="0D0D0D" w:themeColor="text1" w:themeTint="F2"/>
                              <w14:textFill>
                                <w14:solidFill>
                                  <w14:schemeClr w14:val="tx1">
                                    <w14:lumMod w14:val="95000"/>
                                    <w14:lumOff w14:val="5000"/>
                                  </w14:schemeClr>
                                </w14:solidFill>
                              </w14:textFill>
                            </w:rPr>
                          </m:ctrlPr>
                        </m:naryPr>
                        <m:sub>
                          <m:r>
                            <m:rPr/>
                            <w:rPr>
                              <w:rFonts w:ascii="Cambria Math" w:hAnsi="Cambria Math" w:cs="Times New Roman"/>
                              <w:color w:val="0D0D0D" w:themeColor="text1" w:themeTint="F2"/>
                              <w14:textFill>
                                <w14:solidFill>
                                  <w14:schemeClr w14:val="tx1">
                                    <w14:lumMod w14:val="95000"/>
                                    <w14:lumOff w14:val="5000"/>
                                  </w14:schemeClr>
                                </w14:solidFill>
                              </w14:textFill>
                            </w:rPr>
                            <m:t>i=1</m:t>
                          </m:r>
                          <m:ctrlPr>
                            <w:rPr>
                              <w:rFonts w:ascii="Cambria Math" w:hAnsi="Cambria Math" w:cs="Times New Roman"/>
                              <w:i/>
                              <w:color w:val="0D0D0D" w:themeColor="text1" w:themeTint="F2"/>
                              <w14:textFill>
                                <w14:solidFill>
                                  <w14:schemeClr w14:val="tx1">
                                    <w14:lumMod w14:val="95000"/>
                                    <w14:lumOff w14:val="5000"/>
                                  </w14:schemeClr>
                                </w14:solidFill>
                              </w14:textFill>
                            </w:rPr>
                          </m:ctrlPr>
                        </m:sub>
                        <m:sup>
                          <m:r>
                            <m:rPr/>
                            <w:rPr>
                              <w:rFonts w:ascii="Cambria Math" w:hAnsi="Cambria Math" w:cs="Times New Roman"/>
                              <w:color w:val="0D0D0D" w:themeColor="text1" w:themeTint="F2"/>
                              <w14:textFill>
                                <w14:solidFill>
                                  <w14:schemeClr w14:val="tx1">
                                    <w14:lumMod w14:val="95000"/>
                                    <w14:lumOff w14:val="5000"/>
                                  </w14:schemeClr>
                                </w14:solidFill>
                              </w14:textFill>
                            </w:rPr>
                            <m:t>N</m:t>
                          </m:r>
                          <m:ctrlPr>
                            <w:rPr>
                              <w:rFonts w:ascii="Cambria Math" w:hAnsi="Cambria Math" w:cs="Times New Roman"/>
                              <w:i/>
                              <w:color w:val="0D0D0D" w:themeColor="text1" w:themeTint="F2"/>
                              <w14:textFill>
                                <w14:solidFill>
                                  <w14:schemeClr w14:val="tx1">
                                    <w14:lumMod w14:val="95000"/>
                                    <w14:lumOff w14:val="5000"/>
                                  </w14:schemeClr>
                                </w14:solidFill>
                              </w14:textFill>
                            </w:rPr>
                          </m:ctrlPr>
                        </m:sup>
                        <m:e>
                          <m:sSup>
                            <m:sSupPr>
                              <m:ctrlPr>
                                <w:rPr>
                                  <w:rFonts w:ascii="Cambria Math" w:hAnsi="Cambria Math" w:cs="Times New Roman"/>
                                  <w:i/>
                                  <w:color w:val="0D0D0D" w:themeColor="text1" w:themeTint="F2"/>
                                  <w14:textFill>
                                    <w14:solidFill>
                                      <w14:schemeClr w14:val="tx1">
                                        <w14:lumMod w14:val="95000"/>
                                        <w14:lumOff w14:val="5000"/>
                                      </w14:schemeClr>
                                    </w14:solidFill>
                                  </w14:textFill>
                                </w:rPr>
                              </m:ctrlPr>
                            </m:sSupPr>
                            <m:e>
                              <m:sSub>
                                <m:sSubPr>
                                  <m:ctrlPr>
                                    <w:rPr>
                                      <w:rFonts w:ascii="Cambria Math" w:hAnsi="Cambria Math" w:cs="Times New Roman"/>
                                      <w:i/>
                                      <w:color w:val="0D0D0D" w:themeColor="text1" w:themeTint="F2"/>
                                      <w14:textFill>
                                        <w14:solidFill>
                                          <w14:schemeClr w14:val="tx1">
                                            <w14:lumMod w14:val="95000"/>
                                            <w14:lumOff w14:val="5000"/>
                                          </w14:schemeClr>
                                        </w14:solidFill>
                                      </w14:textFill>
                                    </w:rPr>
                                  </m:ctrlPr>
                                </m:sSubPr>
                                <m:e>
                                  <m:r>
                                    <m:rPr/>
                                    <w:rPr>
                                      <w:rFonts w:ascii="Cambria Math" w:hAnsi="Cambria Math" w:cs="Times New Roman"/>
                                      <w:color w:val="0D0D0D" w:themeColor="text1" w:themeTint="F2"/>
                                      <w14:textFill>
                                        <w14:solidFill>
                                          <w14:schemeClr w14:val="tx1">
                                            <w14:lumMod w14:val="95000"/>
                                            <w14:lumOff w14:val="5000"/>
                                          </w14:schemeClr>
                                        </w14:solidFill>
                                      </w14:textFill>
                                    </w:rPr>
                                    <m:t>t</m:t>
                                  </m:r>
                                  <m:ctrlPr>
                                    <w:rPr>
                                      <w:rFonts w:ascii="Cambria Math" w:hAnsi="Cambria Math" w:cs="Times New Roman"/>
                                      <w:i/>
                                      <w:color w:val="0D0D0D" w:themeColor="text1" w:themeTint="F2"/>
                                      <w14:textFill>
                                        <w14:solidFill>
                                          <w14:schemeClr w14:val="tx1">
                                            <w14:lumMod w14:val="95000"/>
                                            <w14:lumOff w14:val="5000"/>
                                          </w14:schemeClr>
                                        </w14:solidFill>
                                      </w14:textFill>
                                    </w:rPr>
                                  </m:ctrlPr>
                                </m:e>
                                <m:sub>
                                  <m:r>
                                    <m:rPr/>
                                    <w:rPr>
                                      <w:rFonts w:ascii="Cambria Math" w:hAnsi="Cambria Math" w:cs="Times New Roman"/>
                                      <w:color w:val="0D0D0D" w:themeColor="text1" w:themeTint="F2"/>
                                      <w14:textFill>
                                        <w14:solidFill>
                                          <w14:schemeClr w14:val="tx1">
                                            <w14:lumMod w14:val="95000"/>
                                            <w14:lumOff w14:val="5000"/>
                                          </w14:schemeClr>
                                        </w14:solidFill>
                                      </w14:textFill>
                                    </w:rPr>
                                    <m:t>i</m:t>
                                  </m:r>
                                  <m:ctrlPr>
                                    <w:rPr>
                                      <w:rFonts w:ascii="Cambria Math" w:hAnsi="Cambria Math" w:cs="Times New Roman"/>
                                      <w:i/>
                                      <w:color w:val="0D0D0D" w:themeColor="text1" w:themeTint="F2"/>
                                      <w14:textFill>
                                        <w14:solidFill>
                                          <w14:schemeClr w14:val="tx1">
                                            <w14:lumMod w14:val="95000"/>
                                            <w14:lumOff w14:val="5000"/>
                                          </w14:schemeClr>
                                        </w14:solidFill>
                                      </w14:textFill>
                                    </w:rPr>
                                  </m:ctrlPr>
                                </m:sub>
                              </m:sSub>
                              <m:r>
                                <m:rPr/>
                                <w:rPr>
                                  <w:rFonts w:ascii="Cambria Math" w:hAnsi="Cambria Math" w:cs="Times New Roman"/>
                                  <w:color w:val="0D0D0D" w:themeColor="text1" w:themeTint="F2"/>
                                  <w14:textFill>
                                    <w14:solidFill>
                                      <w14:schemeClr w14:val="tx1">
                                        <w14:lumMod w14:val="95000"/>
                                        <w14:lumOff w14:val="5000"/>
                                      </w14:schemeClr>
                                    </w14:solidFill>
                                  </w14:textFill>
                                </w:rPr>
                                <m:t>10</m:t>
                              </m:r>
                              <m:ctrlPr>
                                <w:rPr>
                                  <w:rFonts w:ascii="Cambria Math" w:hAnsi="Cambria Math" w:cs="Times New Roman"/>
                                  <w:i/>
                                  <w:color w:val="0D0D0D" w:themeColor="text1" w:themeTint="F2"/>
                                  <w14:textFill>
                                    <w14:solidFill>
                                      <w14:schemeClr w14:val="tx1">
                                        <w14:lumMod w14:val="95000"/>
                                        <w14:lumOff w14:val="5000"/>
                                      </w14:schemeClr>
                                    </w14:solidFill>
                                  </w14:textFill>
                                </w:rPr>
                              </m:ctrlPr>
                            </m:e>
                            <m:sup>
                              <m:r>
                                <m:rPr/>
                                <w:rPr>
                                  <w:rFonts w:ascii="Cambria Math" w:hAnsi="Cambria Math" w:cs="Times New Roman"/>
                                  <w:color w:val="0D0D0D" w:themeColor="text1" w:themeTint="F2"/>
                                  <w14:textFill>
                                    <w14:solidFill>
                                      <w14:schemeClr w14:val="tx1">
                                        <w14:lumMod w14:val="95000"/>
                                        <w14:lumOff w14:val="5000"/>
                                      </w14:schemeClr>
                                    </w14:solidFill>
                                  </w14:textFill>
                                </w:rPr>
                                <m:t>0.1</m:t>
                              </m:r>
                              <m:sSub>
                                <m:sSubPr>
                                  <m:ctrlPr>
                                    <w:rPr>
                                      <w:rFonts w:ascii="Cambria Math" w:hAnsi="Cambria Math" w:cs="Times New Roman"/>
                                      <w:i/>
                                      <w:color w:val="0D0D0D" w:themeColor="text1" w:themeTint="F2"/>
                                      <w14:textFill>
                                        <w14:solidFill>
                                          <w14:schemeClr w14:val="tx1">
                                            <w14:lumMod w14:val="95000"/>
                                            <w14:lumOff w14:val="5000"/>
                                          </w14:schemeClr>
                                        </w14:solidFill>
                                      </w14:textFill>
                                    </w:rPr>
                                  </m:ctrlPr>
                                </m:sSubPr>
                                <m:e>
                                  <m:r>
                                    <m:rPr/>
                                    <w:rPr>
                                      <w:rFonts w:ascii="Cambria Math" w:hAnsi="Cambria Math" w:cs="Times New Roman"/>
                                      <w:color w:val="0D0D0D" w:themeColor="text1" w:themeTint="F2"/>
                                      <w14:textFill>
                                        <w14:solidFill>
                                          <w14:schemeClr w14:val="tx1">
                                            <w14:lumMod w14:val="95000"/>
                                            <w14:lumOff w14:val="5000"/>
                                          </w14:schemeClr>
                                        </w14:solidFill>
                                      </w14:textFill>
                                    </w:rPr>
                                    <m:t>L</m:t>
                                  </m:r>
                                  <m:ctrlPr>
                                    <w:rPr>
                                      <w:rFonts w:ascii="Cambria Math" w:hAnsi="Cambria Math" w:cs="Times New Roman"/>
                                      <w:i/>
                                      <w:color w:val="0D0D0D" w:themeColor="text1" w:themeTint="F2"/>
                                      <w14:textFill>
                                        <w14:solidFill>
                                          <w14:schemeClr w14:val="tx1">
                                            <w14:lumMod w14:val="95000"/>
                                            <w14:lumOff w14:val="5000"/>
                                          </w14:schemeClr>
                                        </w14:solidFill>
                                      </w14:textFill>
                                    </w:rPr>
                                  </m:ctrlPr>
                                </m:e>
                                <m:sub>
                                  <m:r>
                                    <m:rPr/>
                                    <w:rPr>
                                      <w:rFonts w:ascii="Cambria Math" w:hAnsi="Cambria Math" w:cs="Times New Roman"/>
                                      <w:color w:val="0D0D0D" w:themeColor="text1" w:themeTint="F2"/>
                                      <w14:textFill>
                                        <w14:solidFill>
                                          <w14:schemeClr w14:val="tx1">
                                            <w14:lumMod w14:val="95000"/>
                                            <w14:lumOff w14:val="5000"/>
                                          </w14:schemeClr>
                                        </w14:solidFill>
                                      </w14:textFill>
                                    </w:rPr>
                                    <m:t>Ai</m:t>
                                  </m:r>
                                  <m:ctrlPr>
                                    <w:rPr>
                                      <w:rFonts w:ascii="Cambria Math" w:hAnsi="Cambria Math" w:cs="Times New Roman"/>
                                      <w:i/>
                                      <w:color w:val="0D0D0D" w:themeColor="text1" w:themeTint="F2"/>
                                      <w14:textFill>
                                        <w14:solidFill>
                                          <w14:schemeClr w14:val="tx1">
                                            <w14:lumMod w14:val="95000"/>
                                            <w14:lumOff w14:val="5000"/>
                                          </w14:schemeClr>
                                        </w14:solidFill>
                                      </w14:textFill>
                                    </w:rPr>
                                  </m:ctrlPr>
                                </m:sub>
                              </m:sSub>
                              <m:ctrlPr>
                                <w:rPr>
                                  <w:rFonts w:ascii="Cambria Math" w:hAnsi="Cambria Math" w:cs="Times New Roman"/>
                                  <w:i/>
                                  <w:color w:val="0D0D0D" w:themeColor="text1" w:themeTint="F2"/>
                                  <w14:textFill>
                                    <w14:solidFill>
                                      <w14:schemeClr w14:val="tx1">
                                        <w14:lumMod w14:val="95000"/>
                                        <w14:lumOff w14:val="5000"/>
                                      </w14:schemeClr>
                                    </w14:solidFill>
                                  </w14:textFill>
                                </w:rPr>
                              </m:ctrlPr>
                            </m:sup>
                          </m:sSup>
                          <m:ctrlPr>
                            <w:rPr>
                              <w:rFonts w:ascii="Cambria Math" w:hAnsi="Cambria Math" w:cs="Times New Roman"/>
                              <w:i/>
                              <w:color w:val="0D0D0D" w:themeColor="text1" w:themeTint="F2"/>
                              <w14:textFill>
                                <w14:solidFill>
                                  <w14:schemeClr w14:val="tx1">
                                    <w14:lumMod w14:val="95000"/>
                                    <w14:lumOff w14:val="5000"/>
                                  </w14:schemeClr>
                                </w14:solidFill>
                              </w14:textFill>
                            </w:rPr>
                          </m:ctrlPr>
                        </m:e>
                      </m:nary>
                      <m:r>
                        <m:rPr/>
                        <w:rPr>
                          <w:rFonts w:ascii="Cambria Math" w:hAnsi="Cambria Math" w:cs="Times New Roman"/>
                          <w:color w:val="0D0D0D" w:themeColor="text1" w:themeTint="F2"/>
                          <w14:textFill>
                            <w14:solidFill>
                              <w14:schemeClr w14:val="tx1">
                                <w14:lumMod w14:val="95000"/>
                                <w14:lumOff w14:val="5000"/>
                              </w14:schemeClr>
                            </w14:solidFill>
                          </w14:textFill>
                        </w:rPr>
                        <m:t>+</m:t>
                      </m:r>
                      <m:nary>
                        <m:naryPr>
                          <m:chr m:val="∑"/>
                          <m:limLoc m:val="undOvr"/>
                          <m:ctrlPr>
                            <w:rPr>
                              <w:rFonts w:ascii="Cambria Math" w:hAnsi="Cambria Math" w:cs="Times New Roman"/>
                              <w:i/>
                              <w:color w:val="0D0D0D" w:themeColor="text1" w:themeTint="F2"/>
                              <w14:textFill>
                                <w14:solidFill>
                                  <w14:schemeClr w14:val="tx1">
                                    <w14:lumMod w14:val="95000"/>
                                    <w14:lumOff w14:val="5000"/>
                                  </w14:schemeClr>
                                </w14:solidFill>
                              </w14:textFill>
                            </w:rPr>
                          </m:ctrlPr>
                        </m:naryPr>
                        <m:sub>
                          <m:r>
                            <m:rPr/>
                            <w:rPr>
                              <w:rFonts w:ascii="Cambria Math" w:hAnsi="Cambria Math" w:cs="Times New Roman"/>
                              <w:color w:val="0D0D0D" w:themeColor="text1" w:themeTint="F2"/>
                              <w14:textFill>
                                <w14:solidFill>
                                  <w14:schemeClr w14:val="tx1">
                                    <w14:lumMod w14:val="95000"/>
                                    <w14:lumOff w14:val="5000"/>
                                  </w14:schemeClr>
                                </w14:solidFill>
                              </w14:textFill>
                            </w:rPr>
                            <m:t>j=1</m:t>
                          </m:r>
                          <m:ctrlPr>
                            <w:rPr>
                              <w:rFonts w:ascii="Cambria Math" w:hAnsi="Cambria Math" w:cs="Times New Roman"/>
                              <w:i/>
                              <w:color w:val="0D0D0D" w:themeColor="text1" w:themeTint="F2"/>
                              <w14:textFill>
                                <w14:solidFill>
                                  <w14:schemeClr w14:val="tx1">
                                    <w14:lumMod w14:val="95000"/>
                                    <w14:lumOff w14:val="5000"/>
                                  </w14:schemeClr>
                                </w14:solidFill>
                              </w14:textFill>
                            </w:rPr>
                          </m:ctrlPr>
                        </m:sub>
                        <m:sup>
                          <m:r>
                            <m:rPr/>
                            <w:rPr>
                              <w:rFonts w:ascii="Cambria Math" w:hAnsi="Cambria Math" w:cs="Times New Roman"/>
                              <w:color w:val="0D0D0D" w:themeColor="text1" w:themeTint="F2"/>
                              <w14:textFill>
                                <w14:solidFill>
                                  <w14:schemeClr w14:val="tx1">
                                    <w14:lumMod w14:val="95000"/>
                                    <w14:lumOff w14:val="5000"/>
                                  </w14:schemeClr>
                                </w14:solidFill>
                              </w14:textFill>
                            </w:rPr>
                            <m:t>M</m:t>
                          </m:r>
                          <m:ctrlPr>
                            <w:rPr>
                              <w:rFonts w:ascii="Cambria Math" w:hAnsi="Cambria Math" w:cs="Times New Roman"/>
                              <w:i/>
                              <w:color w:val="0D0D0D" w:themeColor="text1" w:themeTint="F2"/>
                              <w14:textFill>
                                <w14:solidFill>
                                  <w14:schemeClr w14:val="tx1">
                                    <w14:lumMod w14:val="95000"/>
                                    <w14:lumOff w14:val="5000"/>
                                  </w14:schemeClr>
                                </w14:solidFill>
                              </w14:textFill>
                            </w:rPr>
                          </m:ctrlPr>
                        </m:sup>
                        <m:e>
                          <m:sSup>
                            <m:sSupPr>
                              <m:ctrlPr>
                                <w:rPr>
                                  <w:rFonts w:ascii="Cambria Math" w:hAnsi="Cambria Math" w:cs="Times New Roman"/>
                                  <w:i/>
                                  <w:color w:val="0D0D0D" w:themeColor="text1" w:themeTint="F2"/>
                                  <w14:textFill>
                                    <w14:solidFill>
                                      <w14:schemeClr w14:val="tx1">
                                        <w14:lumMod w14:val="95000"/>
                                        <w14:lumOff w14:val="5000"/>
                                      </w14:schemeClr>
                                    </w14:solidFill>
                                  </w14:textFill>
                                </w:rPr>
                              </m:ctrlPr>
                            </m:sSupPr>
                            <m:e>
                              <m:sSub>
                                <m:sSubPr>
                                  <m:ctrlPr>
                                    <w:rPr>
                                      <w:rFonts w:ascii="Cambria Math" w:hAnsi="Cambria Math" w:cs="Times New Roman"/>
                                      <w:i/>
                                      <w:color w:val="0D0D0D" w:themeColor="text1" w:themeTint="F2"/>
                                      <w14:textFill>
                                        <w14:solidFill>
                                          <w14:schemeClr w14:val="tx1">
                                            <w14:lumMod w14:val="95000"/>
                                            <w14:lumOff w14:val="5000"/>
                                          </w14:schemeClr>
                                        </w14:solidFill>
                                      </w14:textFill>
                                    </w:rPr>
                                  </m:ctrlPr>
                                </m:sSubPr>
                                <m:e>
                                  <m:r>
                                    <m:rPr/>
                                    <w:rPr>
                                      <w:rFonts w:ascii="Cambria Math" w:hAnsi="Cambria Math" w:cs="Times New Roman"/>
                                      <w:color w:val="0D0D0D" w:themeColor="text1" w:themeTint="F2"/>
                                      <w14:textFill>
                                        <w14:solidFill>
                                          <w14:schemeClr w14:val="tx1">
                                            <w14:lumMod w14:val="95000"/>
                                            <w14:lumOff w14:val="5000"/>
                                          </w14:schemeClr>
                                        </w14:solidFill>
                                      </w14:textFill>
                                    </w:rPr>
                                    <m:t>t</m:t>
                                  </m:r>
                                  <m:ctrlPr>
                                    <w:rPr>
                                      <w:rFonts w:ascii="Cambria Math" w:hAnsi="Cambria Math" w:cs="Times New Roman"/>
                                      <w:i/>
                                      <w:color w:val="0D0D0D" w:themeColor="text1" w:themeTint="F2"/>
                                      <w14:textFill>
                                        <w14:solidFill>
                                          <w14:schemeClr w14:val="tx1">
                                            <w14:lumMod w14:val="95000"/>
                                            <w14:lumOff w14:val="5000"/>
                                          </w14:schemeClr>
                                        </w14:solidFill>
                                      </w14:textFill>
                                    </w:rPr>
                                  </m:ctrlPr>
                                </m:e>
                                <m:sub>
                                  <m:r>
                                    <m:rPr/>
                                    <w:rPr>
                                      <w:rFonts w:ascii="Cambria Math" w:hAnsi="Cambria Math" w:cs="Times New Roman"/>
                                      <w:color w:val="0D0D0D" w:themeColor="text1" w:themeTint="F2"/>
                                      <w14:textFill>
                                        <w14:solidFill>
                                          <w14:schemeClr w14:val="tx1">
                                            <w14:lumMod w14:val="95000"/>
                                            <w14:lumOff w14:val="5000"/>
                                          </w14:schemeClr>
                                        </w14:solidFill>
                                      </w14:textFill>
                                    </w:rPr>
                                    <m:t>j</m:t>
                                  </m:r>
                                  <m:ctrlPr>
                                    <w:rPr>
                                      <w:rFonts w:ascii="Cambria Math" w:hAnsi="Cambria Math" w:cs="Times New Roman"/>
                                      <w:i/>
                                      <w:color w:val="0D0D0D" w:themeColor="text1" w:themeTint="F2"/>
                                      <w14:textFill>
                                        <w14:solidFill>
                                          <w14:schemeClr w14:val="tx1">
                                            <w14:lumMod w14:val="95000"/>
                                            <w14:lumOff w14:val="5000"/>
                                          </w14:schemeClr>
                                        </w14:solidFill>
                                      </w14:textFill>
                                    </w:rPr>
                                  </m:ctrlPr>
                                </m:sub>
                              </m:sSub>
                              <m:r>
                                <m:rPr/>
                                <w:rPr>
                                  <w:rFonts w:ascii="Cambria Math" w:hAnsi="Cambria Math" w:cs="Times New Roman"/>
                                  <w:color w:val="0D0D0D" w:themeColor="text1" w:themeTint="F2"/>
                                  <w14:textFill>
                                    <w14:solidFill>
                                      <w14:schemeClr w14:val="tx1">
                                        <w14:lumMod w14:val="95000"/>
                                        <w14:lumOff w14:val="5000"/>
                                      </w14:schemeClr>
                                    </w14:solidFill>
                                  </w14:textFill>
                                </w:rPr>
                                <m:t>10</m:t>
                              </m:r>
                              <m:ctrlPr>
                                <w:rPr>
                                  <w:rFonts w:ascii="Cambria Math" w:hAnsi="Cambria Math" w:cs="Times New Roman"/>
                                  <w:i/>
                                  <w:color w:val="0D0D0D" w:themeColor="text1" w:themeTint="F2"/>
                                  <w14:textFill>
                                    <w14:solidFill>
                                      <w14:schemeClr w14:val="tx1">
                                        <w14:lumMod w14:val="95000"/>
                                        <w14:lumOff w14:val="5000"/>
                                      </w14:schemeClr>
                                    </w14:solidFill>
                                  </w14:textFill>
                                </w:rPr>
                              </m:ctrlPr>
                            </m:e>
                            <m:sup>
                              <m:r>
                                <m:rPr/>
                                <w:rPr>
                                  <w:rFonts w:ascii="Cambria Math" w:hAnsi="Cambria Math" w:cs="Times New Roman"/>
                                  <w:color w:val="0D0D0D" w:themeColor="text1" w:themeTint="F2"/>
                                  <w14:textFill>
                                    <w14:solidFill>
                                      <w14:schemeClr w14:val="tx1">
                                        <w14:lumMod w14:val="95000"/>
                                        <w14:lumOff w14:val="5000"/>
                                      </w14:schemeClr>
                                    </w14:solidFill>
                                  </w14:textFill>
                                </w:rPr>
                                <m:t>0.1</m:t>
                              </m:r>
                              <m:sSub>
                                <m:sSubPr>
                                  <m:ctrlPr>
                                    <w:rPr>
                                      <w:rFonts w:ascii="Cambria Math" w:hAnsi="Cambria Math" w:cs="Times New Roman"/>
                                      <w:i/>
                                      <w:color w:val="0D0D0D" w:themeColor="text1" w:themeTint="F2"/>
                                      <w14:textFill>
                                        <w14:solidFill>
                                          <w14:schemeClr w14:val="tx1">
                                            <w14:lumMod w14:val="95000"/>
                                            <w14:lumOff w14:val="5000"/>
                                          </w14:schemeClr>
                                        </w14:solidFill>
                                      </w14:textFill>
                                    </w:rPr>
                                  </m:ctrlPr>
                                </m:sSubPr>
                                <m:e>
                                  <m:r>
                                    <m:rPr/>
                                    <w:rPr>
                                      <w:rFonts w:ascii="Cambria Math" w:hAnsi="Cambria Math" w:cs="Times New Roman"/>
                                      <w:color w:val="0D0D0D" w:themeColor="text1" w:themeTint="F2"/>
                                      <w14:textFill>
                                        <w14:solidFill>
                                          <w14:schemeClr w14:val="tx1">
                                            <w14:lumMod w14:val="95000"/>
                                            <w14:lumOff w14:val="5000"/>
                                          </w14:schemeClr>
                                        </w14:solidFill>
                                      </w14:textFill>
                                    </w:rPr>
                                    <m:t>L</m:t>
                                  </m:r>
                                  <m:ctrlPr>
                                    <w:rPr>
                                      <w:rFonts w:ascii="Cambria Math" w:hAnsi="Cambria Math" w:cs="Times New Roman"/>
                                      <w:i/>
                                      <w:color w:val="0D0D0D" w:themeColor="text1" w:themeTint="F2"/>
                                      <w14:textFill>
                                        <w14:solidFill>
                                          <w14:schemeClr w14:val="tx1">
                                            <w14:lumMod w14:val="95000"/>
                                            <w14:lumOff w14:val="5000"/>
                                          </w14:schemeClr>
                                        </w14:solidFill>
                                      </w14:textFill>
                                    </w:rPr>
                                  </m:ctrlPr>
                                </m:e>
                                <m:sub>
                                  <m:r>
                                    <m:rPr/>
                                    <w:rPr>
                                      <w:rFonts w:ascii="Cambria Math" w:hAnsi="Cambria Math" w:cs="Times New Roman"/>
                                      <w:color w:val="0D0D0D" w:themeColor="text1" w:themeTint="F2"/>
                                      <w14:textFill>
                                        <w14:solidFill>
                                          <w14:schemeClr w14:val="tx1">
                                            <w14:lumMod w14:val="95000"/>
                                            <w14:lumOff w14:val="5000"/>
                                          </w14:schemeClr>
                                        </w14:solidFill>
                                      </w14:textFill>
                                    </w:rPr>
                                    <m:t>Aj</m:t>
                                  </m:r>
                                  <m:ctrlPr>
                                    <w:rPr>
                                      <w:rFonts w:ascii="Cambria Math" w:hAnsi="Cambria Math" w:cs="Times New Roman"/>
                                      <w:i/>
                                      <w:color w:val="0D0D0D" w:themeColor="text1" w:themeTint="F2"/>
                                      <w14:textFill>
                                        <w14:solidFill>
                                          <w14:schemeClr w14:val="tx1">
                                            <w14:lumMod w14:val="95000"/>
                                            <w14:lumOff w14:val="5000"/>
                                          </w14:schemeClr>
                                        </w14:solidFill>
                                      </w14:textFill>
                                    </w:rPr>
                                  </m:ctrlPr>
                                </m:sub>
                              </m:sSub>
                              <m:ctrlPr>
                                <w:rPr>
                                  <w:rFonts w:ascii="Cambria Math" w:hAnsi="Cambria Math" w:cs="Times New Roman"/>
                                  <w:i/>
                                  <w:color w:val="0D0D0D" w:themeColor="text1" w:themeTint="F2"/>
                                  <w14:textFill>
                                    <w14:solidFill>
                                      <w14:schemeClr w14:val="tx1">
                                        <w14:lumMod w14:val="95000"/>
                                        <w14:lumOff w14:val="5000"/>
                                      </w14:schemeClr>
                                    </w14:solidFill>
                                  </w14:textFill>
                                </w:rPr>
                              </m:ctrlPr>
                            </m:sup>
                          </m:sSup>
                          <m:ctrlPr>
                            <w:rPr>
                              <w:rFonts w:ascii="Cambria Math" w:hAnsi="Cambria Math" w:cs="Times New Roman"/>
                              <w:i/>
                              <w:color w:val="0D0D0D" w:themeColor="text1" w:themeTint="F2"/>
                              <w14:textFill>
                                <w14:solidFill>
                                  <w14:schemeClr w14:val="tx1">
                                    <w14:lumMod w14:val="95000"/>
                                    <w14:lumOff w14:val="5000"/>
                                  </w14:schemeClr>
                                </w14:solidFill>
                              </w14:textFill>
                            </w:rPr>
                          </m:ctrlPr>
                        </m:e>
                      </m:nary>
                      <m:ctrlPr>
                        <w:rPr>
                          <w:rFonts w:ascii="Cambria Math" w:hAnsi="Cambria Math" w:cs="Times New Roman"/>
                          <w:i/>
                          <w:color w:val="0D0D0D" w:themeColor="text1" w:themeTint="F2"/>
                          <w14:textFill>
                            <w14:solidFill>
                              <w14:schemeClr w14:val="tx1">
                                <w14:lumMod w14:val="95000"/>
                                <w14:lumOff w14:val="5000"/>
                              </w14:schemeClr>
                            </w14:solidFill>
                          </w14:textFill>
                        </w:rPr>
                      </m:ctrlPr>
                    </m:e>
                  </m:d>
                  <m:ctrlPr>
                    <w:rPr>
                      <w:rFonts w:ascii="Cambria Math" w:hAnsi="Cambria Math" w:cs="Times New Roman"/>
                      <w:i/>
                      <w:color w:val="0D0D0D" w:themeColor="text1" w:themeTint="F2"/>
                      <w14:textFill>
                        <w14:solidFill>
                          <w14:schemeClr w14:val="tx1">
                            <w14:lumMod w14:val="95000"/>
                            <w14:lumOff w14:val="5000"/>
                          </w14:schemeClr>
                        </w14:solidFill>
                      </w14:textFill>
                    </w:rPr>
                  </m:ctrlPr>
                </m:e>
              </m:d>
              <m:ctrlPr>
                <w:rPr>
                  <w:rFonts w:ascii="Cambria Math" w:hAnsi="Cambria Math" w:cs="Times New Roman"/>
                  <w:i/>
                  <w:color w:val="0D0D0D" w:themeColor="text1" w:themeTint="F2"/>
                  <w14:textFill>
                    <w14:solidFill>
                      <w14:schemeClr w14:val="tx1">
                        <w14:lumMod w14:val="95000"/>
                        <w14:lumOff w14:val="5000"/>
                      </w14:schemeClr>
                    </w14:solidFill>
                  </w14:textFill>
                </w:rPr>
              </m:ctrlPr>
            </m:e>
          </m:func>
        </m:oMath>
      </m:oMathPara>
    </w:p>
    <w:p w14:paraId="51F288A9">
      <w:pPr>
        <w:ind w:firstLine="480" w:firstLineChars="200"/>
        <w:rPr>
          <w:color w:val="0D0D0D" w:themeColor="text1" w:themeTint="F2"/>
          <w:szCs w:val="24"/>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式</w:t>
      </w:r>
      <w:r>
        <w:rPr>
          <w:color w:val="0D0D0D" w:themeColor="text1" w:themeTint="F2"/>
          <w:szCs w:val="24"/>
          <w14:textFill>
            <w14:solidFill>
              <w14:schemeClr w14:val="tx1">
                <w14:lumMod w14:val="95000"/>
                <w14:lumOff w14:val="5000"/>
              </w14:schemeClr>
            </w14:solidFill>
          </w14:textFill>
        </w:rPr>
        <w:t>中：</w:t>
      </w:r>
    </w:p>
    <w:p w14:paraId="6071AC9C">
      <w:pPr>
        <w:ind w:firstLine="480" w:firstLineChars="200"/>
        <w:rPr>
          <w:color w:val="0D0D0D" w:themeColor="text1" w:themeTint="F2"/>
          <w:szCs w:val="24"/>
          <w14:textFill>
            <w14:solidFill>
              <w14:schemeClr w14:val="tx1">
                <w14:lumMod w14:val="95000"/>
                <w14:lumOff w14:val="5000"/>
              </w14:schemeClr>
            </w14:solidFill>
          </w14:textFill>
        </w:rPr>
      </w:pPr>
      <w:r>
        <w:rPr>
          <w:color w:val="0D0D0D" w:themeColor="text1" w:themeTint="F2"/>
          <w:szCs w:val="24"/>
          <w14:textFill>
            <w14:solidFill>
              <w14:schemeClr w14:val="tx1">
                <w14:lumMod w14:val="95000"/>
                <w14:lumOff w14:val="5000"/>
              </w14:schemeClr>
            </w14:solidFill>
          </w14:textFill>
        </w:rPr>
        <w:t>L</w:t>
      </w:r>
      <w:r>
        <w:rPr>
          <w:color w:val="0D0D0D" w:themeColor="text1" w:themeTint="F2"/>
          <w:szCs w:val="24"/>
          <w:vertAlign w:val="subscript"/>
          <w14:textFill>
            <w14:solidFill>
              <w14:schemeClr w14:val="tx1">
                <w14:lumMod w14:val="95000"/>
                <w14:lumOff w14:val="5000"/>
              </w14:schemeClr>
            </w14:solidFill>
          </w14:textFill>
        </w:rPr>
        <w:t>eqg</w:t>
      </w:r>
      <w:r>
        <w:rPr>
          <w:rFonts w:hint="eastAsia" w:cs="Times New Roman"/>
          <w:color w:val="0D0D0D" w:themeColor="text1" w:themeTint="F2"/>
          <w14:textFill>
            <w14:solidFill>
              <w14:schemeClr w14:val="tx1">
                <w14:lumMod w14:val="95000"/>
                <w14:lumOff w14:val="5000"/>
              </w14:schemeClr>
            </w14:solidFill>
          </w14:textFill>
        </w:rPr>
        <w:t>——</w:t>
      </w:r>
      <w:r>
        <w:rPr>
          <w:color w:val="0D0D0D" w:themeColor="text1" w:themeTint="F2"/>
          <w:szCs w:val="24"/>
          <w14:textFill>
            <w14:solidFill>
              <w14:schemeClr w14:val="tx1">
                <w14:lumMod w14:val="95000"/>
                <w14:lumOff w14:val="5000"/>
              </w14:schemeClr>
            </w14:solidFill>
          </w14:textFill>
        </w:rPr>
        <w:t>建设项目声源在预测点产生的噪声贡献值，dB；</w:t>
      </w:r>
    </w:p>
    <w:p w14:paraId="03F7C81F">
      <w:pPr>
        <w:ind w:firstLine="480" w:firstLineChars="200"/>
        <w:rPr>
          <w:color w:val="0D0D0D" w:themeColor="text1" w:themeTint="F2"/>
          <w:szCs w:val="24"/>
          <w14:textFill>
            <w14:solidFill>
              <w14:schemeClr w14:val="tx1">
                <w14:lumMod w14:val="95000"/>
                <w14:lumOff w14:val="5000"/>
              </w14:schemeClr>
            </w14:solidFill>
          </w14:textFill>
        </w:rPr>
      </w:pPr>
      <w:r>
        <w:rPr>
          <w:color w:val="0D0D0D" w:themeColor="text1" w:themeTint="F2"/>
          <w:szCs w:val="24"/>
          <w14:textFill>
            <w14:solidFill>
              <w14:schemeClr w14:val="tx1">
                <w14:lumMod w14:val="95000"/>
                <w14:lumOff w14:val="5000"/>
              </w14:schemeClr>
            </w14:solidFill>
          </w14:textFill>
        </w:rPr>
        <w:t>T</w:t>
      </w:r>
      <w:r>
        <w:rPr>
          <w:rFonts w:hint="eastAsia" w:cs="Times New Roman"/>
          <w:color w:val="0D0D0D" w:themeColor="text1" w:themeTint="F2"/>
          <w14:textFill>
            <w14:solidFill>
              <w14:schemeClr w14:val="tx1">
                <w14:lumMod w14:val="95000"/>
                <w14:lumOff w14:val="5000"/>
              </w14:schemeClr>
            </w14:solidFill>
          </w14:textFill>
        </w:rPr>
        <w:t>——</w:t>
      </w:r>
      <w:r>
        <w:rPr>
          <w:color w:val="0D0D0D" w:themeColor="text1" w:themeTint="F2"/>
          <w:szCs w:val="24"/>
          <w14:textFill>
            <w14:solidFill>
              <w14:schemeClr w14:val="tx1">
                <w14:lumMod w14:val="95000"/>
                <w14:lumOff w14:val="5000"/>
              </w14:schemeClr>
            </w14:solidFill>
          </w14:textFill>
        </w:rPr>
        <w:t>用于计算等效声级的时间，s；</w:t>
      </w:r>
    </w:p>
    <w:p w14:paraId="53C512DF">
      <w:pPr>
        <w:ind w:firstLine="480" w:firstLineChars="200"/>
        <w:rPr>
          <w:color w:val="0D0D0D" w:themeColor="text1" w:themeTint="F2"/>
          <w:szCs w:val="24"/>
          <w14:textFill>
            <w14:solidFill>
              <w14:schemeClr w14:val="tx1">
                <w14:lumMod w14:val="95000"/>
                <w14:lumOff w14:val="5000"/>
              </w14:schemeClr>
            </w14:solidFill>
          </w14:textFill>
        </w:rPr>
      </w:pPr>
      <w:r>
        <w:rPr>
          <w:color w:val="0D0D0D" w:themeColor="text1" w:themeTint="F2"/>
          <w:szCs w:val="24"/>
          <w14:textFill>
            <w14:solidFill>
              <w14:schemeClr w14:val="tx1">
                <w14:lumMod w14:val="95000"/>
                <w14:lumOff w14:val="5000"/>
              </w14:schemeClr>
            </w14:solidFill>
          </w14:textFill>
        </w:rPr>
        <w:t>N</w:t>
      </w:r>
      <w:r>
        <w:rPr>
          <w:rFonts w:hint="eastAsia" w:cs="Times New Roman"/>
          <w:color w:val="0D0D0D" w:themeColor="text1" w:themeTint="F2"/>
          <w14:textFill>
            <w14:solidFill>
              <w14:schemeClr w14:val="tx1">
                <w14:lumMod w14:val="95000"/>
                <w14:lumOff w14:val="5000"/>
              </w14:schemeClr>
            </w14:solidFill>
          </w14:textFill>
        </w:rPr>
        <w:t>——</w:t>
      </w:r>
      <w:r>
        <w:rPr>
          <w:color w:val="0D0D0D" w:themeColor="text1" w:themeTint="F2"/>
          <w:szCs w:val="24"/>
          <w14:textFill>
            <w14:solidFill>
              <w14:schemeClr w14:val="tx1">
                <w14:lumMod w14:val="95000"/>
                <w14:lumOff w14:val="5000"/>
              </w14:schemeClr>
            </w14:solidFill>
          </w14:textFill>
        </w:rPr>
        <w:t>室外声源个数；</w:t>
      </w:r>
    </w:p>
    <w:p w14:paraId="4A71C509">
      <w:pPr>
        <w:ind w:firstLine="480" w:firstLineChars="200"/>
        <w:rPr>
          <w:color w:val="0D0D0D" w:themeColor="text1" w:themeTint="F2"/>
          <w:szCs w:val="24"/>
          <w14:textFill>
            <w14:solidFill>
              <w14:schemeClr w14:val="tx1">
                <w14:lumMod w14:val="95000"/>
                <w14:lumOff w14:val="5000"/>
              </w14:schemeClr>
            </w14:solidFill>
          </w14:textFill>
        </w:rPr>
      </w:pPr>
      <w:r>
        <w:rPr>
          <w:color w:val="0D0D0D" w:themeColor="text1" w:themeTint="F2"/>
          <w:szCs w:val="24"/>
          <w14:textFill>
            <w14:solidFill>
              <w14:schemeClr w14:val="tx1">
                <w14:lumMod w14:val="95000"/>
                <w14:lumOff w14:val="5000"/>
              </w14:schemeClr>
            </w14:solidFill>
          </w14:textFill>
        </w:rPr>
        <w:t>t</w:t>
      </w:r>
      <w:r>
        <w:rPr>
          <w:color w:val="0D0D0D" w:themeColor="text1" w:themeTint="F2"/>
          <w:szCs w:val="24"/>
          <w:vertAlign w:val="subscript"/>
          <w14:textFill>
            <w14:solidFill>
              <w14:schemeClr w14:val="tx1">
                <w14:lumMod w14:val="95000"/>
                <w14:lumOff w14:val="5000"/>
              </w14:schemeClr>
            </w14:solidFill>
          </w14:textFill>
        </w:rPr>
        <w:t>i</w:t>
      </w:r>
      <w:r>
        <w:rPr>
          <w:rFonts w:hint="eastAsia" w:cs="Times New Roman"/>
          <w:color w:val="0D0D0D" w:themeColor="text1" w:themeTint="F2"/>
          <w14:textFill>
            <w14:solidFill>
              <w14:schemeClr w14:val="tx1">
                <w14:lumMod w14:val="95000"/>
                <w14:lumOff w14:val="5000"/>
              </w14:schemeClr>
            </w14:solidFill>
          </w14:textFill>
        </w:rPr>
        <w:t>——</w:t>
      </w:r>
      <w:r>
        <w:rPr>
          <w:color w:val="0D0D0D" w:themeColor="text1" w:themeTint="F2"/>
          <w:szCs w:val="24"/>
          <w14:textFill>
            <w14:solidFill>
              <w14:schemeClr w14:val="tx1">
                <w14:lumMod w14:val="95000"/>
                <w14:lumOff w14:val="5000"/>
              </w14:schemeClr>
            </w14:solidFill>
          </w14:textFill>
        </w:rPr>
        <w:t>在T时间内i声源工作时间，s；</w:t>
      </w:r>
    </w:p>
    <w:p w14:paraId="09A0C3D0">
      <w:pPr>
        <w:ind w:firstLine="480" w:firstLineChars="200"/>
        <w:rPr>
          <w:color w:val="0D0D0D" w:themeColor="text1" w:themeTint="F2"/>
          <w:szCs w:val="24"/>
          <w14:textFill>
            <w14:solidFill>
              <w14:schemeClr w14:val="tx1">
                <w14:lumMod w14:val="95000"/>
                <w14:lumOff w14:val="5000"/>
              </w14:schemeClr>
            </w14:solidFill>
          </w14:textFill>
        </w:rPr>
      </w:pPr>
      <w:r>
        <w:rPr>
          <w:color w:val="0D0D0D" w:themeColor="text1" w:themeTint="F2"/>
          <w:szCs w:val="24"/>
          <w14:textFill>
            <w14:solidFill>
              <w14:schemeClr w14:val="tx1">
                <w14:lumMod w14:val="95000"/>
                <w14:lumOff w14:val="5000"/>
              </w14:schemeClr>
            </w14:solidFill>
          </w14:textFill>
        </w:rPr>
        <w:t>M</w:t>
      </w:r>
      <w:r>
        <w:rPr>
          <w:rFonts w:hint="eastAsia" w:cs="Times New Roman"/>
          <w:color w:val="0D0D0D" w:themeColor="text1" w:themeTint="F2"/>
          <w14:textFill>
            <w14:solidFill>
              <w14:schemeClr w14:val="tx1">
                <w14:lumMod w14:val="95000"/>
                <w14:lumOff w14:val="5000"/>
              </w14:schemeClr>
            </w14:solidFill>
          </w14:textFill>
        </w:rPr>
        <w:t>——</w:t>
      </w:r>
      <w:r>
        <w:rPr>
          <w:color w:val="0D0D0D" w:themeColor="text1" w:themeTint="F2"/>
          <w:szCs w:val="24"/>
          <w14:textFill>
            <w14:solidFill>
              <w14:schemeClr w14:val="tx1">
                <w14:lumMod w14:val="95000"/>
                <w14:lumOff w14:val="5000"/>
              </w14:schemeClr>
            </w14:solidFill>
          </w14:textFill>
        </w:rPr>
        <w:t>等效室外声源个数</w:t>
      </w:r>
      <w:r>
        <w:rPr>
          <w:rFonts w:hint="eastAsia"/>
          <w:color w:val="0D0D0D" w:themeColor="text1" w:themeTint="F2"/>
          <w:szCs w:val="24"/>
          <w14:textFill>
            <w14:solidFill>
              <w14:schemeClr w14:val="tx1">
                <w14:lumMod w14:val="95000"/>
                <w14:lumOff w14:val="5000"/>
              </w14:schemeClr>
            </w14:solidFill>
          </w14:textFill>
        </w:rPr>
        <w:t>；</w:t>
      </w:r>
    </w:p>
    <w:p w14:paraId="7784B85C">
      <w:pPr>
        <w:ind w:firstLine="480" w:firstLineChars="200"/>
        <w:rPr>
          <w:color w:val="0D0D0D" w:themeColor="text1" w:themeTint="F2"/>
          <w:szCs w:val="24"/>
          <w14:textFill>
            <w14:solidFill>
              <w14:schemeClr w14:val="tx1">
                <w14:lumMod w14:val="95000"/>
                <w14:lumOff w14:val="5000"/>
              </w14:schemeClr>
            </w14:solidFill>
          </w14:textFill>
        </w:rPr>
      </w:pPr>
      <w:r>
        <w:rPr>
          <w:color w:val="0D0D0D" w:themeColor="text1" w:themeTint="F2"/>
          <w:szCs w:val="24"/>
          <w14:textFill>
            <w14:solidFill>
              <w14:schemeClr w14:val="tx1">
                <w14:lumMod w14:val="95000"/>
                <w14:lumOff w14:val="5000"/>
              </w14:schemeClr>
            </w14:solidFill>
          </w14:textFill>
        </w:rPr>
        <w:t>t</w:t>
      </w:r>
      <w:r>
        <w:rPr>
          <w:color w:val="0D0D0D" w:themeColor="text1" w:themeTint="F2"/>
          <w:szCs w:val="24"/>
          <w:vertAlign w:val="subscript"/>
          <w14:textFill>
            <w14:solidFill>
              <w14:schemeClr w14:val="tx1">
                <w14:lumMod w14:val="95000"/>
                <w14:lumOff w14:val="5000"/>
              </w14:schemeClr>
            </w14:solidFill>
          </w14:textFill>
        </w:rPr>
        <w:t>j</w:t>
      </w:r>
      <w:r>
        <w:rPr>
          <w:rFonts w:hint="eastAsia" w:cs="Times New Roman"/>
          <w:color w:val="0D0D0D" w:themeColor="text1" w:themeTint="F2"/>
          <w14:textFill>
            <w14:solidFill>
              <w14:schemeClr w14:val="tx1">
                <w14:lumMod w14:val="95000"/>
                <w14:lumOff w14:val="5000"/>
              </w14:schemeClr>
            </w14:solidFill>
          </w14:textFill>
        </w:rPr>
        <w:t>——</w:t>
      </w:r>
      <w:r>
        <w:rPr>
          <w:color w:val="0D0D0D" w:themeColor="text1" w:themeTint="F2"/>
          <w:szCs w:val="24"/>
          <w14:textFill>
            <w14:solidFill>
              <w14:schemeClr w14:val="tx1">
                <w14:lumMod w14:val="95000"/>
                <w14:lumOff w14:val="5000"/>
              </w14:schemeClr>
            </w14:solidFill>
          </w14:textFill>
        </w:rPr>
        <w:t>在T时间内j声源工作时间，s</w:t>
      </w:r>
      <w:r>
        <w:rPr>
          <w:rFonts w:hint="eastAsia"/>
          <w:color w:val="0D0D0D" w:themeColor="text1" w:themeTint="F2"/>
          <w:szCs w:val="24"/>
          <w14:textFill>
            <w14:solidFill>
              <w14:schemeClr w14:val="tx1">
                <w14:lumMod w14:val="95000"/>
                <w14:lumOff w14:val="5000"/>
              </w14:schemeClr>
            </w14:solidFill>
          </w14:textFill>
        </w:rPr>
        <w:t>。</w:t>
      </w:r>
    </w:p>
    <w:p w14:paraId="68285AB1">
      <w:pPr>
        <w:pStyle w:val="9"/>
      </w:pPr>
      <w:bookmarkStart w:id="180" w:name="_Toc204062643"/>
      <w:r>
        <w:rPr>
          <w:rFonts w:hint="eastAsia"/>
        </w:rPr>
        <w:t>预测结果</w:t>
      </w:r>
      <w:bookmarkEnd w:id="180"/>
    </w:p>
    <w:p w14:paraId="0A1F70F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项目厂界噪声贡献值预测结果详见表5.5-4，噪声等值线见图5.5-1。</w:t>
      </w:r>
    </w:p>
    <w:p w14:paraId="3B63519A">
      <w:pPr>
        <w:widowControl/>
        <w:spacing w:line="240" w:lineRule="auto"/>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14:paraId="77027488">
      <w:pPr>
        <w:pStyle w:val="11"/>
      </w:pPr>
      <w:r>
        <w:rPr>
          <w:rFonts w:hint="eastAsia"/>
        </w:rPr>
        <w:t xml:space="preserve"> 厂界贡献值预测一览表   单位：dB(A)</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1129"/>
        <w:gridCol w:w="1129"/>
        <w:gridCol w:w="1057"/>
        <w:gridCol w:w="830"/>
        <w:gridCol w:w="1105"/>
        <w:gridCol w:w="1106"/>
        <w:gridCol w:w="1380"/>
      </w:tblGrid>
      <w:tr w14:paraId="6469B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15" w:type="pct"/>
            <w:vMerge w:val="restart"/>
            <w:vAlign w:val="center"/>
          </w:tcPr>
          <w:p w14:paraId="5376969F">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预测点</w:t>
            </w:r>
          </w:p>
        </w:tc>
        <w:tc>
          <w:tcPr>
            <w:tcW w:w="1794" w:type="pct"/>
            <w:gridSpan w:val="3"/>
            <w:vAlign w:val="center"/>
          </w:tcPr>
          <w:p w14:paraId="077D3C04">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最大值点空间相对位置</w:t>
            </w:r>
            <w:r>
              <w:rPr>
                <w:color w:val="0D0D0D" w:themeColor="text1" w:themeTint="F2"/>
                <w:sz w:val="21"/>
                <w14:textFill>
                  <w14:solidFill>
                    <w14:schemeClr w14:val="tx1">
                      <w14:lumMod w14:val="95000"/>
                      <w14:lumOff w14:val="5000"/>
                    </w14:schemeClr>
                  </w14:solidFill>
                </w14:textFill>
              </w:rPr>
              <w:t>/m</w:t>
            </w:r>
          </w:p>
        </w:tc>
        <w:tc>
          <w:tcPr>
            <w:tcW w:w="449" w:type="pct"/>
            <w:vMerge w:val="restart"/>
            <w:vAlign w:val="center"/>
          </w:tcPr>
          <w:p w14:paraId="6A74084B">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时段</w:t>
            </w:r>
          </w:p>
        </w:tc>
        <w:tc>
          <w:tcPr>
            <w:tcW w:w="598" w:type="pct"/>
            <w:vMerge w:val="restart"/>
            <w:vAlign w:val="center"/>
          </w:tcPr>
          <w:p w14:paraId="006F10D9">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贡献值</w:t>
            </w:r>
          </w:p>
        </w:tc>
        <w:tc>
          <w:tcPr>
            <w:tcW w:w="598" w:type="pct"/>
            <w:vMerge w:val="restart"/>
            <w:vAlign w:val="center"/>
          </w:tcPr>
          <w:p w14:paraId="3FE60204">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标准值</w:t>
            </w:r>
          </w:p>
        </w:tc>
        <w:tc>
          <w:tcPr>
            <w:tcW w:w="746" w:type="pct"/>
            <w:vMerge w:val="restart"/>
            <w:vAlign w:val="center"/>
          </w:tcPr>
          <w:p w14:paraId="75E81B3C">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达标情况</w:t>
            </w:r>
          </w:p>
        </w:tc>
      </w:tr>
      <w:tr w14:paraId="55244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pct"/>
            <w:vMerge w:val="continue"/>
            <w:vAlign w:val="center"/>
          </w:tcPr>
          <w:p w14:paraId="45F39879">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611" w:type="pct"/>
            <w:vAlign w:val="center"/>
          </w:tcPr>
          <w:p w14:paraId="2D2D3E36">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X</w:t>
            </w:r>
          </w:p>
        </w:tc>
        <w:tc>
          <w:tcPr>
            <w:tcW w:w="611" w:type="pct"/>
            <w:vAlign w:val="center"/>
          </w:tcPr>
          <w:p w14:paraId="3BB878CE">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Y</w:t>
            </w:r>
          </w:p>
        </w:tc>
        <w:tc>
          <w:tcPr>
            <w:tcW w:w="572" w:type="pct"/>
            <w:vAlign w:val="center"/>
          </w:tcPr>
          <w:p w14:paraId="2EFF52D9">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Z</w:t>
            </w:r>
          </w:p>
        </w:tc>
        <w:tc>
          <w:tcPr>
            <w:tcW w:w="449" w:type="pct"/>
            <w:vMerge w:val="continue"/>
            <w:vAlign w:val="center"/>
          </w:tcPr>
          <w:p w14:paraId="141A2AC6">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598" w:type="pct"/>
            <w:vMerge w:val="continue"/>
            <w:vAlign w:val="center"/>
          </w:tcPr>
          <w:p w14:paraId="4AE79C89">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598" w:type="pct"/>
            <w:vMerge w:val="continue"/>
            <w:vAlign w:val="center"/>
          </w:tcPr>
          <w:p w14:paraId="326D0CDC">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746" w:type="pct"/>
            <w:vMerge w:val="continue"/>
            <w:vAlign w:val="center"/>
          </w:tcPr>
          <w:p w14:paraId="1C932CA4">
            <w:pPr>
              <w:spacing w:line="240" w:lineRule="auto"/>
              <w:jc w:val="center"/>
              <w:rPr>
                <w:color w:val="0D0D0D" w:themeColor="text1" w:themeTint="F2"/>
                <w:sz w:val="21"/>
                <w14:textFill>
                  <w14:solidFill>
                    <w14:schemeClr w14:val="tx1">
                      <w14:lumMod w14:val="95000"/>
                      <w14:lumOff w14:val="5000"/>
                    </w14:schemeClr>
                  </w14:solidFill>
                </w14:textFill>
              </w:rPr>
            </w:pPr>
          </w:p>
        </w:tc>
      </w:tr>
      <w:tr w14:paraId="65D8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pct"/>
            <w:vMerge w:val="restart"/>
            <w:vAlign w:val="center"/>
          </w:tcPr>
          <w:p w14:paraId="6B893D9E">
            <w:pPr>
              <w:spacing w:line="240" w:lineRule="auto"/>
              <w:jc w:val="center"/>
              <w:rPr>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pacing w:val="12"/>
                <w:sz w:val="21"/>
                <w14:textFill>
                  <w14:solidFill>
                    <w14:schemeClr w14:val="tx1">
                      <w14:lumMod w14:val="95000"/>
                      <w14:lumOff w14:val="5000"/>
                    </w14:schemeClr>
                  </w14:solidFill>
                </w14:textFill>
              </w:rPr>
              <w:t>东侧厂界</w:t>
            </w:r>
          </w:p>
        </w:tc>
        <w:tc>
          <w:tcPr>
            <w:tcW w:w="611" w:type="pct"/>
            <w:vAlign w:val="center"/>
          </w:tcPr>
          <w:p w14:paraId="0B0DC55F">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173.34</w:t>
            </w:r>
          </w:p>
        </w:tc>
        <w:tc>
          <w:tcPr>
            <w:tcW w:w="611" w:type="pct"/>
            <w:vAlign w:val="center"/>
          </w:tcPr>
          <w:p w14:paraId="2A598170">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195.62</w:t>
            </w:r>
          </w:p>
        </w:tc>
        <w:tc>
          <w:tcPr>
            <w:tcW w:w="572" w:type="pct"/>
            <w:vAlign w:val="center"/>
          </w:tcPr>
          <w:p w14:paraId="46C77ACE">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1.2</w:t>
            </w:r>
          </w:p>
        </w:tc>
        <w:tc>
          <w:tcPr>
            <w:tcW w:w="449" w:type="pct"/>
            <w:vAlign w:val="center"/>
          </w:tcPr>
          <w:p w14:paraId="6DBF17DC">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昼间</w:t>
            </w:r>
          </w:p>
        </w:tc>
        <w:tc>
          <w:tcPr>
            <w:tcW w:w="598" w:type="pct"/>
            <w:vAlign w:val="center"/>
          </w:tcPr>
          <w:p w14:paraId="570349C2">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51.0</w:t>
            </w:r>
          </w:p>
        </w:tc>
        <w:tc>
          <w:tcPr>
            <w:tcW w:w="598" w:type="pct"/>
            <w:vAlign w:val="center"/>
          </w:tcPr>
          <w:p w14:paraId="3431749D">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65</w:t>
            </w:r>
          </w:p>
        </w:tc>
        <w:tc>
          <w:tcPr>
            <w:tcW w:w="746" w:type="pct"/>
            <w:vAlign w:val="center"/>
          </w:tcPr>
          <w:p w14:paraId="68537C68">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达标</w:t>
            </w:r>
          </w:p>
        </w:tc>
      </w:tr>
      <w:tr w14:paraId="13A18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pct"/>
            <w:vMerge w:val="continue"/>
            <w:vAlign w:val="center"/>
          </w:tcPr>
          <w:p w14:paraId="3E8C831B">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611" w:type="pct"/>
            <w:vAlign w:val="center"/>
          </w:tcPr>
          <w:p w14:paraId="2F8E6D10">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173.34</w:t>
            </w:r>
          </w:p>
        </w:tc>
        <w:tc>
          <w:tcPr>
            <w:tcW w:w="611" w:type="pct"/>
            <w:vAlign w:val="center"/>
          </w:tcPr>
          <w:p w14:paraId="05FAD8E1">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195.62</w:t>
            </w:r>
          </w:p>
        </w:tc>
        <w:tc>
          <w:tcPr>
            <w:tcW w:w="572" w:type="pct"/>
            <w:vAlign w:val="center"/>
          </w:tcPr>
          <w:p w14:paraId="035EEFF5">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1.2</w:t>
            </w:r>
          </w:p>
        </w:tc>
        <w:tc>
          <w:tcPr>
            <w:tcW w:w="449" w:type="pct"/>
            <w:vAlign w:val="center"/>
          </w:tcPr>
          <w:p w14:paraId="6C2830AA">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夜间</w:t>
            </w:r>
          </w:p>
        </w:tc>
        <w:tc>
          <w:tcPr>
            <w:tcW w:w="598" w:type="pct"/>
            <w:vAlign w:val="center"/>
          </w:tcPr>
          <w:p w14:paraId="5CDFDF78">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51.0</w:t>
            </w:r>
          </w:p>
        </w:tc>
        <w:tc>
          <w:tcPr>
            <w:tcW w:w="598" w:type="pct"/>
            <w:vAlign w:val="center"/>
          </w:tcPr>
          <w:p w14:paraId="138CE639">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55</w:t>
            </w:r>
          </w:p>
        </w:tc>
        <w:tc>
          <w:tcPr>
            <w:tcW w:w="746" w:type="pct"/>
            <w:vAlign w:val="center"/>
          </w:tcPr>
          <w:p w14:paraId="1F68D434">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达标</w:t>
            </w:r>
          </w:p>
        </w:tc>
      </w:tr>
      <w:tr w14:paraId="6FCDD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pct"/>
            <w:vMerge w:val="restart"/>
            <w:vAlign w:val="center"/>
          </w:tcPr>
          <w:p w14:paraId="375AD314">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南</w:t>
            </w:r>
            <w:r>
              <w:rPr>
                <w:rFonts w:cs="Times New Roman"/>
                <w:color w:val="0D0D0D" w:themeColor="text1" w:themeTint="F2"/>
                <w:spacing w:val="12"/>
                <w:sz w:val="21"/>
                <w14:textFill>
                  <w14:solidFill>
                    <w14:schemeClr w14:val="tx1">
                      <w14:lumMod w14:val="95000"/>
                      <w14:lumOff w14:val="5000"/>
                    </w14:schemeClr>
                  </w14:solidFill>
                </w14:textFill>
              </w:rPr>
              <w:t>侧厂界</w:t>
            </w:r>
          </w:p>
        </w:tc>
        <w:tc>
          <w:tcPr>
            <w:tcW w:w="611" w:type="pct"/>
            <w:vAlign w:val="center"/>
          </w:tcPr>
          <w:p w14:paraId="32607637">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35.98</w:t>
            </w:r>
          </w:p>
        </w:tc>
        <w:tc>
          <w:tcPr>
            <w:tcW w:w="611" w:type="pct"/>
            <w:vAlign w:val="center"/>
          </w:tcPr>
          <w:p w14:paraId="39A3EE8D">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-4.51</w:t>
            </w:r>
          </w:p>
        </w:tc>
        <w:tc>
          <w:tcPr>
            <w:tcW w:w="572" w:type="pct"/>
            <w:vAlign w:val="center"/>
          </w:tcPr>
          <w:p w14:paraId="61037781">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1.2</w:t>
            </w:r>
          </w:p>
        </w:tc>
        <w:tc>
          <w:tcPr>
            <w:tcW w:w="449" w:type="pct"/>
            <w:vAlign w:val="center"/>
          </w:tcPr>
          <w:p w14:paraId="5D0C795C">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昼间</w:t>
            </w:r>
          </w:p>
        </w:tc>
        <w:tc>
          <w:tcPr>
            <w:tcW w:w="598" w:type="pct"/>
            <w:vAlign w:val="center"/>
          </w:tcPr>
          <w:p w14:paraId="4298B509">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42.0</w:t>
            </w:r>
          </w:p>
        </w:tc>
        <w:tc>
          <w:tcPr>
            <w:tcW w:w="598" w:type="pct"/>
            <w:vAlign w:val="center"/>
          </w:tcPr>
          <w:p w14:paraId="7765E259">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65</w:t>
            </w:r>
          </w:p>
        </w:tc>
        <w:tc>
          <w:tcPr>
            <w:tcW w:w="746" w:type="pct"/>
            <w:vAlign w:val="center"/>
          </w:tcPr>
          <w:p w14:paraId="1AA9667F">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达标</w:t>
            </w:r>
          </w:p>
        </w:tc>
      </w:tr>
      <w:tr w14:paraId="6F8E1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pct"/>
            <w:vMerge w:val="continue"/>
            <w:vAlign w:val="center"/>
          </w:tcPr>
          <w:p w14:paraId="47517FF6">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611" w:type="pct"/>
            <w:vAlign w:val="center"/>
          </w:tcPr>
          <w:p w14:paraId="1CA6E500">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35.98</w:t>
            </w:r>
          </w:p>
        </w:tc>
        <w:tc>
          <w:tcPr>
            <w:tcW w:w="611" w:type="pct"/>
            <w:vAlign w:val="center"/>
          </w:tcPr>
          <w:p w14:paraId="49ABE24D">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-4.51</w:t>
            </w:r>
          </w:p>
        </w:tc>
        <w:tc>
          <w:tcPr>
            <w:tcW w:w="572" w:type="pct"/>
            <w:vAlign w:val="center"/>
          </w:tcPr>
          <w:p w14:paraId="621591BE">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1.2</w:t>
            </w:r>
          </w:p>
        </w:tc>
        <w:tc>
          <w:tcPr>
            <w:tcW w:w="449" w:type="pct"/>
            <w:vAlign w:val="center"/>
          </w:tcPr>
          <w:p w14:paraId="708503D5">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夜间</w:t>
            </w:r>
          </w:p>
        </w:tc>
        <w:tc>
          <w:tcPr>
            <w:tcW w:w="598" w:type="pct"/>
            <w:vAlign w:val="center"/>
          </w:tcPr>
          <w:p w14:paraId="39F0EC1A">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42.0</w:t>
            </w:r>
          </w:p>
        </w:tc>
        <w:tc>
          <w:tcPr>
            <w:tcW w:w="598" w:type="pct"/>
            <w:vAlign w:val="center"/>
          </w:tcPr>
          <w:p w14:paraId="6A9E86AC">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55</w:t>
            </w:r>
          </w:p>
        </w:tc>
        <w:tc>
          <w:tcPr>
            <w:tcW w:w="746" w:type="pct"/>
            <w:vAlign w:val="center"/>
          </w:tcPr>
          <w:p w14:paraId="5EA15D88">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达标</w:t>
            </w:r>
          </w:p>
        </w:tc>
      </w:tr>
      <w:tr w14:paraId="3624C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pct"/>
            <w:vMerge w:val="restart"/>
            <w:vAlign w:val="center"/>
          </w:tcPr>
          <w:p w14:paraId="3A114AD9">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西</w:t>
            </w:r>
            <w:r>
              <w:rPr>
                <w:rFonts w:cs="Times New Roman"/>
                <w:color w:val="0D0D0D" w:themeColor="text1" w:themeTint="F2"/>
                <w:spacing w:val="12"/>
                <w:sz w:val="21"/>
                <w14:textFill>
                  <w14:solidFill>
                    <w14:schemeClr w14:val="tx1">
                      <w14:lumMod w14:val="95000"/>
                      <w14:lumOff w14:val="5000"/>
                    </w14:schemeClr>
                  </w14:solidFill>
                </w14:textFill>
              </w:rPr>
              <w:t>侧厂界</w:t>
            </w:r>
          </w:p>
        </w:tc>
        <w:tc>
          <w:tcPr>
            <w:tcW w:w="611" w:type="pct"/>
            <w:vAlign w:val="center"/>
          </w:tcPr>
          <w:p w14:paraId="44713462">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18.03</w:t>
            </w:r>
          </w:p>
        </w:tc>
        <w:tc>
          <w:tcPr>
            <w:tcW w:w="611" w:type="pct"/>
            <w:vAlign w:val="center"/>
          </w:tcPr>
          <w:p w14:paraId="45F36D5E">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189.89</w:t>
            </w:r>
          </w:p>
        </w:tc>
        <w:tc>
          <w:tcPr>
            <w:tcW w:w="572" w:type="pct"/>
            <w:vAlign w:val="center"/>
          </w:tcPr>
          <w:p w14:paraId="26B779DB">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1.2</w:t>
            </w:r>
          </w:p>
        </w:tc>
        <w:tc>
          <w:tcPr>
            <w:tcW w:w="449" w:type="pct"/>
            <w:vAlign w:val="center"/>
          </w:tcPr>
          <w:p w14:paraId="67CA7DB4">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昼间</w:t>
            </w:r>
          </w:p>
        </w:tc>
        <w:tc>
          <w:tcPr>
            <w:tcW w:w="598" w:type="pct"/>
            <w:vAlign w:val="center"/>
          </w:tcPr>
          <w:p w14:paraId="5E45569A">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53.7</w:t>
            </w:r>
          </w:p>
        </w:tc>
        <w:tc>
          <w:tcPr>
            <w:tcW w:w="598" w:type="pct"/>
            <w:vAlign w:val="center"/>
          </w:tcPr>
          <w:p w14:paraId="25184796">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65</w:t>
            </w:r>
          </w:p>
        </w:tc>
        <w:tc>
          <w:tcPr>
            <w:tcW w:w="746" w:type="pct"/>
            <w:vAlign w:val="center"/>
          </w:tcPr>
          <w:p w14:paraId="2F7EFFB6">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达标</w:t>
            </w:r>
          </w:p>
        </w:tc>
      </w:tr>
      <w:tr w14:paraId="09C41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pct"/>
            <w:vMerge w:val="continue"/>
            <w:vAlign w:val="center"/>
          </w:tcPr>
          <w:p w14:paraId="3C1E59C1">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611" w:type="pct"/>
            <w:vAlign w:val="center"/>
          </w:tcPr>
          <w:p w14:paraId="73660AB1">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18.03</w:t>
            </w:r>
          </w:p>
        </w:tc>
        <w:tc>
          <w:tcPr>
            <w:tcW w:w="611" w:type="pct"/>
            <w:vAlign w:val="center"/>
          </w:tcPr>
          <w:p w14:paraId="2CB51061">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189.89</w:t>
            </w:r>
          </w:p>
        </w:tc>
        <w:tc>
          <w:tcPr>
            <w:tcW w:w="572" w:type="pct"/>
            <w:vAlign w:val="center"/>
          </w:tcPr>
          <w:p w14:paraId="39421841">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1.2</w:t>
            </w:r>
          </w:p>
        </w:tc>
        <w:tc>
          <w:tcPr>
            <w:tcW w:w="449" w:type="pct"/>
            <w:vAlign w:val="center"/>
          </w:tcPr>
          <w:p w14:paraId="37A9463D">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夜间</w:t>
            </w:r>
          </w:p>
        </w:tc>
        <w:tc>
          <w:tcPr>
            <w:tcW w:w="598" w:type="pct"/>
            <w:vAlign w:val="center"/>
          </w:tcPr>
          <w:p w14:paraId="73F856B7">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53.7</w:t>
            </w:r>
          </w:p>
        </w:tc>
        <w:tc>
          <w:tcPr>
            <w:tcW w:w="598" w:type="pct"/>
            <w:vAlign w:val="center"/>
          </w:tcPr>
          <w:p w14:paraId="1923B267">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55</w:t>
            </w:r>
          </w:p>
        </w:tc>
        <w:tc>
          <w:tcPr>
            <w:tcW w:w="746" w:type="pct"/>
            <w:vAlign w:val="center"/>
          </w:tcPr>
          <w:p w14:paraId="097FE014">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达标</w:t>
            </w:r>
          </w:p>
        </w:tc>
      </w:tr>
      <w:tr w14:paraId="09AB3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pct"/>
            <w:vMerge w:val="restart"/>
            <w:vAlign w:val="center"/>
          </w:tcPr>
          <w:p w14:paraId="43B661AF">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pacing w:val="12"/>
                <w:sz w:val="21"/>
                <w14:textFill>
                  <w14:solidFill>
                    <w14:schemeClr w14:val="tx1">
                      <w14:lumMod w14:val="95000"/>
                      <w14:lumOff w14:val="5000"/>
                    </w14:schemeClr>
                  </w14:solidFill>
                </w14:textFill>
              </w:rPr>
              <w:t>北</w:t>
            </w:r>
            <w:r>
              <w:rPr>
                <w:rFonts w:cs="Times New Roman"/>
                <w:color w:val="0D0D0D" w:themeColor="text1" w:themeTint="F2"/>
                <w:spacing w:val="12"/>
                <w:sz w:val="21"/>
                <w14:textFill>
                  <w14:solidFill>
                    <w14:schemeClr w14:val="tx1">
                      <w14:lumMod w14:val="95000"/>
                      <w14:lumOff w14:val="5000"/>
                    </w14:schemeClr>
                  </w14:solidFill>
                </w14:textFill>
              </w:rPr>
              <w:t>侧厂界</w:t>
            </w:r>
          </w:p>
        </w:tc>
        <w:tc>
          <w:tcPr>
            <w:tcW w:w="611" w:type="pct"/>
            <w:vAlign w:val="center"/>
          </w:tcPr>
          <w:p w14:paraId="46CE57FB">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83.30</w:t>
            </w:r>
          </w:p>
        </w:tc>
        <w:tc>
          <w:tcPr>
            <w:tcW w:w="611" w:type="pct"/>
            <w:vAlign w:val="center"/>
          </w:tcPr>
          <w:p w14:paraId="7512171D">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215.12</w:t>
            </w:r>
          </w:p>
        </w:tc>
        <w:tc>
          <w:tcPr>
            <w:tcW w:w="572" w:type="pct"/>
            <w:vAlign w:val="center"/>
          </w:tcPr>
          <w:p w14:paraId="520DB90E">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1.2</w:t>
            </w:r>
          </w:p>
        </w:tc>
        <w:tc>
          <w:tcPr>
            <w:tcW w:w="449" w:type="pct"/>
            <w:vAlign w:val="center"/>
          </w:tcPr>
          <w:p w14:paraId="7381424C">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昼间</w:t>
            </w:r>
          </w:p>
        </w:tc>
        <w:tc>
          <w:tcPr>
            <w:tcW w:w="598" w:type="pct"/>
            <w:vAlign w:val="center"/>
          </w:tcPr>
          <w:p w14:paraId="40D9533F">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53.8</w:t>
            </w:r>
          </w:p>
        </w:tc>
        <w:tc>
          <w:tcPr>
            <w:tcW w:w="598" w:type="pct"/>
            <w:vAlign w:val="center"/>
          </w:tcPr>
          <w:p w14:paraId="6C5B789E">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65</w:t>
            </w:r>
          </w:p>
        </w:tc>
        <w:tc>
          <w:tcPr>
            <w:tcW w:w="746" w:type="pct"/>
            <w:vAlign w:val="center"/>
          </w:tcPr>
          <w:p w14:paraId="0C2F3259">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达标</w:t>
            </w:r>
          </w:p>
        </w:tc>
      </w:tr>
      <w:tr w14:paraId="11B35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pct"/>
            <w:vMerge w:val="continue"/>
            <w:vAlign w:val="center"/>
          </w:tcPr>
          <w:p w14:paraId="089056A2">
            <w:pPr>
              <w:spacing w:line="240" w:lineRule="auto"/>
              <w:jc w:val="center"/>
              <w:rPr>
                <w:color w:val="0D0D0D" w:themeColor="text1" w:themeTint="F2"/>
                <w:sz w:val="21"/>
                <w14:textFill>
                  <w14:solidFill>
                    <w14:schemeClr w14:val="tx1">
                      <w14:lumMod w14:val="95000"/>
                      <w14:lumOff w14:val="5000"/>
                    </w14:schemeClr>
                  </w14:solidFill>
                </w14:textFill>
              </w:rPr>
            </w:pPr>
          </w:p>
        </w:tc>
        <w:tc>
          <w:tcPr>
            <w:tcW w:w="611" w:type="pct"/>
            <w:vAlign w:val="center"/>
          </w:tcPr>
          <w:p w14:paraId="24583748">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83.30</w:t>
            </w:r>
          </w:p>
        </w:tc>
        <w:tc>
          <w:tcPr>
            <w:tcW w:w="611" w:type="pct"/>
            <w:vAlign w:val="center"/>
          </w:tcPr>
          <w:p w14:paraId="674D81FF">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215.12</w:t>
            </w:r>
          </w:p>
        </w:tc>
        <w:tc>
          <w:tcPr>
            <w:tcW w:w="572" w:type="pct"/>
            <w:vAlign w:val="center"/>
          </w:tcPr>
          <w:p w14:paraId="2381005C">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1.2</w:t>
            </w:r>
          </w:p>
        </w:tc>
        <w:tc>
          <w:tcPr>
            <w:tcW w:w="449" w:type="pct"/>
            <w:vAlign w:val="center"/>
          </w:tcPr>
          <w:p w14:paraId="26F79267">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夜间</w:t>
            </w:r>
          </w:p>
        </w:tc>
        <w:tc>
          <w:tcPr>
            <w:tcW w:w="598" w:type="pct"/>
            <w:vAlign w:val="center"/>
          </w:tcPr>
          <w:p w14:paraId="02B8501D">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53.8</w:t>
            </w:r>
          </w:p>
        </w:tc>
        <w:tc>
          <w:tcPr>
            <w:tcW w:w="598" w:type="pct"/>
            <w:vAlign w:val="center"/>
          </w:tcPr>
          <w:p w14:paraId="73E62214">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55</w:t>
            </w:r>
          </w:p>
        </w:tc>
        <w:tc>
          <w:tcPr>
            <w:tcW w:w="746" w:type="pct"/>
            <w:vAlign w:val="center"/>
          </w:tcPr>
          <w:p w14:paraId="5EB64649">
            <w:pPr>
              <w:spacing w:line="240" w:lineRule="auto"/>
              <w:jc w:val="center"/>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达标</w:t>
            </w:r>
          </w:p>
        </w:tc>
      </w:tr>
    </w:tbl>
    <w:p w14:paraId="79339F52">
      <w:pPr>
        <w:spacing w:line="240" w:lineRule="auto"/>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（涉密，公示本已删除）</w:t>
      </w:r>
    </w:p>
    <w:p w14:paraId="2CC67E5E">
      <w:pPr>
        <w:pStyle w:val="12"/>
      </w:pPr>
      <w:r>
        <w:rPr>
          <w:rFonts w:hint="eastAsia"/>
        </w:rPr>
        <w:t xml:space="preserve"> 项目噪声等声值线图</w:t>
      </w:r>
    </w:p>
    <w:p w14:paraId="2831FE2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根据预测结果，项目运营期东侧厂界、南侧厂界、西侧厂界、北侧厂界的噪声贡献值均能达到《工业企业厂界环境噪声排放标准》（GB12348-2008）中的3类标准，运营期噪声对周边环境影响较小。</w:t>
      </w:r>
    </w:p>
    <w:p w14:paraId="374EA94C">
      <w:pPr>
        <w:pStyle w:val="8"/>
      </w:pPr>
      <w:bookmarkStart w:id="181" w:name="_Toc204062644"/>
      <w:r>
        <w:rPr>
          <w:rFonts w:hint="eastAsia"/>
        </w:rPr>
        <w:t>运营期固体废物影响分析</w:t>
      </w:r>
      <w:bookmarkEnd w:id="181"/>
    </w:p>
    <w:p w14:paraId="788ABFA4">
      <w:pPr>
        <w:pStyle w:val="9"/>
        <w:numPr>
          <w:ilvl w:val="2"/>
          <w:numId w:val="49"/>
        </w:numPr>
      </w:pPr>
      <w:bookmarkStart w:id="182" w:name="_Toc204062645"/>
      <w:r>
        <w:rPr>
          <w:rFonts w:hint="eastAsia"/>
        </w:rPr>
        <w:t>一般工业固体废物环境影响分析</w:t>
      </w:r>
      <w:bookmarkEnd w:id="182"/>
    </w:p>
    <w:p w14:paraId="43D79F1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废包装物、废布袋、废渣、废白土、除尘器收集粉尘和炉渣外售第三方单位资源化回收利用；废脱硫剂、废MBR膜和废离子交换树脂由生产厂家回收处置；污泥交由污泥处置单位处置；生活垃圾分类集中收集后由环卫部门清运处置。</w:t>
      </w:r>
    </w:p>
    <w:p w14:paraId="5C353843">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项目产生的一般工业固废参照《排污许可证申请与核发技术规范  工业固体废物（试行）》（HJ1200-2021）、《中华人民共和国固体废物污染环境防治法（2020年修订）》要求执行，其贮存过程满足放渗漏、防雨淋、防扬尘等环保要求。危险废物和生活垃圾不得进入一般工业固体废物贮存场。不相容的一般工业固体废物应设置不同的分区进行贮存。贮存场应设置清晰、完整的一般工业固体废物标志牌等。</w:t>
      </w:r>
    </w:p>
    <w:p w14:paraId="309772A8">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在此基础上，项目一般工业固废对环境影响不大。只要企业在日常运营过程中加强固废的储运管理，以上一般固废均可以做到综合利用，对周围环境影响较小。</w:t>
      </w:r>
    </w:p>
    <w:p w14:paraId="3CB89772">
      <w:pPr>
        <w:pStyle w:val="9"/>
      </w:pPr>
      <w:bookmarkStart w:id="183" w:name="_Toc204062646"/>
      <w:r>
        <w:rPr>
          <w:rFonts w:hint="eastAsia"/>
        </w:rPr>
        <w:t>危险废物环境影响分析</w:t>
      </w:r>
      <w:bookmarkEnd w:id="183"/>
    </w:p>
    <w:p w14:paraId="6382D651">
      <w:pPr>
        <w:pStyle w:val="10"/>
      </w:pPr>
      <w:r>
        <w:rPr>
          <w:rFonts w:hint="eastAsia"/>
        </w:rPr>
        <w:t>危险废物贮存场所（设施）环境影响分析</w:t>
      </w:r>
    </w:p>
    <w:p w14:paraId="442A182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（1）危废处理方式</w:t>
      </w:r>
    </w:p>
    <w:p w14:paraId="12483A8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废导热油、废机油、废油桶、废含油抹布、化验室废液和废催化剂委托有资质单位清运处置，危险废物使用专门容器收集，在危废暂存间分类存放，分类标识，设置密闭容器和防渗漏底托等，做好防风、防雨、防晒、防渗漏“四防”措施。</w:t>
      </w:r>
    </w:p>
    <w:p w14:paraId="7DCDAD4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（2）选址可行性</w:t>
      </w:r>
    </w:p>
    <w:p w14:paraId="345D2CD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在仓库设置1间危废暂存间，位于厂区东北面。该区域场地地质条件稳定，地震烈度不超过7度，底部高于地下水水位，不受洪水、滑坡，泥石流、潮汐等影响，不处于易燃、易爆等危险品仓库、高压输电线路防护区域之内，满足根据《危险废物贮存污染控制标准》（GB18597-2023）要求。</w:t>
      </w:r>
    </w:p>
    <w:p w14:paraId="351CDB3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（3）危废暂存间的暂存能力</w:t>
      </w:r>
    </w:p>
    <w:p w14:paraId="4A7A045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项目危废暂存间占地约15m</w:t>
      </w:r>
      <w:r>
        <w:rPr>
          <w:rFonts w:hint="eastAsia"/>
          <w:color w:val="0D0D0D" w:themeColor="text1" w:themeTint="F2"/>
          <w:vertAlign w:val="superscript"/>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，贮存场所贮存能力分析详见表5.6-1。</w:t>
      </w:r>
    </w:p>
    <w:p w14:paraId="14189157">
      <w:pPr>
        <w:pStyle w:val="2"/>
        <w:ind w:firstLine="24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14:paraId="4A3544C5">
      <w:pPr>
        <w:pStyle w:val="11"/>
        <w:numPr>
          <w:ilvl w:val="4"/>
          <w:numId w:val="50"/>
        </w:numPr>
      </w:pPr>
      <w:r>
        <w:rPr>
          <w:rFonts w:hint="eastAsia"/>
        </w:rPr>
        <w:t xml:space="preserve"> 危险废物贮存场所（设施）基本情况表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2"/>
        <w:gridCol w:w="616"/>
        <w:gridCol w:w="1338"/>
        <w:gridCol w:w="1144"/>
        <w:gridCol w:w="1298"/>
        <w:gridCol w:w="1163"/>
        <w:gridCol w:w="891"/>
        <w:gridCol w:w="750"/>
        <w:gridCol w:w="750"/>
        <w:gridCol w:w="750"/>
      </w:tblGrid>
      <w:tr w14:paraId="555E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 w:type="pct"/>
            <w:vAlign w:val="center"/>
          </w:tcPr>
          <w:p w14:paraId="19C431D5">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序号</w:t>
            </w:r>
          </w:p>
        </w:tc>
        <w:tc>
          <w:tcPr>
            <w:tcW w:w="333" w:type="pct"/>
            <w:vAlign w:val="center"/>
          </w:tcPr>
          <w:p w14:paraId="16B87B11">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贮存场所</w:t>
            </w:r>
          </w:p>
        </w:tc>
        <w:tc>
          <w:tcPr>
            <w:tcW w:w="724" w:type="pct"/>
            <w:vAlign w:val="center"/>
          </w:tcPr>
          <w:p w14:paraId="57F3ACA9">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危险废物</w:t>
            </w:r>
          </w:p>
          <w:p w14:paraId="3E5607FA">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名称</w:t>
            </w:r>
          </w:p>
        </w:tc>
        <w:tc>
          <w:tcPr>
            <w:tcW w:w="619" w:type="pct"/>
            <w:vAlign w:val="center"/>
          </w:tcPr>
          <w:p w14:paraId="057CE2A2">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危险废物类别</w:t>
            </w:r>
          </w:p>
        </w:tc>
        <w:tc>
          <w:tcPr>
            <w:tcW w:w="702" w:type="pct"/>
            <w:vAlign w:val="center"/>
          </w:tcPr>
          <w:p w14:paraId="230F080B">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危险废物代码</w:t>
            </w:r>
          </w:p>
        </w:tc>
        <w:tc>
          <w:tcPr>
            <w:tcW w:w="629" w:type="pct"/>
            <w:vAlign w:val="center"/>
          </w:tcPr>
          <w:p w14:paraId="12B44166">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位置</w:t>
            </w:r>
          </w:p>
        </w:tc>
        <w:tc>
          <w:tcPr>
            <w:tcW w:w="482" w:type="pct"/>
            <w:vAlign w:val="center"/>
          </w:tcPr>
          <w:p w14:paraId="283DB0C3">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占地</w:t>
            </w:r>
          </w:p>
          <w:p w14:paraId="61B2DFFC">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面积</w:t>
            </w:r>
          </w:p>
          <w:p w14:paraId="2647BAC3">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2</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406" w:type="pct"/>
            <w:vAlign w:val="center"/>
          </w:tcPr>
          <w:p w14:paraId="28D49A1E">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贮存方式</w:t>
            </w:r>
          </w:p>
        </w:tc>
        <w:tc>
          <w:tcPr>
            <w:tcW w:w="406" w:type="pct"/>
            <w:vAlign w:val="center"/>
          </w:tcPr>
          <w:p w14:paraId="7F292B1D">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贮存能力</w:t>
            </w:r>
          </w:p>
        </w:tc>
        <w:tc>
          <w:tcPr>
            <w:tcW w:w="406" w:type="pct"/>
            <w:vAlign w:val="center"/>
          </w:tcPr>
          <w:p w14:paraId="6967FCE8">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贮存周期</w:t>
            </w:r>
          </w:p>
        </w:tc>
      </w:tr>
      <w:tr w14:paraId="01921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 w:type="pct"/>
            <w:vAlign w:val="center"/>
          </w:tcPr>
          <w:p w14:paraId="1A5A23BA">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w:t>
            </w:r>
          </w:p>
        </w:tc>
        <w:tc>
          <w:tcPr>
            <w:tcW w:w="333" w:type="pct"/>
            <w:vMerge w:val="restart"/>
            <w:vAlign w:val="center"/>
          </w:tcPr>
          <w:p w14:paraId="0F195849">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危废暂存间</w:t>
            </w:r>
          </w:p>
        </w:tc>
        <w:tc>
          <w:tcPr>
            <w:tcW w:w="724" w:type="pct"/>
            <w:vAlign w:val="center"/>
          </w:tcPr>
          <w:p w14:paraId="5A5CA775">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废导热油</w:t>
            </w:r>
          </w:p>
        </w:tc>
        <w:tc>
          <w:tcPr>
            <w:tcW w:w="619" w:type="pct"/>
            <w:vAlign w:val="center"/>
          </w:tcPr>
          <w:p w14:paraId="2F912386">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H</w:t>
            </w:r>
            <w:r>
              <w:rPr>
                <w:color w:val="0D0D0D" w:themeColor="text1" w:themeTint="F2"/>
                <w:sz w:val="21"/>
                <w:szCs w:val="21"/>
                <w:u w:val="single"/>
                <w14:textFill>
                  <w14:solidFill>
                    <w14:schemeClr w14:val="tx1">
                      <w14:lumMod w14:val="95000"/>
                      <w14:lumOff w14:val="5000"/>
                    </w14:schemeClr>
                  </w14:solidFill>
                </w14:textFill>
              </w:rPr>
              <w:t>W</w:t>
            </w:r>
            <w:r>
              <w:rPr>
                <w:rFonts w:hint="eastAsia"/>
                <w:color w:val="0D0D0D" w:themeColor="text1" w:themeTint="F2"/>
                <w:sz w:val="21"/>
                <w:szCs w:val="21"/>
                <w:u w:val="single"/>
                <w14:textFill>
                  <w14:solidFill>
                    <w14:schemeClr w14:val="tx1">
                      <w14:lumMod w14:val="95000"/>
                      <w14:lumOff w14:val="5000"/>
                    </w14:schemeClr>
                  </w14:solidFill>
                </w14:textFill>
              </w:rPr>
              <w:t>08</w:t>
            </w:r>
          </w:p>
        </w:tc>
        <w:tc>
          <w:tcPr>
            <w:tcW w:w="702" w:type="pct"/>
            <w:vAlign w:val="center"/>
          </w:tcPr>
          <w:p w14:paraId="6E0C945C">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900-249-08</w:t>
            </w:r>
          </w:p>
        </w:tc>
        <w:tc>
          <w:tcPr>
            <w:tcW w:w="629" w:type="pct"/>
            <w:vAlign w:val="center"/>
          </w:tcPr>
          <w:p w14:paraId="73A46E9A">
            <w:pPr>
              <w:autoSpaceDE w:val="0"/>
              <w:autoSpaceDN w:val="0"/>
              <w:adjustRightInd w:val="0"/>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不暂存</w:t>
            </w:r>
          </w:p>
        </w:tc>
        <w:tc>
          <w:tcPr>
            <w:tcW w:w="482" w:type="pct"/>
            <w:vAlign w:val="center"/>
          </w:tcPr>
          <w:p w14:paraId="0633FA6B">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406" w:type="pct"/>
            <w:vAlign w:val="center"/>
          </w:tcPr>
          <w:p w14:paraId="7AC8958A">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406" w:type="pct"/>
            <w:vAlign w:val="center"/>
          </w:tcPr>
          <w:p w14:paraId="7C1DBDA6">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406" w:type="pct"/>
            <w:vAlign w:val="center"/>
          </w:tcPr>
          <w:p w14:paraId="1C018683">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w:t>
            </w:r>
          </w:p>
        </w:tc>
      </w:tr>
      <w:tr w14:paraId="69F99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 w:type="pct"/>
            <w:vAlign w:val="center"/>
          </w:tcPr>
          <w:p w14:paraId="5C8ED230">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w:t>
            </w:r>
          </w:p>
        </w:tc>
        <w:tc>
          <w:tcPr>
            <w:tcW w:w="333" w:type="pct"/>
            <w:vMerge w:val="continue"/>
            <w:vAlign w:val="center"/>
          </w:tcPr>
          <w:p w14:paraId="6E225CEB">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24" w:type="pct"/>
            <w:vAlign w:val="center"/>
          </w:tcPr>
          <w:p w14:paraId="375394BD">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bCs/>
                <w:color w:val="0D0D0D" w:themeColor="text1" w:themeTint="F2"/>
                <w:spacing w:val="-10"/>
                <w:sz w:val="21"/>
                <w:szCs w:val="21"/>
                <w:u w:val="single"/>
                <w14:textFill>
                  <w14:solidFill>
                    <w14:schemeClr w14:val="tx1">
                      <w14:lumMod w14:val="95000"/>
                      <w14:lumOff w14:val="5000"/>
                    </w14:schemeClr>
                  </w14:solidFill>
                </w14:textFill>
              </w:rPr>
              <w:t>废机油</w:t>
            </w:r>
          </w:p>
        </w:tc>
        <w:tc>
          <w:tcPr>
            <w:tcW w:w="619" w:type="pct"/>
            <w:vAlign w:val="center"/>
          </w:tcPr>
          <w:p w14:paraId="1C7DE9C2">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H</w:t>
            </w:r>
            <w:r>
              <w:rPr>
                <w:color w:val="0D0D0D" w:themeColor="text1" w:themeTint="F2"/>
                <w:sz w:val="21"/>
                <w:szCs w:val="21"/>
                <w:u w:val="single"/>
                <w14:textFill>
                  <w14:solidFill>
                    <w14:schemeClr w14:val="tx1">
                      <w14:lumMod w14:val="95000"/>
                      <w14:lumOff w14:val="5000"/>
                    </w14:schemeClr>
                  </w14:solidFill>
                </w14:textFill>
              </w:rPr>
              <w:t>W</w:t>
            </w:r>
            <w:r>
              <w:rPr>
                <w:rFonts w:hint="eastAsia"/>
                <w:color w:val="0D0D0D" w:themeColor="text1" w:themeTint="F2"/>
                <w:sz w:val="21"/>
                <w:szCs w:val="21"/>
                <w:u w:val="single"/>
                <w14:textFill>
                  <w14:solidFill>
                    <w14:schemeClr w14:val="tx1">
                      <w14:lumMod w14:val="95000"/>
                      <w14:lumOff w14:val="5000"/>
                    </w14:schemeClr>
                  </w14:solidFill>
                </w14:textFill>
              </w:rPr>
              <w:t>08</w:t>
            </w:r>
          </w:p>
        </w:tc>
        <w:tc>
          <w:tcPr>
            <w:tcW w:w="702" w:type="pct"/>
            <w:vAlign w:val="center"/>
          </w:tcPr>
          <w:p w14:paraId="257D7BD0">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900-214-08</w:t>
            </w:r>
          </w:p>
        </w:tc>
        <w:tc>
          <w:tcPr>
            <w:tcW w:w="629" w:type="pct"/>
            <w:vAlign w:val="center"/>
          </w:tcPr>
          <w:p w14:paraId="5A03A736">
            <w:pPr>
              <w:autoSpaceDE w:val="0"/>
              <w:autoSpaceDN w:val="0"/>
              <w:adjustRightInd w:val="0"/>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bCs/>
                <w:color w:val="0D0D0D" w:themeColor="text1" w:themeTint="F2"/>
                <w:spacing w:val="-10"/>
                <w:sz w:val="21"/>
                <w:szCs w:val="21"/>
                <w:u w:val="single"/>
                <w14:textFill>
                  <w14:solidFill>
                    <w14:schemeClr w14:val="tx1">
                      <w14:lumMod w14:val="95000"/>
                      <w14:lumOff w14:val="5000"/>
                    </w14:schemeClr>
                  </w14:solidFill>
                </w14:textFill>
              </w:rPr>
              <w:t>废机油</w:t>
            </w:r>
            <w:r>
              <w:rPr>
                <w:rFonts w:hint="eastAsia"/>
                <w:color w:val="0D0D0D" w:themeColor="text1" w:themeTint="F2"/>
                <w:sz w:val="21"/>
                <w:szCs w:val="21"/>
                <w:u w:val="single"/>
                <w14:textFill>
                  <w14:solidFill>
                    <w14:schemeClr w14:val="tx1">
                      <w14:lumMod w14:val="95000"/>
                      <w14:lumOff w14:val="5000"/>
                    </w14:schemeClr>
                  </w14:solidFill>
                </w14:textFill>
              </w:rPr>
              <w:t>暂存区</w:t>
            </w:r>
          </w:p>
        </w:tc>
        <w:tc>
          <w:tcPr>
            <w:tcW w:w="482" w:type="pct"/>
            <w:vAlign w:val="center"/>
          </w:tcPr>
          <w:p w14:paraId="5932BBDA">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2.5</w:t>
            </w:r>
          </w:p>
        </w:tc>
        <w:tc>
          <w:tcPr>
            <w:tcW w:w="406" w:type="pct"/>
            <w:vAlign w:val="center"/>
          </w:tcPr>
          <w:p w14:paraId="0A5D6FFE">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桶装</w:t>
            </w:r>
          </w:p>
        </w:tc>
        <w:tc>
          <w:tcPr>
            <w:tcW w:w="406" w:type="pct"/>
            <w:vAlign w:val="center"/>
          </w:tcPr>
          <w:p w14:paraId="3D9E15ED">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2.5t</w:t>
            </w:r>
          </w:p>
        </w:tc>
        <w:tc>
          <w:tcPr>
            <w:tcW w:w="406" w:type="pct"/>
            <w:vAlign w:val="center"/>
          </w:tcPr>
          <w:p w14:paraId="74BBF6D7">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1年</w:t>
            </w:r>
          </w:p>
        </w:tc>
      </w:tr>
      <w:tr w14:paraId="5E15F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 w:type="pct"/>
            <w:vAlign w:val="center"/>
          </w:tcPr>
          <w:p w14:paraId="28023B45">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w:t>
            </w:r>
          </w:p>
        </w:tc>
        <w:tc>
          <w:tcPr>
            <w:tcW w:w="333" w:type="pct"/>
            <w:vMerge w:val="continue"/>
            <w:vAlign w:val="center"/>
          </w:tcPr>
          <w:p w14:paraId="78A8A021">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24" w:type="pct"/>
            <w:vAlign w:val="center"/>
          </w:tcPr>
          <w:p w14:paraId="7813F890">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bCs/>
                <w:color w:val="0D0D0D" w:themeColor="text1" w:themeTint="F2"/>
                <w:spacing w:val="-10"/>
                <w:sz w:val="21"/>
                <w:szCs w:val="21"/>
                <w:u w:val="single"/>
                <w14:textFill>
                  <w14:solidFill>
                    <w14:schemeClr w14:val="tx1">
                      <w14:lumMod w14:val="95000"/>
                      <w14:lumOff w14:val="5000"/>
                    </w14:schemeClr>
                  </w14:solidFill>
                </w14:textFill>
              </w:rPr>
              <w:t>废油桶</w:t>
            </w:r>
          </w:p>
        </w:tc>
        <w:tc>
          <w:tcPr>
            <w:tcW w:w="619" w:type="pct"/>
            <w:vAlign w:val="center"/>
          </w:tcPr>
          <w:p w14:paraId="31339FC7">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H</w:t>
            </w:r>
            <w:r>
              <w:rPr>
                <w:color w:val="0D0D0D" w:themeColor="text1" w:themeTint="F2"/>
                <w:sz w:val="21"/>
                <w:szCs w:val="21"/>
                <w:u w:val="single"/>
                <w14:textFill>
                  <w14:solidFill>
                    <w14:schemeClr w14:val="tx1">
                      <w14:lumMod w14:val="95000"/>
                      <w14:lumOff w14:val="5000"/>
                    </w14:schemeClr>
                  </w14:solidFill>
                </w14:textFill>
              </w:rPr>
              <w:t>W</w:t>
            </w:r>
            <w:r>
              <w:rPr>
                <w:rFonts w:hint="eastAsia"/>
                <w:color w:val="0D0D0D" w:themeColor="text1" w:themeTint="F2"/>
                <w:sz w:val="21"/>
                <w:szCs w:val="21"/>
                <w:u w:val="single"/>
                <w14:textFill>
                  <w14:solidFill>
                    <w14:schemeClr w14:val="tx1">
                      <w14:lumMod w14:val="95000"/>
                      <w14:lumOff w14:val="5000"/>
                    </w14:schemeClr>
                  </w14:solidFill>
                </w14:textFill>
              </w:rPr>
              <w:t>49</w:t>
            </w:r>
          </w:p>
        </w:tc>
        <w:tc>
          <w:tcPr>
            <w:tcW w:w="702" w:type="pct"/>
            <w:vAlign w:val="center"/>
          </w:tcPr>
          <w:p w14:paraId="24856BB0">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900-041-49</w:t>
            </w:r>
          </w:p>
        </w:tc>
        <w:tc>
          <w:tcPr>
            <w:tcW w:w="629" w:type="pct"/>
            <w:vAlign w:val="center"/>
          </w:tcPr>
          <w:p w14:paraId="2D8102F9">
            <w:pPr>
              <w:autoSpaceDE w:val="0"/>
              <w:autoSpaceDN w:val="0"/>
              <w:adjustRightInd w:val="0"/>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bCs/>
                <w:color w:val="0D0D0D" w:themeColor="text1" w:themeTint="F2"/>
                <w:spacing w:val="-10"/>
                <w:sz w:val="21"/>
                <w:szCs w:val="21"/>
                <w:u w:val="single"/>
                <w14:textFill>
                  <w14:solidFill>
                    <w14:schemeClr w14:val="tx1">
                      <w14:lumMod w14:val="95000"/>
                      <w14:lumOff w14:val="5000"/>
                    </w14:schemeClr>
                  </w14:solidFill>
                </w14:textFill>
              </w:rPr>
              <w:t>废油桶</w:t>
            </w:r>
            <w:r>
              <w:rPr>
                <w:rFonts w:hint="eastAsia"/>
                <w:color w:val="0D0D0D" w:themeColor="text1" w:themeTint="F2"/>
                <w:sz w:val="21"/>
                <w:szCs w:val="21"/>
                <w:u w:val="single"/>
                <w14:textFill>
                  <w14:solidFill>
                    <w14:schemeClr w14:val="tx1">
                      <w14:lumMod w14:val="95000"/>
                      <w14:lumOff w14:val="5000"/>
                    </w14:schemeClr>
                  </w14:solidFill>
                </w14:textFill>
              </w:rPr>
              <w:t>暂存区</w:t>
            </w:r>
          </w:p>
        </w:tc>
        <w:tc>
          <w:tcPr>
            <w:tcW w:w="482" w:type="pct"/>
            <w:vAlign w:val="center"/>
          </w:tcPr>
          <w:p w14:paraId="495BE199">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2.5</w:t>
            </w:r>
          </w:p>
        </w:tc>
        <w:tc>
          <w:tcPr>
            <w:tcW w:w="406" w:type="pct"/>
            <w:vAlign w:val="center"/>
          </w:tcPr>
          <w:p w14:paraId="64EA8DEF">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贮存</w:t>
            </w:r>
          </w:p>
        </w:tc>
        <w:tc>
          <w:tcPr>
            <w:tcW w:w="406" w:type="pct"/>
            <w:vAlign w:val="center"/>
          </w:tcPr>
          <w:p w14:paraId="1554047C">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2.5t</w:t>
            </w:r>
          </w:p>
        </w:tc>
        <w:tc>
          <w:tcPr>
            <w:tcW w:w="406" w:type="pct"/>
            <w:vAlign w:val="center"/>
          </w:tcPr>
          <w:p w14:paraId="533CC9C9">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1年</w:t>
            </w:r>
          </w:p>
        </w:tc>
      </w:tr>
      <w:tr w14:paraId="723E5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 w:type="pct"/>
            <w:vAlign w:val="center"/>
          </w:tcPr>
          <w:p w14:paraId="0C5CB6BC">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w:t>
            </w:r>
          </w:p>
        </w:tc>
        <w:tc>
          <w:tcPr>
            <w:tcW w:w="333" w:type="pct"/>
            <w:vMerge w:val="continue"/>
            <w:vAlign w:val="center"/>
          </w:tcPr>
          <w:p w14:paraId="5BDB0E1B">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24" w:type="pct"/>
            <w:vAlign w:val="center"/>
          </w:tcPr>
          <w:p w14:paraId="7DB90A68">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bCs/>
                <w:color w:val="0D0D0D" w:themeColor="text1" w:themeTint="F2"/>
                <w:spacing w:val="-10"/>
                <w:sz w:val="21"/>
                <w:szCs w:val="21"/>
                <w:u w:val="single"/>
                <w14:textFill>
                  <w14:solidFill>
                    <w14:schemeClr w14:val="tx1">
                      <w14:lumMod w14:val="95000"/>
                      <w14:lumOff w14:val="5000"/>
                    </w14:schemeClr>
                  </w14:solidFill>
                </w14:textFill>
              </w:rPr>
              <w:t>废含油抹布</w:t>
            </w:r>
          </w:p>
        </w:tc>
        <w:tc>
          <w:tcPr>
            <w:tcW w:w="619" w:type="pct"/>
            <w:vAlign w:val="center"/>
          </w:tcPr>
          <w:p w14:paraId="3ED12780">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H</w:t>
            </w:r>
            <w:r>
              <w:rPr>
                <w:color w:val="0D0D0D" w:themeColor="text1" w:themeTint="F2"/>
                <w:sz w:val="21"/>
                <w:szCs w:val="21"/>
                <w:u w:val="single"/>
                <w14:textFill>
                  <w14:solidFill>
                    <w14:schemeClr w14:val="tx1">
                      <w14:lumMod w14:val="95000"/>
                      <w14:lumOff w14:val="5000"/>
                    </w14:schemeClr>
                  </w14:solidFill>
                </w14:textFill>
              </w:rPr>
              <w:t>W</w:t>
            </w:r>
            <w:r>
              <w:rPr>
                <w:rFonts w:hint="eastAsia"/>
                <w:color w:val="0D0D0D" w:themeColor="text1" w:themeTint="F2"/>
                <w:sz w:val="21"/>
                <w:szCs w:val="21"/>
                <w:u w:val="single"/>
                <w14:textFill>
                  <w14:solidFill>
                    <w14:schemeClr w14:val="tx1">
                      <w14:lumMod w14:val="95000"/>
                      <w14:lumOff w14:val="5000"/>
                    </w14:schemeClr>
                  </w14:solidFill>
                </w14:textFill>
              </w:rPr>
              <w:t>49</w:t>
            </w:r>
          </w:p>
        </w:tc>
        <w:tc>
          <w:tcPr>
            <w:tcW w:w="702" w:type="pct"/>
            <w:vAlign w:val="center"/>
          </w:tcPr>
          <w:p w14:paraId="78E52CBE">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900-041-49</w:t>
            </w:r>
          </w:p>
        </w:tc>
        <w:tc>
          <w:tcPr>
            <w:tcW w:w="629" w:type="pct"/>
            <w:vAlign w:val="center"/>
          </w:tcPr>
          <w:p w14:paraId="0AF26DA9">
            <w:pPr>
              <w:autoSpaceDE w:val="0"/>
              <w:autoSpaceDN w:val="0"/>
              <w:adjustRightInd w:val="0"/>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bCs/>
                <w:color w:val="0D0D0D" w:themeColor="text1" w:themeTint="F2"/>
                <w:spacing w:val="-10"/>
                <w:sz w:val="21"/>
                <w:szCs w:val="21"/>
                <w:u w:val="single"/>
                <w14:textFill>
                  <w14:solidFill>
                    <w14:schemeClr w14:val="tx1">
                      <w14:lumMod w14:val="95000"/>
                      <w14:lumOff w14:val="5000"/>
                    </w14:schemeClr>
                  </w14:solidFill>
                </w14:textFill>
              </w:rPr>
              <w:t>废含油抹布</w:t>
            </w:r>
            <w:r>
              <w:rPr>
                <w:rFonts w:hint="eastAsia"/>
                <w:color w:val="0D0D0D" w:themeColor="text1" w:themeTint="F2"/>
                <w:sz w:val="21"/>
                <w:szCs w:val="21"/>
                <w:u w:val="single"/>
                <w14:textFill>
                  <w14:solidFill>
                    <w14:schemeClr w14:val="tx1">
                      <w14:lumMod w14:val="95000"/>
                      <w14:lumOff w14:val="5000"/>
                    </w14:schemeClr>
                  </w14:solidFill>
                </w14:textFill>
              </w:rPr>
              <w:t>暂存区</w:t>
            </w:r>
          </w:p>
        </w:tc>
        <w:tc>
          <w:tcPr>
            <w:tcW w:w="482" w:type="pct"/>
            <w:vAlign w:val="center"/>
          </w:tcPr>
          <w:p w14:paraId="1165B0F5">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2.5</w:t>
            </w:r>
          </w:p>
        </w:tc>
        <w:tc>
          <w:tcPr>
            <w:tcW w:w="406" w:type="pct"/>
            <w:vAlign w:val="center"/>
          </w:tcPr>
          <w:p w14:paraId="05426233">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桶装</w:t>
            </w:r>
          </w:p>
        </w:tc>
        <w:tc>
          <w:tcPr>
            <w:tcW w:w="406" w:type="pct"/>
            <w:vAlign w:val="center"/>
          </w:tcPr>
          <w:p w14:paraId="5EBE0509">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2.5t</w:t>
            </w:r>
          </w:p>
        </w:tc>
        <w:tc>
          <w:tcPr>
            <w:tcW w:w="406" w:type="pct"/>
            <w:vAlign w:val="center"/>
          </w:tcPr>
          <w:p w14:paraId="3AD40130">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1年</w:t>
            </w:r>
          </w:p>
        </w:tc>
      </w:tr>
      <w:tr w14:paraId="0BE42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 w:type="pct"/>
            <w:vAlign w:val="center"/>
          </w:tcPr>
          <w:p w14:paraId="104C24B7">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5</w:t>
            </w:r>
          </w:p>
        </w:tc>
        <w:tc>
          <w:tcPr>
            <w:tcW w:w="333" w:type="pct"/>
            <w:vMerge w:val="continue"/>
            <w:vAlign w:val="center"/>
          </w:tcPr>
          <w:p w14:paraId="54293082">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24" w:type="pct"/>
            <w:vAlign w:val="center"/>
          </w:tcPr>
          <w:p w14:paraId="4B36D5A0">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bCs/>
                <w:color w:val="0D0D0D" w:themeColor="text1" w:themeTint="F2"/>
                <w:spacing w:val="-10"/>
                <w:sz w:val="21"/>
                <w:szCs w:val="21"/>
                <w:u w:val="single"/>
                <w14:textFill>
                  <w14:solidFill>
                    <w14:schemeClr w14:val="tx1">
                      <w14:lumMod w14:val="95000"/>
                      <w14:lumOff w14:val="5000"/>
                    </w14:schemeClr>
                  </w14:solidFill>
                </w14:textFill>
              </w:rPr>
              <w:t>化验室废液</w:t>
            </w:r>
          </w:p>
        </w:tc>
        <w:tc>
          <w:tcPr>
            <w:tcW w:w="619" w:type="pct"/>
            <w:vAlign w:val="center"/>
          </w:tcPr>
          <w:p w14:paraId="11AE3245">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H</w:t>
            </w:r>
            <w:r>
              <w:rPr>
                <w:color w:val="0D0D0D" w:themeColor="text1" w:themeTint="F2"/>
                <w:sz w:val="21"/>
                <w:szCs w:val="21"/>
                <w:u w:val="single"/>
                <w14:textFill>
                  <w14:solidFill>
                    <w14:schemeClr w14:val="tx1">
                      <w14:lumMod w14:val="95000"/>
                      <w14:lumOff w14:val="5000"/>
                    </w14:schemeClr>
                  </w14:solidFill>
                </w14:textFill>
              </w:rPr>
              <w:t>W</w:t>
            </w:r>
            <w:r>
              <w:rPr>
                <w:rFonts w:hint="eastAsia"/>
                <w:color w:val="0D0D0D" w:themeColor="text1" w:themeTint="F2"/>
                <w:sz w:val="21"/>
                <w:szCs w:val="21"/>
                <w:u w:val="single"/>
                <w14:textFill>
                  <w14:solidFill>
                    <w14:schemeClr w14:val="tx1">
                      <w14:lumMod w14:val="95000"/>
                      <w14:lumOff w14:val="5000"/>
                    </w14:schemeClr>
                  </w14:solidFill>
                </w14:textFill>
              </w:rPr>
              <w:t>49</w:t>
            </w:r>
          </w:p>
        </w:tc>
        <w:tc>
          <w:tcPr>
            <w:tcW w:w="702" w:type="pct"/>
            <w:vAlign w:val="center"/>
          </w:tcPr>
          <w:p w14:paraId="62CB3E0E">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900-047-49</w:t>
            </w:r>
          </w:p>
        </w:tc>
        <w:tc>
          <w:tcPr>
            <w:tcW w:w="629" w:type="pct"/>
            <w:vAlign w:val="center"/>
          </w:tcPr>
          <w:p w14:paraId="2A1899BF">
            <w:pPr>
              <w:autoSpaceDE w:val="0"/>
              <w:autoSpaceDN w:val="0"/>
              <w:adjustRightInd w:val="0"/>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bCs/>
                <w:color w:val="0D0D0D" w:themeColor="text1" w:themeTint="F2"/>
                <w:spacing w:val="-10"/>
                <w:sz w:val="21"/>
                <w:szCs w:val="21"/>
                <w:u w:val="single"/>
                <w14:textFill>
                  <w14:solidFill>
                    <w14:schemeClr w14:val="tx1">
                      <w14:lumMod w14:val="95000"/>
                      <w14:lumOff w14:val="5000"/>
                    </w14:schemeClr>
                  </w14:solidFill>
                </w14:textFill>
              </w:rPr>
              <w:t>化验室废液器</w:t>
            </w:r>
            <w:r>
              <w:rPr>
                <w:rFonts w:hint="eastAsia"/>
                <w:color w:val="0D0D0D" w:themeColor="text1" w:themeTint="F2"/>
                <w:sz w:val="21"/>
                <w:szCs w:val="21"/>
                <w:u w:val="single"/>
                <w14:textFill>
                  <w14:solidFill>
                    <w14:schemeClr w14:val="tx1">
                      <w14:lumMod w14:val="95000"/>
                      <w14:lumOff w14:val="5000"/>
                    </w14:schemeClr>
                  </w14:solidFill>
                </w14:textFill>
              </w:rPr>
              <w:t>暂存区</w:t>
            </w:r>
          </w:p>
        </w:tc>
        <w:tc>
          <w:tcPr>
            <w:tcW w:w="482" w:type="pct"/>
            <w:vAlign w:val="center"/>
          </w:tcPr>
          <w:p w14:paraId="0CCEF521">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2.5</w:t>
            </w:r>
          </w:p>
        </w:tc>
        <w:tc>
          <w:tcPr>
            <w:tcW w:w="406" w:type="pct"/>
            <w:vAlign w:val="center"/>
          </w:tcPr>
          <w:p w14:paraId="7A9EA410">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桶装</w:t>
            </w:r>
          </w:p>
        </w:tc>
        <w:tc>
          <w:tcPr>
            <w:tcW w:w="406" w:type="pct"/>
            <w:vAlign w:val="center"/>
          </w:tcPr>
          <w:p w14:paraId="3308F90B">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2.5t</w:t>
            </w:r>
          </w:p>
        </w:tc>
        <w:tc>
          <w:tcPr>
            <w:tcW w:w="406" w:type="pct"/>
            <w:vAlign w:val="center"/>
          </w:tcPr>
          <w:p w14:paraId="7A46DEF4">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1年</w:t>
            </w:r>
          </w:p>
        </w:tc>
      </w:tr>
      <w:tr w14:paraId="6F288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 w:type="pct"/>
            <w:vAlign w:val="center"/>
          </w:tcPr>
          <w:p w14:paraId="1C8428FF">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6</w:t>
            </w:r>
          </w:p>
        </w:tc>
        <w:tc>
          <w:tcPr>
            <w:tcW w:w="333" w:type="pct"/>
            <w:vMerge w:val="continue"/>
            <w:vAlign w:val="center"/>
          </w:tcPr>
          <w:p w14:paraId="15257AE2">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p>
        </w:tc>
        <w:tc>
          <w:tcPr>
            <w:tcW w:w="724" w:type="pct"/>
            <w:vAlign w:val="center"/>
          </w:tcPr>
          <w:p w14:paraId="59E7E513">
            <w:pPr>
              <w:autoSpaceDE w:val="0"/>
              <w:autoSpaceDN w:val="0"/>
              <w:adjustRightInd w:val="0"/>
              <w:spacing w:line="240" w:lineRule="auto"/>
              <w:jc w:val="center"/>
              <w:rPr>
                <w:bCs/>
                <w:color w:val="0D0D0D" w:themeColor="text1" w:themeTint="F2"/>
                <w:spacing w:val="-10"/>
                <w:sz w:val="21"/>
                <w:szCs w:val="21"/>
                <w:u w:val="single"/>
                <w14:textFill>
                  <w14:solidFill>
                    <w14:schemeClr w14:val="tx1">
                      <w14:lumMod w14:val="95000"/>
                      <w14:lumOff w14:val="5000"/>
                    </w14:schemeClr>
                  </w14:solidFill>
                </w14:textFill>
              </w:rPr>
            </w:pPr>
            <w:r>
              <w:rPr>
                <w:rFonts w:hint="eastAsia"/>
                <w:bCs/>
                <w:color w:val="0D0D0D" w:themeColor="text1" w:themeTint="F2"/>
                <w:spacing w:val="-10"/>
                <w:sz w:val="21"/>
                <w:szCs w:val="21"/>
                <w:u w:val="single"/>
                <w14:textFill>
                  <w14:solidFill>
                    <w14:schemeClr w14:val="tx1">
                      <w14:lumMod w14:val="95000"/>
                      <w14:lumOff w14:val="5000"/>
                    </w14:schemeClr>
                  </w14:solidFill>
                </w14:textFill>
              </w:rPr>
              <w:t>废催化剂</w:t>
            </w:r>
          </w:p>
        </w:tc>
        <w:tc>
          <w:tcPr>
            <w:tcW w:w="619" w:type="pct"/>
            <w:vAlign w:val="center"/>
          </w:tcPr>
          <w:p w14:paraId="304BF3DA">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H</w:t>
            </w:r>
            <w:r>
              <w:rPr>
                <w:color w:val="0D0D0D" w:themeColor="text1" w:themeTint="F2"/>
                <w:sz w:val="21"/>
                <w:szCs w:val="21"/>
                <w:u w:val="single"/>
                <w14:textFill>
                  <w14:solidFill>
                    <w14:schemeClr w14:val="tx1">
                      <w14:lumMod w14:val="95000"/>
                      <w14:lumOff w14:val="5000"/>
                    </w14:schemeClr>
                  </w14:solidFill>
                </w14:textFill>
              </w:rPr>
              <w:t>W</w:t>
            </w:r>
            <w:r>
              <w:rPr>
                <w:rFonts w:hint="eastAsia"/>
                <w:color w:val="0D0D0D" w:themeColor="text1" w:themeTint="F2"/>
                <w:sz w:val="21"/>
                <w:szCs w:val="21"/>
                <w:u w:val="single"/>
                <w14:textFill>
                  <w14:solidFill>
                    <w14:schemeClr w14:val="tx1">
                      <w14:lumMod w14:val="95000"/>
                      <w14:lumOff w14:val="5000"/>
                    </w14:schemeClr>
                  </w14:solidFill>
                </w14:textFill>
              </w:rPr>
              <w:t>49</w:t>
            </w:r>
          </w:p>
        </w:tc>
        <w:tc>
          <w:tcPr>
            <w:tcW w:w="702" w:type="pct"/>
            <w:vAlign w:val="center"/>
          </w:tcPr>
          <w:p w14:paraId="6CD6C5E3">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900-039-49</w:t>
            </w:r>
          </w:p>
        </w:tc>
        <w:tc>
          <w:tcPr>
            <w:tcW w:w="629" w:type="pct"/>
            <w:vAlign w:val="center"/>
          </w:tcPr>
          <w:p w14:paraId="0672918D">
            <w:pPr>
              <w:autoSpaceDE w:val="0"/>
              <w:autoSpaceDN w:val="0"/>
              <w:adjustRightInd w:val="0"/>
              <w:spacing w:line="240" w:lineRule="auto"/>
              <w:rPr>
                <w:bCs/>
                <w:color w:val="0D0D0D" w:themeColor="text1" w:themeTint="F2"/>
                <w:spacing w:val="-10"/>
                <w:sz w:val="21"/>
                <w:szCs w:val="21"/>
                <w:u w:val="single"/>
                <w14:textFill>
                  <w14:solidFill>
                    <w14:schemeClr w14:val="tx1">
                      <w14:lumMod w14:val="95000"/>
                      <w14:lumOff w14:val="5000"/>
                    </w14:schemeClr>
                  </w14:solidFill>
                </w14:textFill>
              </w:rPr>
            </w:pPr>
            <w:r>
              <w:rPr>
                <w:rFonts w:hint="eastAsia"/>
                <w:bCs/>
                <w:color w:val="0D0D0D" w:themeColor="text1" w:themeTint="F2"/>
                <w:spacing w:val="-10"/>
                <w:sz w:val="21"/>
                <w:szCs w:val="21"/>
                <w:u w:val="single"/>
                <w14:textFill>
                  <w14:solidFill>
                    <w14:schemeClr w14:val="tx1">
                      <w14:lumMod w14:val="95000"/>
                      <w14:lumOff w14:val="5000"/>
                    </w14:schemeClr>
                  </w14:solidFill>
                </w14:textFill>
              </w:rPr>
              <w:t>废催化剂暂存区</w:t>
            </w:r>
          </w:p>
        </w:tc>
        <w:tc>
          <w:tcPr>
            <w:tcW w:w="482" w:type="pct"/>
            <w:vAlign w:val="center"/>
          </w:tcPr>
          <w:p w14:paraId="744679E7">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2.5</w:t>
            </w:r>
          </w:p>
        </w:tc>
        <w:tc>
          <w:tcPr>
            <w:tcW w:w="406" w:type="pct"/>
            <w:vAlign w:val="center"/>
          </w:tcPr>
          <w:p w14:paraId="4EBF8F26">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桶装</w:t>
            </w:r>
          </w:p>
        </w:tc>
        <w:tc>
          <w:tcPr>
            <w:tcW w:w="406" w:type="pct"/>
            <w:vAlign w:val="center"/>
          </w:tcPr>
          <w:p w14:paraId="25E384F1">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2.5t</w:t>
            </w:r>
          </w:p>
        </w:tc>
        <w:tc>
          <w:tcPr>
            <w:tcW w:w="406" w:type="pct"/>
            <w:vAlign w:val="center"/>
          </w:tcPr>
          <w:p w14:paraId="246FC6C0">
            <w:pPr>
              <w:autoSpaceDE w:val="0"/>
              <w:autoSpaceDN w:val="0"/>
              <w:adjustRightInd w:val="0"/>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1年</w:t>
            </w:r>
          </w:p>
        </w:tc>
      </w:tr>
    </w:tbl>
    <w:p w14:paraId="14B2E4B3">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综上分析，项目危废暂存间贮存能力满足暂存要求。</w:t>
      </w:r>
    </w:p>
    <w:p w14:paraId="39A06626">
      <w:pPr>
        <w:pStyle w:val="10"/>
      </w:pPr>
      <w:r>
        <w:rPr>
          <w:rFonts w:hint="eastAsia"/>
        </w:rPr>
        <w:t>危险废物运输过程环境影响分析</w:t>
      </w:r>
    </w:p>
    <w:p w14:paraId="3DDBF80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各危险废物产生点至危废暂存间之间的转运均在厂内完成，因此转运路线不涉及环境敏感点。项目危险废物场内转运所经路线道路均进行地面硬化，一旦发生泄漏能及时收集、处置，能够避免污染物对周围环境造成污染。</w:t>
      </w:r>
    </w:p>
    <w:p w14:paraId="08A5375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项目危险废物外运过程由有资质的单位采用专车运输，运输车辆符合运输危险品的规范要求，外运过程对周边环境的影响较小。</w:t>
      </w:r>
    </w:p>
    <w:p w14:paraId="3B719E0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项目产生的危废委托给有危废运输资质的单位转运，严格按照《危险废物转移管理办法》（生态环境部、公安部、交通运输</w:t>
      </w:r>
      <w:r>
        <w:rPr>
          <w:rFonts w:hint="eastAsia"/>
          <w:color w:val="0D0D0D" w:themeColor="text1" w:themeTint="F2"/>
          <w:lang w:eastAsia="zh-CN"/>
          <w14:textFill>
            <w14:solidFill>
              <w14:schemeClr w14:val="tx1">
                <w14:lumMod w14:val="95000"/>
                <w14:lumOff w14:val="5000"/>
              </w14:schemeClr>
            </w14:solidFill>
          </w14:textFill>
        </w:rPr>
        <w:t>部令</w:t>
      </w:r>
      <w:r>
        <w:rPr>
          <w:rFonts w:hint="eastAsia"/>
          <w:color w:val="0D0D0D" w:themeColor="text1" w:themeTint="F2"/>
          <w14:textFill>
            <w14:solidFill>
              <w14:schemeClr w14:val="tx1">
                <w14:lumMod w14:val="95000"/>
                <w14:lumOff w14:val="5000"/>
              </w14:schemeClr>
            </w14:solidFill>
          </w14:textFill>
        </w:rPr>
        <w:t>第23号）执行：</w:t>
      </w:r>
    </w:p>
    <w:p w14:paraId="6BDCE32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（1）产生废物的单位转移前三日内报告移出地环境保护行政主管部门，并同时将预期到达时间报告</w:t>
      </w:r>
      <w:r>
        <w:rPr>
          <w:rFonts w:hint="eastAsia"/>
          <w:color w:val="0D0D0D" w:themeColor="text1" w:themeTint="F2"/>
          <w:lang w:eastAsia="zh-CN"/>
          <w14:textFill>
            <w14:solidFill>
              <w14:schemeClr w14:val="tx1">
                <w14:lumMod w14:val="95000"/>
                <w14:lumOff w14:val="5000"/>
              </w14:schemeClr>
            </w14:solidFill>
          </w14:textFill>
        </w:rPr>
        <w:t>接收</w:t>
      </w:r>
      <w:r>
        <w:rPr>
          <w:rFonts w:hint="eastAsia"/>
          <w:color w:val="0D0D0D" w:themeColor="text1" w:themeTint="F2"/>
          <w14:textFill>
            <w14:solidFill>
              <w14:schemeClr w14:val="tx1">
                <w14:lumMod w14:val="95000"/>
                <w14:lumOff w14:val="5000"/>
              </w14:schemeClr>
            </w14:solidFill>
          </w14:textFill>
        </w:rPr>
        <w:t>地环境保护行政主管部门；</w:t>
      </w:r>
    </w:p>
    <w:p w14:paraId="6C317E1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（2）每转移一车、船（次）同类危险废物，应当填写一份联单。每车、船（次）有多类危险废物的，应当按每一类危险废物填写一份联单；</w:t>
      </w:r>
    </w:p>
    <w:p w14:paraId="75A1F04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（3）危险废物运输单位应当如实填写联单的运输单位栏目，按照国家有关危险物品运输的规定，将危险废物安全运抵联单载明的</w:t>
      </w:r>
      <w:r>
        <w:rPr>
          <w:rFonts w:hint="eastAsia"/>
          <w:color w:val="0D0D0D" w:themeColor="text1" w:themeTint="F2"/>
          <w:lang w:eastAsia="zh-CN"/>
          <w14:textFill>
            <w14:solidFill>
              <w14:schemeClr w14:val="tx1">
                <w14:lumMod w14:val="95000"/>
                <w14:lumOff w14:val="5000"/>
              </w14:schemeClr>
            </w14:solidFill>
          </w14:textFill>
        </w:rPr>
        <w:t>接收</w:t>
      </w:r>
      <w:r>
        <w:rPr>
          <w:rFonts w:hint="eastAsia"/>
          <w:color w:val="0D0D0D" w:themeColor="text1" w:themeTint="F2"/>
          <w14:textFill>
            <w14:solidFill>
              <w14:schemeClr w14:val="tx1">
                <w14:lumMod w14:val="95000"/>
                <w14:lumOff w14:val="5000"/>
              </w14:schemeClr>
            </w14:solidFill>
          </w14:textFill>
        </w:rPr>
        <w:t>地点，并将联单第一联、第二联副联、第三联、第四联、第五联随转移的危险废物交付危险废物</w:t>
      </w:r>
      <w:r>
        <w:rPr>
          <w:rFonts w:hint="eastAsia"/>
          <w:color w:val="0D0D0D" w:themeColor="text1" w:themeTint="F2"/>
          <w:lang w:eastAsia="zh-CN"/>
          <w14:textFill>
            <w14:solidFill>
              <w14:schemeClr w14:val="tx1">
                <w14:lumMod w14:val="95000"/>
                <w14:lumOff w14:val="5000"/>
              </w14:schemeClr>
            </w14:solidFill>
          </w14:textFill>
        </w:rPr>
        <w:t>接收单位</w:t>
      </w:r>
      <w:r>
        <w:rPr>
          <w:rFonts w:hint="eastAsia"/>
          <w:color w:val="0D0D0D" w:themeColor="text1" w:themeTint="F2"/>
          <w14:textFill>
            <w14:solidFill>
              <w14:schemeClr w14:val="tx1">
                <w14:lumMod w14:val="95000"/>
                <w14:lumOff w14:val="5000"/>
              </w14:schemeClr>
            </w14:solidFill>
          </w14:textFill>
        </w:rPr>
        <w:t>；</w:t>
      </w:r>
    </w:p>
    <w:p w14:paraId="103C2BA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（4）建设单位应当按照联单填写的内容对危险废物核实验收，如实填写联单中</w:t>
      </w:r>
      <w:r>
        <w:rPr>
          <w:rFonts w:hint="eastAsia"/>
          <w:color w:val="0D0D0D" w:themeColor="text1" w:themeTint="F2"/>
          <w:lang w:eastAsia="zh-CN"/>
          <w14:textFill>
            <w14:solidFill>
              <w14:schemeClr w14:val="tx1">
                <w14:lumMod w14:val="95000"/>
                <w14:lumOff w14:val="5000"/>
              </w14:schemeClr>
            </w14:solidFill>
          </w14:textFill>
        </w:rPr>
        <w:t>接收单位</w:t>
      </w:r>
      <w:r>
        <w:rPr>
          <w:rFonts w:hint="eastAsia"/>
          <w:color w:val="0D0D0D" w:themeColor="text1" w:themeTint="F2"/>
          <w14:textFill>
            <w14:solidFill>
              <w14:schemeClr w14:val="tx1">
                <w14:lumMod w14:val="95000"/>
                <w14:lumOff w14:val="5000"/>
              </w14:schemeClr>
            </w14:solidFill>
          </w14:textFill>
        </w:rPr>
        <w:t>栏目并加盖公章。如在核实验收过程中发现危险废物的名称、数量、特性、形态、包装方式与联单填写内容不符的，应当及时向</w:t>
      </w:r>
      <w:r>
        <w:rPr>
          <w:rFonts w:hint="eastAsia"/>
          <w:color w:val="0D0D0D" w:themeColor="text1" w:themeTint="F2"/>
          <w:lang w:eastAsia="zh-CN"/>
          <w14:textFill>
            <w14:solidFill>
              <w14:schemeClr w14:val="tx1">
                <w14:lumMod w14:val="95000"/>
                <w14:lumOff w14:val="5000"/>
              </w14:schemeClr>
            </w14:solidFill>
          </w14:textFill>
        </w:rPr>
        <w:t>接收</w:t>
      </w:r>
      <w:r>
        <w:rPr>
          <w:rFonts w:hint="eastAsia"/>
          <w:color w:val="0D0D0D" w:themeColor="text1" w:themeTint="F2"/>
          <w14:textFill>
            <w14:solidFill>
              <w14:schemeClr w14:val="tx1">
                <w14:lumMod w14:val="95000"/>
                <w14:lumOff w14:val="5000"/>
              </w14:schemeClr>
            </w14:solidFill>
          </w14:textFill>
        </w:rPr>
        <w:t>地环境保护行政主管部门报告。</w:t>
      </w:r>
    </w:p>
    <w:p w14:paraId="569FC4F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（5）危险废物的运输单位和运输车辆将经过本公司的检查，须持有主管部门签发的许可证，负责废物的运输司机也必须持有证明文件。</w:t>
      </w:r>
    </w:p>
    <w:p w14:paraId="1A37F16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（6）危险废物道路运输车辆均配置危险废物警示标志，根据装运危险废物特性和包装形式采用密闭货车、桶装、袋装及液态罐车车型运输。</w:t>
      </w:r>
    </w:p>
    <w:p w14:paraId="6799CC0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（7）车辆所载危险废物将注明废物来源、性质和运往地点，必要时将派专门人员负责押运。</w:t>
      </w:r>
    </w:p>
    <w:p w14:paraId="30BAEA9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（8）组织危险废物的运输单位，在事先也应作出周密的运输计划和行驶路线，其中包括有效的废物泄漏情况下的应急措施。对每辆危险废物运输车辆实行GPS 监控管理，实时监督危险废物运输现况。</w:t>
      </w:r>
    </w:p>
    <w:p w14:paraId="0A8C10F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9）委托的运输公司注重对运输车司机的培训，不仅要求运输车辆严格按照指定的运输路线行驶，并注重运输过程的安全，而且还培训运输路线经过的河流及市镇村庄等保护目标，并强化对保护目标的保护意识，做到主动减速慢行，减少事故风险。</w:t>
      </w:r>
    </w:p>
    <w:p w14:paraId="1152A4E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（10）装车完毕，在车辆启动前，逐个检查盛装废液容器是否有漏点，容器盖是否盖严等，杜绝容器泄漏造成的污染。</w:t>
      </w:r>
    </w:p>
    <w:p w14:paraId="5FEBD50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（11）运输过程中，应严格控制车速，避免紧急制动、急加速等，防止因上述操作造成容器间发生碰撞引起的容器破损或容器盖失位。</w:t>
      </w:r>
    </w:p>
    <w:p w14:paraId="41FAB8B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（12）运输车辆的车厢设置防渗漏垫层。</w:t>
      </w:r>
    </w:p>
    <w:p w14:paraId="388A6B5B">
      <w:pPr>
        <w:pStyle w:val="10"/>
      </w:pPr>
      <w:r>
        <w:rPr>
          <w:rFonts w:hint="eastAsia"/>
        </w:rPr>
        <w:t>危险废物委托处置影响分析</w:t>
      </w:r>
    </w:p>
    <w:p w14:paraId="532BC88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钦州市生态环境局公布的钦州市危险废物经营许可情况，考虑就近及属地原则，本项目产生的危险废物可根据危险废物经营单位核准经营危险废物类别，可委托广西地山环保技术有限公司等有危险废物处置资质的企业处置或综合利用。</w:t>
      </w:r>
    </w:p>
    <w:p w14:paraId="0550013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广西地山环保技术有限公司位于钦州市钦南区黎合江工业集中区，许可编号为</w:t>
      </w:r>
      <w:r>
        <w:rPr>
          <w:color w:val="0D0D0D" w:themeColor="text1" w:themeTint="F2"/>
          <w14:textFill>
            <w14:solidFill>
              <w14:schemeClr w14:val="tx1">
                <w14:lumMod w14:val="95000"/>
                <w14:lumOff w14:val="5000"/>
              </w14:schemeClr>
            </w14:solidFill>
          </w14:textFill>
        </w:rPr>
        <w:t>GXQZ2022002</w:t>
      </w:r>
      <w:r>
        <w:rPr>
          <w:rFonts w:hint="eastAsia"/>
          <w:color w:val="0D0D0D" w:themeColor="text1" w:themeTint="F2"/>
          <w14:textFill>
            <w14:solidFill>
              <w14:schemeClr w14:val="tx1">
                <w14:lumMod w14:val="95000"/>
                <w14:lumOff w14:val="5000"/>
              </w14:schemeClr>
            </w14:solidFill>
          </w14:textFill>
        </w:rPr>
        <w:t>，发证机关为广西壮族自治区生态环境厅，核准经营危险废物类别及规模为：收集、贮存HW02-05、HW08-09、HW11-13、HW16-17、HW31、HW34-35、HW39、HW49-50共17个大类142个小类危险废物，规模为1.8万吨/年，许可证有效期至2027年12月22日，联系人及联系方式为马端波</w:t>
      </w:r>
      <w:r>
        <w:rPr>
          <w:color w:val="0D0D0D" w:themeColor="text1" w:themeTint="F2"/>
          <w14:textFill>
            <w14:solidFill>
              <w14:schemeClr w14:val="tx1">
                <w14:lumMod w14:val="95000"/>
                <w14:lumOff w14:val="5000"/>
              </w14:schemeClr>
            </w14:solidFill>
          </w14:textFill>
        </w:rPr>
        <w:t>13707880393</w:t>
      </w:r>
      <w:r>
        <w:rPr>
          <w:rFonts w:hint="eastAsia"/>
          <w:color w:val="0D0D0D" w:themeColor="text1" w:themeTint="F2"/>
          <w14:textFill>
            <w14:solidFill>
              <w14:schemeClr w14:val="tx1">
                <w14:lumMod w14:val="95000"/>
                <w14:lumOff w14:val="5000"/>
              </w14:schemeClr>
            </w14:solidFill>
          </w14:textFill>
        </w:rPr>
        <w:t>。</w:t>
      </w:r>
    </w:p>
    <w:p w14:paraId="1C192A7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项目危险废物种类为HW08、HW49和HW50，该企业具有接受处置项目危险废物的资质，项目危废可委托该资质单位清运处置。</w:t>
      </w:r>
    </w:p>
    <w:p w14:paraId="0D90E838">
      <w:pPr>
        <w:pStyle w:val="10"/>
      </w:pPr>
      <w:r>
        <w:rPr>
          <w:rFonts w:hint="eastAsia"/>
        </w:rPr>
        <w:t>危险废物管理要求</w:t>
      </w:r>
    </w:p>
    <w:p w14:paraId="7AA1CCA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危险废物的管理按照危险废物相关导则、标准、技术规范等要求进行，推行危险废物的无害化、减量化、资源化，严格落实危险废物环境管理与监测制度，对项目危险废物收集、贮存、运输、利用、处置各环节进行全过程环境监管。</w:t>
      </w:r>
    </w:p>
    <w:p w14:paraId="4C4DF87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危险废物管理计划和管理台账制定技术导则》（HJ1259-2022），项目危险废物年产生量在10t以下，属于危险废物登记管理单位。建设单位应制定危险废物管理计划，内容应当包括单位基本信息、危险废物产生情况信息、危险废物转移情况信息；通过国家危险废物信息管理系统向所在地生态环境主管部门备案危险废物管理计划，申报危险废物有关资料。</w:t>
      </w:r>
    </w:p>
    <w:p w14:paraId="3E92D0F4">
      <w:pPr>
        <w:pStyle w:val="10"/>
      </w:pPr>
      <w:r>
        <w:rPr>
          <w:rFonts w:hint="eastAsia"/>
        </w:rPr>
        <w:t>小结</w:t>
      </w:r>
    </w:p>
    <w:p w14:paraId="58CECF4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综上所述，项目固体废物均采取了相应的处置措施，只要建设单位认真落实本环评提出的各项固体废物处置措施，并按照固体废物的相关管理要求，加强各类固体废物的收集、分类储存、转移和处置管理，项目产生的固体废物均不会造成二次污染，对环境的影响较小。</w:t>
      </w:r>
    </w:p>
    <w:p w14:paraId="5FC1AB37">
      <w:pPr>
        <w:pStyle w:val="8"/>
      </w:pPr>
      <w:bookmarkStart w:id="184" w:name="_Toc204062647"/>
      <w:r>
        <w:rPr>
          <w:rFonts w:hint="eastAsia"/>
        </w:rPr>
        <w:t>运营期土壤环境影响分析</w:t>
      </w:r>
      <w:bookmarkEnd w:id="184"/>
    </w:p>
    <w:p w14:paraId="212AEBA8">
      <w:pPr>
        <w:pStyle w:val="9"/>
      </w:pPr>
      <w:bookmarkStart w:id="185" w:name="_Toc204062648"/>
      <w:r>
        <w:rPr>
          <w:rFonts w:hint="eastAsia"/>
        </w:rPr>
        <w:t>土壤环境影响识别</w:t>
      </w:r>
      <w:bookmarkEnd w:id="185"/>
    </w:p>
    <w:p w14:paraId="28F7B18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项目废气中无重金属污染物，因此，废气大气沉降对周边的土壤环境影响以有机气体为主。本次评价大气沉降主要考虑非甲烷总烃为主要影响源。</w:t>
      </w:r>
    </w:p>
    <w:p w14:paraId="7B44356D">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化工企业的实际情况分析，如果是装置区或罐区等可视场所发生硬化面破损，即使有物料或污水等泄漏，建设单位必须及时采取措施，不可能任由物料或污水漫流渗漏，任其渗入土壤，且储罐区设有单独围堰并进行防渗处理。因此，只在污水管线、污水处理站等这些半地下非可视部位发生小面积渗漏时，才可能有少量物料通过漏点，逐渐渗入进入土壤。非正常情况下，本项目可能对土壤环境造成污染的是污水处理站泄漏污染物下渗进入土壤，污染占地范围内土壤环境。项目罐区围堰、厂区污水处理站等均采用人工防渗，罐区围堰、事故应急池及初期雨水池平时空置，定期检查，有无裂纹，出现裂纹则及时处理，可以保证使用时不会发生渗漏现象。如果废水处理设施故障溢出，溢出废水会流入事故应急池，不会进入周边环境土壤。</w:t>
      </w:r>
    </w:p>
    <w:p w14:paraId="570F106C">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综上，项目对土壤环境的影响途径主要为运营期废气排放后通过大气沉降进入土壤，因此本次评价选择运营期大气污染物通过大气沉降以及垂直入渗对土壤的影响进行预测。</w:t>
      </w:r>
    </w:p>
    <w:p w14:paraId="12E3B98C">
      <w:pPr>
        <w:pStyle w:val="11"/>
      </w:pPr>
      <w:r>
        <w:rPr>
          <w:rFonts w:hint="eastAsia"/>
        </w:rPr>
        <w:t xml:space="preserve"> 项目土壤环境影响类型与影响途径表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8"/>
        <w:gridCol w:w="1926"/>
        <w:gridCol w:w="1926"/>
        <w:gridCol w:w="1926"/>
        <w:gridCol w:w="1146"/>
      </w:tblGrid>
      <w:tr w14:paraId="31BED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254" w:type="pct"/>
            <w:vMerge w:val="restart"/>
            <w:vAlign w:val="center"/>
          </w:tcPr>
          <w:p w14:paraId="4551FD1C">
            <w:pPr>
              <w:spacing w:line="240" w:lineRule="auto"/>
              <w:jc w:val="center"/>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不同时期</w:t>
            </w:r>
          </w:p>
        </w:tc>
        <w:tc>
          <w:tcPr>
            <w:tcW w:w="3746" w:type="pct"/>
            <w:gridSpan w:val="4"/>
            <w:vAlign w:val="center"/>
          </w:tcPr>
          <w:p w14:paraId="7567FF6C">
            <w:pPr>
              <w:spacing w:line="240" w:lineRule="auto"/>
              <w:jc w:val="center"/>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污染影响型</w:t>
            </w:r>
          </w:p>
        </w:tc>
      </w:tr>
      <w:tr w14:paraId="7E91A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4" w:type="pct"/>
            <w:vMerge w:val="continue"/>
            <w:vAlign w:val="center"/>
          </w:tcPr>
          <w:p w14:paraId="00CFA21C">
            <w:pPr>
              <w:spacing w:line="240" w:lineRule="auto"/>
              <w:jc w:val="center"/>
              <w:rPr>
                <w:bCs/>
                <w:color w:val="0D0D0D" w:themeColor="text1" w:themeTint="F2"/>
                <w:spacing w:val="12"/>
                <w:sz w:val="21"/>
                <w14:textFill>
                  <w14:solidFill>
                    <w14:schemeClr w14:val="tx1">
                      <w14:lumMod w14:val="95000"/>
                      <w14:lumOff w14:val="5000"/>
                    </w14:schemeClr>
                  </w14:solidFill>
                </w14:textFill>
              </w:rPr>
            </w:pPr>
          </w:p>
        </w:tc>
        <w:tc>
          <w:tcPr>
            <w:tcW w:w="1042" w:type="pct"/>
            <w:vAlign w:val="center"/>
          </w:tcPr>
          <w:p w14:paraId="388AC8B7">
            <w:pPr>
              <w:spacing w:line="240" w:lineRule="auto"/>
              <w:jc w:val="center"/>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大气沉降</w:t>
            </w:r>
          </w:p>
        </w:tc>
        <w:tc>
          <w:tcPr>
            <w:tcW w:w="1042" w:type="pct"/>
            <w:vAlign w:val="center"/>
          </w:tcPr>
          <w:p w14:paraId="3F42E554">
            <w:pPr>
              <w:spacing w:line="240" w:lineRule="auto"/>
              <w:jc w:val="center"/>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地面漫流</w:t>
            </w:r>
          </w:p>
        </w:tc>
        <w:tc>
          <w:tcPr>
            <w:tcW w:w="1042" w:type="pct"/>
            <w:vAlign w:val="center"/>
          </w:tcPr>
          <w:p w14:paraId="0464AC73">
            <w:pPr>
              <w:spacing w:line="240" w:lineRule="auto"/>
              <w:jc w:val="center"/>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垂直入渗</w:t>
            </w:r>
          </w:p>
        </w:tc>
        <w:tc>
          <w:tcPr>
            <w:tcW w:w="620" w:type="pct"/>
            <w:vAlign w:val="center"/>
          </w:tcPr>
          <w:p w14:paraId="25385E98">
            <w:pPr>
              <w:spacing w:line="240" w:lineRule="auto"/>
              <w:jc w:val="center"/>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其他</w:t>
            </w:r>
          </w:p>
        </w:tc>
      </w:tr>
      <w:tr w14:paraId="4CD3C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4" w:type="pct"/>
            <w:vAlign w:val="center"/>
          </w:tcPr>
          <w:p w14:paraId="3452D863">
            <w:pPr>
              <w:spacing w:line="240" w:lineRule="auto"/>
              <w:jc w:val="center"/>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建设期</w:t>
            </w:r>
          </w:p>
        </w:tc>
        <w:tc>
          <w:tcPr>
            <w:tcW w:w="1042" w:type="pct"/>
            <w:vAlign w:val="center"/>
          </w:tcPr>
          <w:p w14:paraId="6944299A">
            <w:pPr>
              <w:spacing w:line="240" w:lineRule="auto"/>
              <w:jc w:val="center"/>
              <w:rPr>
                <w:bCs/>
                <w:color w:val="0D0D0D" w:themeColor="text1" w:themeTint="F2"/>
                <w:spacing w:val="12"/>
                <w:sz w:val="21"/>
                <w14:textFill>
                  <w14:solidFill>
                    <w14:schemeClr w14:val="tx1">
                      <w14:lumMod w14:val="95000"/>
                      <w14:lumOff w14:val="5000"/>
                    </w14:schemeClr>
                  </w14:solidFill>
                </w14:textFill>
              </w:rPr>
            </w:pPr>
          </w:p>
        </w:tc>
        <w:tc>
          <w:tcPr>
            <w:tcW w:w="1042" w:type="pct"/>
            <w:vAlign w:val="center"/>
          </w:tcPr>
          <w:p w14:paraId="76FCD867">
            <w:pPr>
              <w:spacing w:line="240" w:lineRule="auto"/>
              <w:jc w:val="center"/>
              <w:rPr>
                <w:bCs/>
                <w:color w:val="0D0D0D" w:themeColor="text1" w:themeTint="F2"/>
                <w:spacing w:val="12"/>
                <w:sz w:val="21"/>
                <w14:textFill>
                  <w14:solidFill>
                    <w14:schemeClr w14:val="tx1">
                      <w14:lumMod w14:val="95000"/>
                      <w14:lumOff w14:val="5000"/>
                    </w14:schemeClr>
                  </w14:solidFill>
                </w14:textFill>
              </w:rPr>
            </w:pPr>
          </w:p>
        </w:tc>
        <w:tc>
          <w:tcPr>
            <w:tcW w:w="1042" w:type="pct"/>
            <w:vAlign w:val="center"/>
          </w:tcPr>
          <w:p w14:paraId="5D06D0FE">
            <w:pPr>
              <w:spacing w:line="240" w:lineRule="auto"/>
              <w:jc w:val="center"/>
              <w:rPr>
                <w:bCs/>
                <w:color w:val="0D0D0D" w:themeColor="text1" w:themeTint="F2"/>
                <w:spacing w:val="12"/>
                <w:sz w:val="21"/>
                <w14:textFill>
                  <w14:solidFill>
                    <w14:schemeClr w14:val="tx1">
                      <w14:lumMod w14:val="95000"/>
                      <w14:lumOff w14:val="5000"/>
                    </w14:schemeClr>
                  </w14:solidFill>
                </w14:textFill>
              </w:rPr>
            </w:pPr>
          </w:p>
        </w:tc>
        <w:tc>
          <w:tcPr>
            <w:tcW w:w="620" w:type="pct"/>
            <w:vAlign w:val="center"/>
          </w:tcPr>
          <w:p w14:paraId="698C7790">
            <w:pPr>
              <w:spacing w:line="240" w:lineRule="auto"/>
              <w:jc w:val="center"/>
              <w:rPr>
                <w:bCs/>
                <w:color w:val="0D0D0D" w:themeColor="text1" w:themeTint="F2"/>
                <w:spacing w:val="12"/>
                <w:sz w:val="21"/>
                <w14:textFill>
                  <w14:solidFill>
                    <w14:schemeClr w14:val="tx1">
                      <w14:lumMod w14:val="95000"/>
                      <w14:lumOff w14:val="5000"/>
                    </w14:schemeClr>
                  </w14:solidFill>
                </w14:textFill>
              </w:rPr>
            </w:pPr>
          </w:p>
        </w:tc>
      </w:tr>
      <w:tr w14:paraId="1E2E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4" w:type="pct"/>
            <w:vAlign w:val="center"/>
          </w:tcPr>
          <w:p w14:paraId="7290C65C">
            <w:pPr>
              <w:spacing w:line="240" w:lineRule="auto"/>
              <w:jc w:val="center"/>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运营期</w:t>
            </w:r>
          </w:p>
        </w:tc>
        <w:tc>
          <w:tcPr>
            <w:tcW w:w="1042" w:type="pct"/>
            <w:vAlign w:val="center"/>
          </w:tcPr>
          <w:p w14:paraId="37169F46">
            <w:pPr>
              <w:spacing w:line="240" w:lineRule="auto"/>
              <w:jc w:val="center"/>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w:t>
            </w:r>
          </w:p>
        </w:tc>
        <w:tc>
          <w:tcPr>
            <w:tcW w:w="1042" w:type="pct"/>
            <w:vAlign w:val="center"/>
          </w:tcPr>
          <w:p w14:paraId="79E910F9">
            <w:pPr>
              <w:spacing w:line="240" w:lineRule="auto"/>
              <w:jc w:val="center"/>
              <w:rPr>
                <w:bCs/>
                <w:color w:val="0D0D0D" w:themeColor="text1" w:themeTint="F2"/>
                <w:spacing w:val="12"/>
                <w:sz w:val="21"/>
                <w14:textFill>
                  <w14:solidFill>
                    <w14:schemeClr w14:val="tx1">
                      <w14:lumMod w14:val="95000"/>
                      <w14:lumOff w14:val="5000"/>
                    </w14:schemeClr>
                  </w14:solidFill>
                </w14:textFill>
              </w:rPr>
            </w:pPr>
          </w:p>
        </w:tc>
        <w:tc>
          <w:tcPr>
            <w:tcW w:w="1042" w:type="pct"/>
            <w:vAlign w:val="center"/>
          </w:tcPr>
          <w:p w14:paraId="7D3D2AC5">
            <w:pPr>
              <w:spacing w:line="240" w:lineRule="auto"/>
              <w:jc w:val="center"/>
              <w:rPr>
                <w:bCs/>
                <w:color w:val="0D0D0D" w:themeColor="text1" w:themeTint="F2"/>
                <w:spacing w:val="12"/>
                <w:sz w:val="21"/>
                <w14:textFill>
                  <w14:solidFill>
                    <w14:schemeClr w14:val="tx1">
                      <w14:lumMod w14:val="95000"/>
                      <w14:lumOff w14:val="5000"/>
                    </w14:schemeClr>
                  </w14:solidFill>
                </w14:textFill>
              </w:rPr>
            </w:pPr>
          </w:p>
        </w:tc>
        <w:tc>
          <w:tcPr>
            <w:tcW w:w="620" w:type="pct"/>
            <w:vAlign w:val="center"/>
          </w:tcPr>
          <w:p w14:paraId="2E9ED3C2">
            <w:pPr>
              <w:spacing w:line="240" w:lineRule="auto"/>
              <w:jc w:val="center"/>
              <w:rPr>
                <w:bCs/>
                <w:color w:val="0D0D0D" w:themeColor="text1" w:themeTint="F2"/>
                <w:spacing w:val="12"/>
                <w:sz w:val="21"/>
                <w14:textFill>
                  <w14:solidFill>
                    <w14:schemeClr w14:val="tx1">
                      <w14:lumMod w14:val="95000"/>
                      <w14:lumOff w14:val="5000"/>
                    </w14:schemeClr>
                  </w14:solidFill>
                </w14:textFill>
              </w:rPr>
            </w:pPr>
          </w:p>
        </w:tc>
      </w:tr>
      <w:tr w14:paraId="04497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4" w:type="pct"/>
            <w:vAlign w:val="center"/>
          </w:tcPr>
          <w:p w14:paraId="7AFBE5EC">
            <w:pPr>
              <w:spacing w:line="240" w:lineRule="auto"/>
              <w:jc w:val="center"/>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服务期满后</w:t>
            </w:r>
          </w:p>
        </w:tc>
        <w:tc>
          <w:tcPr>
            <w:tcW w:w="1042" w:type="pct"/>
            <w:vAlign w:val="center"/>
          </w:tcPr>
          <w:p w14:paraId="2CB094C8">
            <w:pPr>
              <w:spacing w:line="240" w:lineRule="auto"/>
              <w:jc w:val="center"/>
              <w:rPr>
                <w:bCs/>
                <w:color w:val="0D0D0D" w:themeColor="text1" w:themeTint="F2"/>
                <w:spacing w:val="12"/>
                <w:sz w:val="21"/>
                <w14:textFill>
                  <w14:solidFill>
                    <w14:schemeClr w14:val="tx1">
                      <w14:lumMod w14:val="95000"/>
                      <w14:lumOff w14:val="5000"/>
                    </w14:schemeClr>
                  </w14:solidFill>
                </w14:textFill>
              </w:rPr>
            </w:pPr>
          </w:p>
        </w:tc>
        <w:tc>
          <w:tcPr>
            <w:tcW w:w="1042" w:type="pct"/>
            <w:vAlign w:val="center"/>
          </w:tcPr>
          <w:p w14:paraId="0D4894DA">
            <w:pPr>
              <w:spacing w:line="240" w:lineRule="auto"/>
              <w:jc w:val="center"/>
              <w:rPr>
                <w:bCs/>
                <w:color w:val="0D0D0D" w:themeColor="text1" w:themeTint="F2"/>
                <w:spacing w:val="12"/>
                <w:sz w:val="21"/>
                <w14:textFill>
                  <w14:solidFill>
                    <w14:schemeClr w14:val="tx1">
                      <w14:lumMod w14:val="95000"/>
                      <w14:lumOff w14:val="5000"/>
                    </w14:schemeClr>
                  </w14:solidFill>
                </w14:textFill>
              </w:rPr>
            </w:pPr>
          </w:p>
        </w:tc>
        <w:tc>
          <w:tcPr>
            <w:tcW w:w="1042" w:type="pct"/>
            <w:vAlign w:val="center"/>
          </w:tcPr>
          <w:p w14:paraId="34831AA8">
            <w:pPr>
              <w:spacing w:line="240" w:lineRule="auto"/>
              <w:jc w:val="center"/>
              <w:rPr>
                <w:bCs/>
                <w:color w:val="0D0D0D" w:themeColor="text1" w:themeTint="F2"/>
                <w:spacing w:val="12"/>
                <w:sz w:val="21"/>
                <w14:textFill>
                  <w14:solidFill>
                    <w14:schemeClr w14:val="tx1">
                      <w14:lumMod w14:val="95000"/>
                      <w14:lumOff w14:val="5000"/>
                    </w14:schemeClr>
                  </w14:solidFill>
                </w14:textFill>
              </w:rPr>
            </w:pPr>
          </w:p>
        </w:tc>
        <w:tc>
          <w:tcPr>
            <w:tcW w:w="620" w:type="pct"/>
            <w:vAlign w:val="center"/>
          </w:tcPr>
          <w:p w14:paraId="24A25FFF">
            <w:pPr>
              <w:spacing w:line="240" w:lineRule="auto"/>
              <w:jc w:val="center"/>
              <w:rPr>
                <w:bCs/>
                <w:color w:val="0D0D0D" w:themeColor="text1" w:themeTint="F2"/>
                <w:spacing w:val="12"/>
                <w:sz w:val="21"/>
                <w14:textFill>
                  <w14:solidFill>
                    <w14:schemeClr w14:val="tx1">
                      <w14:lumMod w14:val="95000"/>
                      <w14:lumOff w14:val="5000"/>
                    </w14:schemeClr>
                  </w14:solidFill>
                </w14:textFill>
              </w:rPr>
            </w:pPr>
          </w:p>
        </w:tc>
      </w:tr>
      <w:tr w14:paraId="489CC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5"/>
            <w:vAlign w:val="center"/>
          </w:tcPr>
          <w:p w14:paraId="12B1C344">
            <w:pPr>
              <w:spacing w:line="240" w:lineRule="auto"/>
              <w:jc w:val="center"/>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注：在可能产生的土壤环境影响类型处打“√”，列表未涵盖的可自行设计。</w:t>
            </w:r>
          </w:p>
        </w:tc>
      </w:tr>
    </w:tbl>
    <w:p w14:paraId="6EC0E1AE">
      <w:pPr>
        <w:pStyle w:val="9"/>
      </w:pPr>
      <w:bookmarkStart w:id="186" w:name="_Toc204062649"/>
      <w:r>
        <w:rPr>
          <w:rFonts w:hint="eastAsia"/>
        </w:rPr>
        <w:t>土壤环境影响源及影响因子识别</w:t>
      </w:r>
      <w:bookmarkEnd w:id="186"/>
    </w:p>
    <w:p w14:paraId="789ED14F">
      <w:pPr>
        <w:ind w:firstLine="528"/>
        <w:rPr>
          <w:bCs/>
          <w:color w:val="0D0D0D" w:themeColor="text1" w:themeTint="F2"/>
          <w:spacing w:val="12"/>
          <w14:textFill>
            <w14:solidFill>
              <w14:schemeClr w14:val="tx1">
                <w14:lumMod w14:val="95000"/>
                <w14:lumOff w14:val="5000"/>
              </w14:schemeClr>
            </w14:solidFill>
          </w14:textFill>
        </w:rPr>
      </w:pPr>
      <w:r>
        <w:rPr>
          <w:rFonts w:hint="eastAsia"/>
          <w:bCs/>
          <w:color w:val="0D0D0D" w:themeColor="text1" w:themeTint="F2"/>
          <w:spacing w:val="12"/>
          <w14:textFill>
            <w14:solidFill>
              <w14:schemeClr w14:val="tx1">
                <w14:lumMod w14:val="95000"/>
                <w14:lumOff w14:val="5000"/>
              </w14:schemeClr>
            </w14:solidFill>
          </w14:textFill>
        </w:rPr>
        <w:t>根据工程分析，项目土壤环境影响源及影响因子识别详见表5.7-2。</w:t>
      </w:r>
    </w:p>
    <w:p w14:paraId="7FD0C2B3">
      <w:pPr>
        <w:pStyle w:val="11"/>
      </w:pPr>
      <w:r>
        <w:rPr>
          <w:rFonts w:hint="eastAsia"/>
        </w:rPr>
        <w:t xml:space="preserve"> 项目土壤环境影响源及影响因子识别表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2"/>
        <w:gridCol w:w="1497"/>
        <w:gridCol w:w="1343"/>
        <w:gridCol w:w="3298"/>
        <w:gridCol w:w="1031"/>
        <w:gridCol w:w="451"/>
      </w:tblGrid>
      <w:tr w14:paraId="35CB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10" w:type="dxa"/>
            <w:vAlign w:val="center"/>
          </w:tcPr>
          <w:p w14:paraId="06CA48BD">
            <w:pPr>
              <w:spacing w:line="240" w:lineRule="auto"/>
              <w:jc w:val="center"/>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污染源</w:t>
            </w:r>
          </w:p>
        </w:tc>
        <w:tc>
          <w:tcPr>
            <w:tcW w:w="1474" w:type="dxa"/>
            <w:vAlign w:val="center"/>
          </w:tcPr>
          <w:p w14:paraId="1C68D5A1">
            <w:pPr>
              <w:spacing w:line="240" w:lineRule="auto"/>
              <w:jc w:val="center"/>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工艺流程/</w:t>
            </w:r>
          </w:p>
          <w:p w14:paraId="195529F1">
            <w:pPr>
              <w:spacing w:line="240" w:lineRule="auto"/>
              <w:jc w:val="center"/>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节点</w:t>
            </w:r>
          </w:p>
        </w:tc>
        <w:tc>
          <w:tcPr>
            <w:tcW w:w="1306" w:type="dxa"/>
            <w:vAlign w:val="center"/>
          </w:tcPr>
          <w:p w14:paraId="7336CDA0">
            <w:pPr>
              <w:spacing w:line="240" w:lineRule="auto"/>
              <w:jc w:val="center"/>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污染途径</w:t>
            </w:r>
          </w:p>
        </w:tc>
        <w:tc>
          <w:tcPr>
            <w:tcW w:w="3209" w:type="dxa"/>
            <w:vAlign w:val="center"/>
          </w:tcPr>
          <w:p w14:paraId="187B737B">
            <w:pPr>
              <w:spacing w:line="240" w:lineRule="auto"/>
              <w:jc w:val="center"/>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全部污染指标</w:t>
            </w:r>
            <w:r>
              <w:rPr>
                <w:rFonts w:hint="eastAsia"/>
                <w:bCs/>
                <w:color w:val="0D0D0D" w:themeColor="text1" w:themeTint="F2"/>
                <w:spacing w:val="12"/>
                <w:sz w:val="21"/>
                <w:vertAlign w:val="superscript"/>
                <w14:textFill>
                  <w14:solidFill>
                    <w14:schemeClr w14:val="tx1">
                      <w14:lumMod w14:val="95000"/>
                      <w14:lumOff w14:val="5000"/>
                    </w14:schemeClr>
                  </w14:solidFill>
                </w14:textFill>
              </w:rPr>
              <w:t>①</w:t>
            </w:r>
          </w:p>
        </w:tc>
        <w:tc>
          <w:tcPr>
            <w:tcW w:w="966" w:type="dxa"/>
            <w:vAlign w:val="center"/>
          </w:tcPr>
          <w:p w14:paraId="6F2B0BAD">
            <w:pPr>
              <w:spacing w:line="240" w:lineRule="auto"/>
              <w:jc w:val="center"/>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特征</w:t>
            </w:r>
          </w:p>
          <w:p w14:paraId="5309EF01">
            <w:pPr>
              <w:spacing w:line="240" w:lineRule="auto"/>
              <w:jc w:val="center"/>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因子</w:t>
            </w:r>
          </w:p>
        </w:tc>
        <w:tc>
          <w:tcPr>
            <w:tcW w:w="0" w:type="auto"/>
            <w:vAlign w:val="center"/>
          </w:tcPr>
          <w:p w14:paraId="3F22D17B">
            <w:pPr>
              <w:spacing w:line="240" w:lineRule="auto"/>
              <w:jc w:val="center"/>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备注</w:t>
            </w:r>
            <w:r>
              <w:rPr>
                <w:rFonts w:hint="eastAsia"/>
                <w:bCs/>
                <w:color w:val="0D0D0D" w:themeColor="text1" w:themeTint="F2"/>
                <w:spacing w:val="12"/>
                <w:sz w:val="21"/>
                <w:vertAlign w:val="superscript"/>
                <w14:textFill>
                  <w14:solidFill>
                    <w14:schemeClr w14:val="tx1">
                      <w14:lumMod w14:val="95000"/>
                      <w14:lumOff w14:val="5000"/>
                    </w14:schemeClr>
                  </w14:solidFill>
                </w14:textFill>
              </w:rPr>
              <w:t>②</w:t>
            </w:r>
          </w:p>
        </w:tc>
      </w:tr>
      <w:tr w14:paraId="084F4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10" w:type="dxa"/>
            <w:vAlign w:val="center"/>
          </w:tcPr>
          <w:p w14:paraId="7EDCC6F3">
            <w:pPr>
              <w:spacing w:line="240" w:lineRule="auto"/>
              <w:jc w:val="center"/>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污水处理站</w:t>
            </w:r>
          </w:p>
        </w:tc>
        <w:tc>
          <w:tcPr>
            <w:tcW w:w="1474" w:type="dxa"/>
            <w:vAlign w:val="center"/>
          </w:tcPr>
          <w:p w14:paraId="76C94EA9">
            <w:pPr>
              <w:spacing w:line="240" w:lineRule="auto"/>
              <w:jc w:val="center"/>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污水处理</w:t>
            </w:r>
          </w:p>
        </w:tc>
        <w:tc>
          <w:tcPr>
            <w:tcW w:w="1306" w:type="dxa"/>
            <w:vAlign w:val="center"/>
          </w:tcPr>
          <w:p w14:paraId="23DBA94D">
            <w:pPr>
              <w:spacing w:line="240" w:lineRule="auto"/>
              <w:jc w:val="center"/>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垂直入渗</w:t>
            </w:r>
          </w:p>
        </w:tc>
        <w:tc>
          <w:tcPr>
            <w:tcW w:w="3209" w:type="dxa"/>
            <w:vAlign w:val="center"/>
          </w:tcPr>
          <w:p w14:paraId="3CFAA4D9">
            <w:pPr>
              <w:spacing w:line="240" w:lineRule="auto"/>
              <w:jc w:val="center"/>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COD、NH</w:t>
            </w:r>
            <w:r>
              <w:rPr>
                <w:rFonts w:hint="eastAsia"/>
                <w:bCs/>
                <w:color w:val="0D0D0D" w:themeColor="text1" w:themeTint="F2"/>
                <w:spacing w:val="12"/>
                <w:sz w:val="21"/>
                <w:vertAlign w:val="subscript"/>
                <w14:textFill>
                  <w14:solidFill>
                    <w14:schemeClr w14:val="tx1">
                      <w14:lumMod w14:val="95000"/>
                      <w14:lumOff w14:val="5000"/>
                    </w14:schemeClr>
                  </w14:solidFill>
                </w14:textFill>
              </w:rPr>
              <w:t>3</w:t>
            </w:r>
            <w:r>
              <w:rPr>
                <w:rFonts w:hint="eastAsia"/>
                <w:bCs/>
                <w:color w:val="0D0D0D" w:themeColor="text1" w:themeTint="F2"/>
                <w:spacing w:val="12"/>
                <w:sz w:val="21"/>
                <w14:textFill>
                  <w14:solidFill>
                    <w14:schemeClr w14:val="tx1">
                      <w14:lumMod w14:val="95000"/>
                      <w14:lumOff w14:val="5000"/>
                    </w14:schemeClr>
                  </w14:solidFill>
                </w14:textFill>
              </w:rPr>
              <w:t>-N、BOD</w:t>
            </w:r>
            <w:r>
              <w:rPr>
                <w:rFonts w:hint="eastAsia"/>
                <w:bCs/>
                <w:color w:val="0D0D0D" w:themeColor="text1" w:themeTint="F2"/>
                <w:spacing w:val="12"/>
                <w:sz w:val="21"/>
                <w:vertAlign w:val="subscript"/>
                <w14:textFill>
                  <w14:solidFill>
                    <w14:schemeClr w14:val="tx1">
                      <w14:lumMod w14:val="95000"/>
                      <w14:lumOff w14:val="5000"/>
                    </w14:schemeClr>
                  </w14:solidFill>
                </w14:textFill>
              </w:rPr>
              <w:t>5</w:t>
            </w:r>
            <w:r>
              <w:rPr>
                <w:rFonts w:hint="eastAsia"/>
                <w:bCs/>
                <w:color w:val="0D0D0D" w:themeColor="text1" w:themeTint="F2"/>
                <w:spacing w:val="12"/>
                <w:sz w:val="21"/>
                <w14:textFill>
                  <w14:solidFill>
                    <w14:schemeClr w14:val="tx1">
                      <w14:lumMod w14:val="95000"/>
                      <w14:lumOff w14:val="5000"/>
                    </w14:schemeClr>
                  </w14:solidFill>
                </w14:textFill>
              </w:rPr>
              <w:t>、SS等</w:t>
            </w:r>
          </w:p>
        </w:tc>
        <w:tc>
          <w:tcPr>
            <w:tcW w:w="966" w:type="dxa"/>
            <w:vAlign w:val="center"/>
          </w:tcPr>
          <w:p w14:paraId="7692E34F">
            <w:pPr>
              <w:spacing w:line="240" w:lineRule="auto"/>
              <w:jc w:val="center"/>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w:t>
            </w:r>
          </w:p>
        </w:tc>
        <w:tc>
          <w:tcPr>
            <w:tcW w:w="0" w:type="auto"/>
            <w:vAlign w:val="center"/>
          </w:tcPr>
          <w:p w14:paraId="7C273CAA">
            <w:pPr>
              <w:spacing w:line="240" w:lineRule="auto"/>
              <w:jc w:val="center"/>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事故</w:t>
            </w:r>
          </w:p>
        </w:tc>
      </w:tr>
      <w:tr w14:paraId="19E2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10" w:type="dxa"/>
            <w:vAlign w:val="center"/>
          </w:tcPr>
          <w:p w14:paraId="17CA2F2E">
            <w:pPr>
              <w:spacing w:line="240" w:lineRule="auto"/>
              <w:jc w:val="center"/>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厂区</w:t>
            </w:r>
          </w:p>
        </w:tc>
        <w:tc>
          <w:tcPr>
            <w:tcW w:w="1474" w:type="dxa"/>
            <w:vAlign w:val="center"/>
          </w:tcPr>
          <w:p w14:paraId="4280BDC5">
            <w:pPr>
              <w:spacing w:line="240" w:lineRule="auto"/>
              <w:jc w:val="center"/>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生产车间</w:t>
            </w:r>
          </w:p>
        </w:tc>
        <w:tc>
          <w:tcPr>
            <w:tcW w:w="1306" w:type="dxa"/>
            <w:vAlign w:val="center"/>
          </w:tcPr>
          <w:p w14:paraId="5FFD0209">
            <w:pPr>
              <w:spacing w:line="240" w:lineRule="auto"/>
              <w:jc w:val="center"/>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大气沉降</w:t>
            </w:r>
          </w:p>
        </w:tc>
        <w:tc>
          <w:tcPr>
            <w:tcW w:w="3209" w:type="dxa"/>
            <w:vAlign w:val="center"/>
          </w:tcPr>
          <w:p w14:paraId="0843FA73">
            <w:pPr>
              <w:spacing w:line="240" w:lineRule="auto"/>
              <w:jc w:val="center"/>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非甲烷总烃等</w:t>
            </w:r>
          </w:p>
        </w:tc>
        <w:tc>
          <w:tcPr>
            <w:tcW w:w="966" w:type="dxa"/>
            <w:vAlign w:val="center"/>
          </w:tcPr>
          <w:p w14:paraId="32EBC5D3">
            <w:pPr>
              <w:spacing w:line="240" w:lineRule="auto"/>
              <w:jc w:val="center"/>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非甲烷总烃</w:t>
            </w:r>
          </w:p>
        </w:tc>
        <w:tc>
          <w:tcPr>
            <w:tcW w:w="0" w:type="auto"/>
            <w:vAlign w:val="center"/>
          </w:tcPr>
          <w:p w14:paraId="1A110466">
            <w:pPr>
              <w:spacing w:line="240" w:lineRule="auto"/>
              <w:jc w:val="center"/>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事故</w:t>
            </w:r>
          </w:p>
        </w:tc>
      </w:tr>
      <w:tr w14:paraId="22341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gridSpan w:val="6"/>
            <w:vAlign w:val="center"/>
          </w:tcPr>
          <w:p w14:paraId="644CFF56">
            <w:pPr>
              <w:spacing w:line="240" w:lineRule="auto"/>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注：①根据工程分析结果填写。</w:t>
            </w:r>
          </w:p>
          <w:p w14:paraId="78EC743C">
            <w:pPr>
              <w:spacing w:line="240" w:lineRule="auto"/>
              <w:rPr>
                <w:bCs/>
                <w:color w:val="0D0D0D" w:themeColor="text1" w:themeTint="F2"/>
                <w:spacing w:val="12"/>
                <w:sz w:val="21"/>
                <w14:textFill>
                  <w14:solidFill>
                    <w14:schemeClr w14:val="tx1">
                      <w14:lumMod w14:val="95000"/>
                      <w14:lumOff w14:val="5000"/>
                    </w14:schemeClr>
                  </w14:solidFill>
                </w14:textFill>
              </w:rPr>
            </w:pPr>
            <w:r>
              <w:rPr>
                <w:rFonts w:hint="eastAsia"/>
                <w:bCs/>
                <w:color w:val="0D0D0D" w:themeColor="text1" w:themeTint="F2"/>
                <w:spacing w:val="12"/>
                <w:sz w:val="21"/>
                <w14:textFill>
                  <w14:solidFill>
                    <w14:schemeClr w14:val="tx1">
                      <w14:lumMod w14:val="95000"/>
                      <w14:lumOff w14:val="5000"/>
                    </w14:schemeClr>
                  </w14:solidFill>
                </w14:textFill>
              </w:rPr>
              <w:t>②应描述污染源特征，如连续、间断、正常、事故等；涉及大气沉降途径的，应识别建设项目周边的土壤环境敏感目标。</w:t>
            </w:r>
          </w:p>
        </w:tc>
      </w:tr>
    </w:tbl>
    <w:p w14:paraId="4303C307">
      <w:pPr>
        <w:pStyle w:val="9"/>
      </w:pPr>
      <w:bookmarkStart w:id="187" w:name="_Toc204062650"/>
      <w:r>
        <w:rPr>
          <w:rFonts w:hint="eastAsia"/>
        </w:rPr>
        <w:t>土壤环境影响分析</w:t>
      </w:r>
      <w:bookmarkEnd w:id="187"/>
    </w:p>
    <w:p w14:paraId="0153052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（1）预测范围</w:t>
      </w:r>
    </w:p>
    <w:p w14:paraId="249CA314">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评价范围为厂区用地及厂界外0.2km范围。</w:t>
      </w:r>
    </w:p>
    <w:p w14:paraId="2829011F">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（2）预测情形和预测因子</w:t>
      </w:r>
    </w:p>
    <w:p w14:paraId="191CD7DC">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项目废气主要污染因子为颗粒物、氮氧化物、二氧化硫、非甲烷总烃、氨和硫化氢，结合《土壤环境质量  建设用地土壤污染风险管控标准》（GB36600-2018）中的管控指标，选择非甲烷总烃作为土壤污染环境影响预测因子。污染物排放浓度采用各污染物大气预测年平均最大落地浓度贡献值，本次评价土壤污染环境影响预测因子非甲烷总烃最大落地浓度为134.34</w:t>
      </w:r>
      <w:r>
        <w:rPr>
          <w:color w:val="0D0D0D" w:themeColor="text1" w:themeTint="F2"/>
          <w:u w:val="single"/>
          <w14:textFill>
            <w14:solidFill>
              <w14:schemeClr w14:val="tx1">
                <w14:lumMod w14:val="95000"/>
                <w14:lumOff w14:val="5000"/>
              </w14:schemeClr>
            </w14:solidFill>
          </w14:textFill>
        </w:rPr>
        <w:t>μg/m</w:t>
      </w:r>
      <w:r>
        <w:rPr>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w:t>
      </w:r>
    </w:p>
    <w:p w14:paraId="38114C0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（3）预测评价标准</w:t>
      </w:r>
    </w:p>
    <w:p w14:paraId="5E6F66AD">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采用《土壤环境质量建设用地  土壤污染风险管控标准》（GB36600-2018）第二类用地筛选值进行评价，即石油烃筛选标准为4500mg/kg。</w:t>
      </w:r>
    </w:p>
    <w:p w14:paraId="72C2F50E">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（4）预测方法</w:t>
      </w:r>
    </w:p>
    <w:p w14:paraId="6801FA5F">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根据《土壤环境影响评价技术导则  土壤环境》（HJ964-2018），污染影响型建设项目，其评价工作等级为一级、二级的，预测方法可参见附录E或进行类比分析。本次评价采用附录E.1中的方法预测项目运营期废气对周边土壤环境的影响。</w:t>
      </w:r>
    </w:p>
    <w:p w14:paraId="2EEF05B9">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①单位质量土壤中物质的增量：</w:t>
      </w:r>
    </w:p>
    <w:p w14:paraId="22BB63AC">
      <w:pPr>
        <w:ind w:firstLine="480" w:firstLineChars="200"/>
        <w:jc w:val="center"/>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ΔS=n（IS-LS-RS）/（ρb×A×D）</w:t>
      </w:r>
    </w:p>
    <w:p w14:paraId="31480D6A">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式中：</w:t>
      </w:r>
    </w:p>
    <w:p w14:paraId="09EB92AE">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ΔS——单位质量表层土壤中某种物质的增量，g/kg；</w:t>
      </w:r>
    </w:p>
    <w:p w14:paraId="2D66E4D8">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IS——预测评价范围内单位年份表层土壤中某种物质的输入量，g；</w:t>
      </w:r>
    </w:p>
    <w:p w14:paraId="743DCCA4">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LS——预测评价范围内单位年份表层土壤中某种物质经淋溶排出的量，g。</w:t>
      </w:r>
    </w:p>
    <w:p w14:paraId="01E0B5C7">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RS——预测评价范围内单位年份表层土壤中某种物质经径流排出的量，g。</w:t>
      </w:r>
    </w:p>
    <w:p w14:paraId="24AA530F">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ρb——表层土壤容重，kg/m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，根据土壤理化性质调查数据，取1510；</w:t>
      </w:r>
    </w:p>
    <w:p w14:paraId="35413008">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A——预测评价范围，m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，取312000m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w:t>
      </w:r>
    </w:p>
    <w:p w14:paraId="20DC7BA0">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D——表层土壤深度，一般取0.2m；</w:t>
      </w:r>
    </w:p>
    <w:p w14:paraId="457F5F00">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n——持续年份，a，取10年。</w:t>
      </w:r>
    </w:p>
    <w:p w14:paraId="426C4D7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②单位质量土壤中某种物质的预测值：</w:t>
      </w:r>
    </w:p>
    <w:p w14:paraId="4FE5304A">
      <w:pPr>
        <w:ind w:firstLine="480" w:firstLineChars="200"/>
        <w:jc w:val="center"/>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S=Sb+△S</w:t>
      </w:r>
    </w:p>
    <w:p w14:paraId="4BB80A5F">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式中：</w:t>
      </w:r>
    </w:p>
    <w:p w14:paraId="267A6119">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Sb——单位质量土壤中某种物质的现状值，g/kg；</w:t>
      </w:r>
    </w:p>
    <w:p w14:paraId="3FEBCA3C">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S——单位质量土壤中某种物质的预测值，g/kg。</w:t>
      </w:r>
    </w:p>
    <w:p w14:paraId="271A383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上述①中预测评价范围内单位年份表层土壤中某种物质的输入量IS根据单位面积的干沉降通量F×预测评价范围A计算得出。</w:t>
      </w:r>
    </w:p>
    <w:p w14:paraId="33EBE994">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干沉降通量是指在单位时间内通过单位面积的污染物量，公式为：</w:t>
      </w:r>
    </w:p>
    <w:p w14:paraId="7C6CAACE">
      <w:pPr>
        <w:ind w:firstLine="480" w:firstLineChars="200"/>
        <w:jc w:val="center"/>
        <w:rPr>
          <w:color w:val="0D0D0D" w:themeColor="text1" w:themeTint="F2"/>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F=C×V×T</w:t>
      </w:r>
    </w:p>
    <w:p w14:paraId="1358DE4F">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式中：</w:t>
      </w:r>
    </w:p>
    <w:p w14:paraId="6FE18B15">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F——单位面积、单位时间的污染物干沉降通量，mg/m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·a；</w:t>
      </w:r>
    </w:p>
    <w:p w14:paraId="3AA19459">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C——污染物浓度，mg/m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；保守考虑，取最大落地浓度贡献值134.34</w:t>
      </w:r>
      <w:r>
        <w:rPr>
          <w:color w:val="0D0D0D" w:themeColor="text1" w:themeTint="F2"/>
          <w:u w:val="single"/>
          <w14:textFill>
            <w14:solidFill>
              <w14:schemeClr w14:val="tx1">
                <w14:lumMod w14:val="95000"/>
                <w14:lumOff w14:val="5000"/>
              </w14:schemeClr>
            </w14:solidFill>
          </w14:textFill>
        </w:rPr>
        <w:t>μg/m</w:t>
      </w:r>
      <w:r>
        <w:rPr>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w:t>
      </w:r>
    </w:p>
    <w:p w14:paraId="14DB190A">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V——污染物沉降速率，cm/s；项目排放的非甲烷总烃属于易挥发有机物，沉降速率取0.001m/s；</w:t>
      </w:r>
    </w:p>
    <w:p w14:paraId="345C590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T——年内污染物沉降时间，s，取全年7200h连续排放沉降。</w:t>
      </w:r>
    </w:p>
    <w:p w14:paraId="46935226">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项目土壤环境预测为大气沉降影响，不考虑输出量，即LS=0，RS=0，因此①公式为：S=Sb+ΔS=Sb+n×F×A/（ρb×A×D）=Sb+n×F/（ρb×D）=Sb+n×C×V×T/（ρb×D）。</w:t>
      </w:r>
    </w:p>
    <w:p w14:paraId="32CF85A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考虑最不利情况下，项目排放的污染物在周围0.2km范围内全部沉降，不考虑输出量。经计算，非甲烷总烃增量为115.3mg/kg，土壤现状值为60mg/kg，预测值为175.3mg/kg。</w:t>
      </w:r>
    </w:p>
    <w:p w14:paraId="256956A3">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通过上述预测结果可知，项目排放的非甲烷总烃在周围土壤环境中累计后，在10年内的增量为115.3mg/kg，仍能满足《土壤环境质量  建设用地土壤污染风险管控标准》（GB36600-2018）第二类用地筛选值（石油烃为826mg/kg）。项目各污染物年均最大落地浓度增值较低，在土壤中的累积量</w:t>
      </w:r>
      <w:r>
        <w:rPr>
          <w:rFonts w:hint="eastAsia"/>
          <w:color w:val="0D0D0D" w:themeColor="text1" w:themeTint="F2"/>
          <w:u w:val="single"/>
          <w:lang w:eastAsia="zh-CN"/>
          <w14:textFill>
            <w14:solidFill>
              <w14:schemeClr w14:val="tx1">
                <w14:lumMod w14:val="95000"/>
                <w14:lumOff w14:val="5000"/>
              </w14:schemeClr>
            </w14:solidFill>
          </w14:textFill>
        </w:rPr>
        <w:t>非常</w:t>
      </w:r>
      <w:r>
        <w:rPr>
          <w:rFonts w:hint="eastAsia"/>
          <w:color w:val="0D0D0D" w:themeColor="text1" w:themeTint="F2"/>
          <w:u w:val="single"/>
          <w14:textFill>
            <w14:solidFill>
              <w14:schemeClr w14:val="tx1">
                <w14:lumMod w14:val="95000"/>
                <w14:lumOff w14:val="5000"/>
              </w14:schemeClr>
            </w14:solidFill>
          </w14:textFill>
        </w:rPr>
        <w:t>小，同时项目场地进行分区防渗，不会对周边土壤产生明显影响。项目对周围土壤环境质量影响不大。</w:t>
      </w:r>
    </w:p>
    <w:p w14:paraId="7A1748FC">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根据预测结果可知，项目运行10年后，土壤中的预测值仍可满足《土壤环境质量  建设用地土壤污染风险管控标准》（GB36600-2018）第二类用地筛选值要求，项目对土壤环境影响可接受。项目采用源头控制措施和过程防控措施，能有效地减少项目对评价范围内土壤环境的影响，项目废气采取了严格的治理措施，根据预测结果，废气达标排放可将对土壤的影响降至最低，确保土壤环境质量不会出现恶化。</w:t>
      </w:r>
    </w:p>
    <w:p w14:paraId="5E7CB66F">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综上所述，本项目建设对土壤环境的影响是可以接受的。</w:t>
      </w:r>
    </w:p>
    <w:p w14:paraId="23D23852">
      <w:pPr>
        <w:pStyle w:val="8"/>
      </w:pPr>
      <w:bookmarkStart w:id="188" w:name="_Toc204062651"/>
      <w:r>
        <w:rPr>
          <w:rFonts w:hint="eastAsia"/>
        </w:rPr>
        <w:t>运营期生态环境影响分析</w:t>
      </w:r>
      <w:bookmarkEnd w:id="188"/>
    </w:p>
    <w:p w14:paraId="4985C78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项目生态影响评价工作等级确定为简单分析。</w:t>
      </w:r>
    </w:p>
    <w:p w14:paraId="652F8C57">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（1）对动植物的影响</w:t>
      </w:r>
    </w:p>
    <w:p w14:paraId="53368F8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位于广西钦州石化产业园内，项目建设不改变土地性质，但改变了厂区原有的地形地貌和生物种类，影响是长期、不可逆的，对评价区域动植物有一定的影响。运营期对动植物的影响主要表现在永久性占地影响。运营期永久占地将分割原有动植物的生境，造成生境的丧失和片段化，动物生存空间与食物来源的丧失。</w:t>
      </w:r>
    </w:p>
    <w:p w14:paraId="5074D4C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评价区域内人类活动较为频繁，因受长期人类活动的影响，基本无大型野生动物出现，现有的野生动物主要是一些昆虫类、蛇类、鸟类等小型动物，其数量也较少。项目评价区域内的主要植被为常见的植被，植被类型简单，不涉及重点保护野生植物，不会导致影响植物种类和植物类型在区域内消失或濒危，对区域生物多样性影响不大。项目建设对植被造成的破坏可以通过厂区绿化工程，可使植被覆盖面积得到一定的恢复和补偿，使项目建设对植被的影响降到最低限度。</w:t>
      </w:r>
    </w:p>
    <w:p w14:paraId="28BA50E9">
      <w:pPr>
        <w:ind w:firstLine="482" w:firstLineChars="200"/>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（2）对海洋生态环境的影响分析</w:t>
      </w:r>
    </w:p>
    <w:p w14:paraId="0761BF0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项目主要水污染因子为COD、BOD</w:t>
      </w:r>
      <w:r>
        <w:rPr>
          <w:rFonts w:hint="eastAsia"/>
          <w:color w:val="0D0D0D" w:themeColor="text1" w:themeTint="F2"/>
          <w:vertAlign w:val="subscript"/>
          <w14:textFill>
            <w14:solidFill>
              <w14:schemeClr w14:val="tx1">
                <w14:lumMod w14:val="95000"/>
                <w14:lumOff w14:val="5000"/>
              </w14:schemeClr>
            </w14:solidFill>
          </w14:textFill>
        </w:rPr>
        <w:t>5</w:t>
      </w:r>
      <w:r>
        <w:rPr>
          <w:rFonts w:hint="eastAsia"/>
          <w:color w:val="0D0D0D" w:themeColor="text1" w:themeTint="F2"/>
          <w14:textFill>
            <w14:solidFill>
              <w14:schemeClr w14:val="tx1">
                <w14:lumMod w14:val="95000"/>
                <w14:lumOff w14:val="5000"/>
              </w14:schemeClr>
            </w14:solidFill>
          </w14:textFill>
        </w:rPr>
        <w:t>、氨氮、SS、动植物油等。根据工程分析，项目废水排入胜科污水处理厂处理达标后至深海排放至钦州港海域。运营期排海废水可能造成邻近海域海洋渔业资源的损失。从长远考虑，污水的排放将加剧该海域的水质污染，但排放口位于规划排污区，根据胜科污水处理厂污染物浓度增量预测结果，排放口混合区均位于规划排污区内，不会对相邻水域功能和水质造成不利影响，对周边规划渔业海域内海洋生物的生长、繁育不会构成威胁。项目废水不直接排海，对项目周边的金鼓江红树林区等红树林基本无影响。</w:t>
      </w:r>
    </w:p>
    <w:p w14:paraId="34D8A31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后期雨水通过厂区南面雨水管排入市政管网。项目采用雨污分流原则设计收集雨水收集系统，全厂设置有清净雨水监控设施。正常情况下，雨水经监测合格后排到园区雨水管网，监测不合格送胜科污水处理站处理，因此后期雨水中动植物油、COD、BOD</w:t>
      </w:r>
      <w:r>
        <w:rPr>
          <w:rFonts w:hint="eastAsia"/>
          <w:color w:val="0D0D0D" w:themeColor="text1" w:themeTint="F2"/>
          <w:vertAlign w:val="subscript"/>
          <w14:textFill>
            <w14:solidFill>
              <w14:schemeClr w14:val="tx1">
                <w14:lumMod w14:val="95000"/>
                <w14:lumOff w14:val="5000"/>
              </w14:schemeClr>
            </w14:solidFill>
          </w14:textFill>
        </w:rPr>
        <w:t>5</w:t>
      </w:r>
      <w:r>
        <w:rPr>
          <w:rFonts w:hint="eastAsia"/>
          <w:color w:val="0D0D0D" w:themeColor="text1" w:themeTint="F2"/>
          <w14:textFill>
            <w14:solidFill>
              <w14:schemeClr w14:val="tx1">
                <w14:lumMod w14:val="95000"/>
                <w14:lumOff w14:val="5000"/>
              </w14:schemeClr>
            </w14:solidFill>
          </w14:textFill>
        </w:rPr>
        <w:t>、SS很低，金鼓江属于近岸海域，水质执行第四类海水水质标准，清净雨水污染物浓度较小，排放浓度对近岸海域水质影响不大。</w:t>
      </w:r>
    </w:p>
    <w:p w14:paraId="13D9291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因此，从生态环境影响角度分析，本项目建设是可行的。</w:t>
      </w:r>
    </w:p>
    <w:p w14:paraId="5A7C0D78">
      <w:pPr>
        <w:pStyle w:val="8"/>
      </w:pPr>
      <w:bookmarkStart w:id="189" w:name="_Toc204062652"/>
      <w:r>
        <w:rPr>
          <w:rFonts w:hint="eastAsia"/>
        </w:rPr>
        <w:t>环境风险评价</w:t>
      </w:r>
      <w:bookmarkEnd w:id="189"/>
    </w:p>
    <w:p w14:paraId="5F1E90C7">
      <w:pPr>
        <w:pStyle w:val="9"/>
        <w:numPr>
          <w:ilvl w:val="2"/>
          <w:numId w:val="51"/>
        </w:numPr>
      </w:pPr>
      <w:bookmarkStart w:id="190" w:name="_Toc204062653"/>
      <w:r>
        <w:rPr>
          <w:rFonts w:hint="eastAsia"/>
        </w:rPr>
        <w:t>风险源调查</w:t>
      </w:r>
      <w:bookmarkEnd w:id="190"/>
    </w:p>
    <w:p w14:paraId="7A6D737F">
      <w:pPr>
        <w:pStyle w:val="10"/>
      </w:pPr>
      <w:r>
        <w:rPr>
          <w:rFonts w:hint="eastAsia"/>
        </w:rPr>
        <w:t>危险物质调查</w:t>
      </w:r>
    </w:p>
    <w:p w14:paraId="43751F7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根据《建设项目环境风险评价技术导则》（HJ/T169-2018）附录B，项目涉及的危险物质有甲醇、沼气（甲烷）和油类物质（生物柴油、柴油、导热油和废机油），理化性质详见表5.9-1~表5.9-3。</w:t>
      </w:r>
    </w:p>
    <w:p w14:paraId="2ADDFBA7">
      <w:pPr>
        <w:pStyle w:val="11"/>
        <w:numPr>
          <w:ilvl w:val="4"/>
          <w:numId w:val="52"/>
        </w:numPr>
      </w:pPr>
      <w:r>
        <w:rPr>
          <w:rFonts w:hint="eastAsia"/>
        </w:rPr>
        <w:t xml:space="preserve"> 甲醇理化特性一览表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2"/>
        <w:gridCol w:w="933"/>
        <w:gridCol w:w="1980"/>
        <w:gridCol w:w="1776"/>
        <w:gridCol w:w="418"/>
        <w:gridCol w:w="20"/>
        <w:gridCol w:w="1303"/>
        <w:gridCol w:w="1280"/>
      </w:tblGrid>
      <w:tr w14:paraId="567B1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9" w:type="pct"/>
            <w:vAlign w:val="center"/>
          </w:tcPr>
          <w:p w14:paraId="4B6B4BD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物质名称</w:t>
            </w:r>
          </w:p>
        </w:tc>
        <w:tc>
          <w:tcPr>
            <w:tcW w:w="1576" w:type="pct"/>
            <w:gridSpan w:val="2"/>
            <w:vAlign w:val="center"/>
          </w:tcPr>
          <w:p w14:paraId="6E492CAE">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甲醇</w:t>
            </w:r>
          </w:p>
        </w:tc>
        <w:tc>
          <w:tcPr>
            <w:tcW w:w="1187" w:type="pct"/>
            <w:gridSpan w:val="2"/>
            <w:vAlign w:val="center"/>
          </w:tcPr>
          <w:p w14:paraId="0843FB3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分子式</w:t>
            </w:r>
          </w:p>
        </w:tc>
        <w:tc>
          <w:tcPr>
            <w:tcW w:w="1409" w:type="pct"/>
            <w:gridSpan w:val="3"/>
            <w:vAlign w:val="center"/>
          </w:tcPr>
          <w:p w14:paraId="33080A2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C</w:t>
            </w:r>
            <w:r>
              <w:rPr>
                <w:rFonts w:cs="Times New Roman"/>
                <w:color w:val="0D0D0D" w:themeColor="text1" w:themeTint="F2"/>
                <w:kern w:val="0"/>
                <w:sz w:val="21"/>
                <w:szCs w:val="21"/>
                <w14:textFill>
                  <w14:solidFill>
                    <w14:schemeClr w14:val="tx1">
                      <w14:lumMod w14:val="95000"/>
                      <w14:lumOff w14:val="5000"/>
                    </w14:schemeClr>
                  </w14:solidFill>
                </w14:textFill>
              </w:rPr>
              <w:t>H</w:t>
            </w:r>
            <w:r>
              <w:rPr>
                <w:rFonts w:cs="Times New Roman"/>
                <w:color w:val="0D0D0D" w:themeColor="text1" w:themeTint="F2"/>
                <w:kern w:val="0"/>
                <w:sz w:val="21"/>
                <w:szCs w:val="21"/>
                <w:vertAlign w:val="subscript"/>
                <w14:textFill>
                  <w14:solidFill>
                    <w14:schemeClr w14:val="tx1">
                      <w14:lumMod w14:val="95000"/>
                      <w14:lumOff w14:val="5000"/>
                    </w14:schemeClr>
                  </w14:solidFill>
                </w14:textFill>
              </w:rPr>
              <w:t>4</w:t>
            </w:r>
            <w:r>
              <w:rPr>
                <w:rFonts w:cs="Times New Roman"/>
                <w:color w:val="0D0D0D" w:themeColor="text1" w:themeTint="F2"/>
                <w:kern w:val="0"/>
                <w:sz w:val="21"/>
                <w:szCs w:val="21"/>
                <w14:textFill>
                  <w14:solidFill>
                    <w14:schemeClr w14:val="tx1">
                      <w14:lumMod w14:val="95000"/>
                      <w14:lumOff w14:val="5000"/>
                    </w14:schemeClr>
                  </w14:solidFill>
                </w14:textFill>
              </w:rPr>
              <w:t>O</w:t>
            </w:r>
          </w:p>
        </w:tc>
      </w:tr>
      <w:tr w14:paraId="07D38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9" w:type="pct"/>
            <w:vAlign w:val="center"/>
          </w:tcPr>
          <w:p w14:paraId="4BB42BD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危险货物编号</w:t>
            </w:r>
          </w:p>
        </w:tc>
        <w:tc>
          <w:tcPr>
            <w:tcW w:w="1576" w:type="pct"/>
            <w:gridSpan w:val="2"/>
            <w:vAlign w:val="center"/>
          </w:tcPr>
          <w:p w14:paraId="5A01B4CF">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3</w:t>
            </w:r>
            <w:r>
              <w:rPr>
                <w:rFonts w:cs="Times New Roman"/>
                <w:color w:val="0D0D0D" w:themeColor="text1" w:themeTint="F2"/>
                <w:kern w:val="0"/>
                <w:sz w:val="21"/>
                <w:szCs w:val="21"/>
                <w14:textFill>
                  <w14:solidFill>
                    <w14:schemeClr w14:val="tx1">
                      <w14:lumMod w14:val="95000"/>
                      <w14:lumOff w14:val="5000"/>
                    </w14:schemeClr>
                  </w14:solidFill>
                </w14:textFill>
              </w:rPr>
              <w:t>2058</w:t>
            </w:r>
          </w:p>
        </w:tc>
        <w:tc>
          <w:tcPr>
            <w:tcW w:w="1187" w:type="pct"/>
            <w:gridSpan w:val="2"/>
            <w:vAlign w:val="center"/>
          </w:tcPr>
          <w:p w14:paraId="0E8258C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分类及标志</w:t>
            </w:r>
          </w:p>
        </w:tc>
        <w:tc>
          <w:tcPr>
            <w:tcW w:w="1409" w:type="pct"/>
            <w:gridSpan w:val="3"/>
            <w:vAlign w:val="center"/>
          </w:tcPr>
          <w:p w14:paraId="399442CD">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第3</w:t>
            </w:r>
            <w:r>
              <w:rPr>
                <w:rFonts w:cs="Times New Roman"/>
                <w:color w:val="0D0D0D" w:themeColor="text1" w:themeTint="F2"/>
                <w:kern w:val="0"/>
                <w:sz w:val="21"/>
                <w:szCs w:val="21"/>
                <w14:textFill>
                  <w14:solidFill>
                    <w14:schemeClr w14:val="tx1">
                      <w14:lumMod w14:val="95000"/>
                      <w14:lumOff w14:val="5000"/>
                    </w14:schemeClr>
                  </w14:solidFill>
                </w14:textFill>
              </w:rPr>
              <w:t>.2</w:t>
            </w:r>
            <w:r>
              <w:rPr>
                <w:rFonts w:hint="eastAsia" w:cs="Times New Roman"/>
                <w:color w:val="0D0D0D" w:themeColor="text1" w:themeTint="F2"/>
                <w:kern w:val="0"/>
                <w:sz w:val="21"/>
                <w:szCs w:val="21"/>
                <w14:textFill>
                  <w14:solidFill>
                    <w14:schemeClr w14:val="tx1">
                      <w14:lumMod w14:val="95000"/>
                      <w14:lumOff w14:val="5000"/>
                    </w14:schemeClr>
                  </w14:solidFill>
                </w14:textFill>
              </w:rPr>
              <w:t>类中闪点易燃液体</w:t>
            </w:r>
          </w:p>
        </w:tc>
      </w:tr>
      <w:tr w14:paraId="3A1A0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8"/>
            <w:vAlign w:val="center"/>
          </w:tcPr>
          <w:p w14:paraId="58C9359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物化特性</w:t>
            </w:r>
          </w:p>
        </w:tc>
      </w:tr>
      <w:tr w14:paraId="1D72A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9" w:type="pct"/>
            <w:vAlign w:val="center"/>
          </w:tcPr>
          <w:p w14:paraId="13D32822">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沸</w:t>
            </w:r>
            <w:r>
              <w:rPr>
                <w:rFonts w:cs="Times New Roman"/>
                <w:color w:val="0D0D0D" w:themeColor="text1" w:themeTint="F2"/>
                <w:kern w:val="0"/>
                <w:sz w:val="21"/>
                <w:szCs w:val="21"/>
                <w14:textFill>
                  <w14:solidFill>
                    <w14:schemeClr w14:val="tx1">
                      <w14:lumMod w14:val="95000"/>
                      <w14:lumOff w14:val="5000"/>
                    </w14:schemeClr>
                  </w14:solidFill>
                </w14:textFill>
              </w:rPr>
              <w:t>点</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p>
        </w:tc>
        <w:tc>
          <w:tcPr>
            <w:tcW w:w="1576" w:type="pct"/>
            <w:gridSpan w:val="2"/>
            <w:vAlign w:val="center"/>
          </w:tcPr>
          <w:p w14:paraId="26B76104">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6</w:t>
            </w:r>
            <w:r>
              <w:rPr>
                <w:rFonts w:cs="Times New Roman"/>
                <w:color w:val="0D0D0D" w:themeColor="text1" w:themeTint="F2"/>
                <w:kern w:val="0"/>
                <w:sz w:val="21"/>
                <w:szCs w:val="21"/>
                <w14:textFill>
                  <w14:solidFill>
                    <w14:schemeClr w14:val="tx1">
                      <w14:lumMod w14:val="95000"/>
                      <w14:lumOff w14:val="5000"/>
                    </w14:schemeClr>
                  </w14:solidFill>
                </w14:textFill>
              </w:rPr>
              <w:t>4.8</w:t>
            </w:r>
          </w:p>
        </w:tc>
        <w:tc>
          <w:tcPr>
            <w:tcW w:w="1187" w:type="pct"/>
            <w:gridSpan w:val="2"/>
            <w:vAlign w:val="center"/>
          </w:tcPr>
          <w:p w14:paraId="6411A6ED">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相对密度（水=</w:t>
            </w:r>
            <w:r>
              <w:rPr>
                <w:rFonts w:cs="Times New Roman"/>
                <w:color w:val="0D0D0D" w:themeColor="text1" w:themeTint="F2"/>
                <w:kern w:val="0"/>
                <w:sz w:val="21"/>
                <w:szCs w:val="21"/>
                <w14:textFill>
                  <w14:solidFill>
                    <w14:schemeClr w14:val="tx1">
                      <w14:lumMod w14:val="95000"/>
                      <w14:lumOff w14:val="5000"/>
                    </w14:schemeClr>
                  </w14:solidFill>
                </w14:textFill>
              </w:rPr>
              <w:t>1</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p>
        </w:tc>
        <w:tc>
          <w:tcPr>
            <w:tcW w:w="1409" w:type="pct"/>
            <w:gridSpan w:val="3"/>
            <w:vAlign w:val="center"/>
          </w:tcPr>
          <w:p w14:paraId="143DAF1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0</w:t>
            </w:r>
            <w:r>
              <w:rPr>
                <w:rFonts w:cs="Times New Roman"/>
                <w:color w:val="0D0D0D" w:themeColor="text1" w:themeTint="F2"/>
                <w:kern w:val="0"/>
                <w:sz w:val="21"/>
                <w:szCs w:val="21"/>
                <w14:textFill>
                  <w14:solidFill>
                    <w14:schemeClr w14:val="tx1">
                      <w14:lumMod w14:val="95000"/>
                      <w14:lumOff w14:val="5000"/>
                    </w14:schemeClr>
                  </w14:solidFill>
                </w14:textFill>
              </w:rPr>
              <w:t>.79</w:t>
            </w:r>
          </w:p>
        </w:tc>
      </w:tr>
      <w:tr w14:paraId="06A63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9" w:type="pct"/>
            <w:vAlign w:val="center"/>
          </w:tcPr>
          <w:p w14:paraId="51CE1BB8">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饱和蒸气压（k</w:t>
            </w:r>
            <w:r>
              <w:rPr>
                <w:rFonts w:cs="Times New Roman"/>
                <w:color w:val="0D0D0D" w:themeColor="text1" w:themeTint="F2"/>
                <w:kern w:val="0"/>
                <w:sz w:val="21"/>
                <w:szCs w:val="21"/>
                <w14:textFill>
                  <w14:solidFill>
                    <w14:schemeClr w14:val="tx1">
                      <w14:lumMod w14:val="95000"/>
                      <w14:lumOff w14:val="5000"/>
                    </w14:schemeClr>
                  </w14:solidFill>
                </w14:textFill>
              </w:rPr>
              <w:t>Pa</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p>
        </w:tc>
        <w:tc>
          <w:tcPr>
            <w:tcW w:w="1576" w:type="pct"/>
            <w:gridSpan w:val="2"/>
            <w:vAlign w:val="center"/>
          </w:tcPr>
          <w:p w14:paraId="6B0A3FCD">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13.33</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21.2℃</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p>
        </w:tc>
        <w:tc>
          <w:tcPr>
            <w:tcW w:w="1187" w:type="pct"/>
            <w:gridSpan w:val="2"/>
            <w:vAlign w:val="center"/>
          </w:tcPr>
          <w:p w14:paraId="033E932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熔点（</w:t>
            </w:r>
            <w:r>
              <w:rPr>
                <w:rFonts w:cs="Times New Roman"/>
                <w:color w:val="0D0D0D" w:themeColor="text1" w:themeTint="F2"/>
                <w:kern w:val="0"/>
                <w:sz w:val="21"/>
                <w:szCs w:val="21"/>
                <w14:textFill>
                  <w14:solidFill>
                    <w14:schemeClr w14:val="tx1">
                      <w14:lumMod w14:val="95000"/>
                      <w14:lumOff w14:val="5000"/>
                    </w14:schemeClr>
                  </w14:solidFill>
                </w14:textFill>
              </w:rPr>
              <w:t>℃</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p>
        </w:tc>
        <w:tc>
          <w:tcPr>
            <w:tcW w:w="1409" w:type="pct"/>
            <w:gridSpan w:val="3"/>
            <w:vAlign w:val="center"/>
          </w:tcPr>
          <w:p w14:paraId="129F5C57">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97.8</w:t>
            </w:r>
          </w:p>
        </w:tc>
      </w:tr>
      <w:tr w14:paraId="223D3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9" w:type="pct"/>
            <w:vAlign w:val="center"/>
          </w:tcPr>
          <w:p w14:paraId="31E737C2">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蒸气密度</w:t>
            </w:r>
          </w:p>
          <w:p w14:paraId="0E52E26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（空气=</w:t>
            </w:r>
            <w:r>
              <w:rPr>
                <w:rFonts w:cs="Times New Roman"/>
                <w:color w:val="0D0D0D" w:themeColor="text1" w:themeTint="F2"/>
                <w:kern w:val="0"/>
                <w:sz w:val="21"/>
                <w:szCs w:val="21"/>
                <w14:textFill>
                  <w14:solidFill>
                    <w14:schemeClr w14:val="tx1">
                      <w14:lumMod w14:val="95000"/>
                      <w14:lumOff w14:val="5000"/>
                    </w14:schemeClr>
                  </w14:solidFill>
                </w14:textFill>
              </w:rPr>
              <w:t>1</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p>
        </w:tc>
        <w:tc>
          <w:tcPr>
            <w:tcW w:w="1576" w:type="pct"/>
            <w:gridSpan w:val="2"/>
            <w:vAlign w:val="center"/>
          </w:tcPr>
          <w:p w14:paraId="1CC328A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1</w:t>
            </w:r>
            <w:r>
              <w:rPr>
                <w:rFonts w:cs="Times New Roman"/>
                <w:color w:val="0D0D0D" w:themeColor="text1" w:themeTint="F2"/>
                <w:kern w:val="0"/>
                <w:sz w:val="21"/>
                <w:szCs w:val="21"/>
                <w14:textFill>
                  <w14:solidFill>
                    <w14:schemeClr w14:val="tx1">
                      <w14:lumMod w14:val="95000"/>
                      <w14:lumOff w14:val="5000"/>
                    </w14:schemeClr>
                  </w14:solidFill>
                </w14:textFill>
              </w:rPr>
              <w:t>.11</w:t>
            </w:r>
          </w:p>
        </w:tc>
        <w:tc>
          <w:tcPr>
            <w:tcW w:w="1187" w:type="pct"/>
            <w:gridSpan w:val="2"/>
            <w:vAlign w:val="center"/>
          </w:tcPr>
          <w:p w14:paraId="05FAABB1">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溶解点</w:t>
            </w:r>
          </w:p>
        </w:tc>
        <w:tc>
          <w:tcPr>
            <w:tcW w:w="1409" w:type="pct"/>
            <w:gridSpan w:val="3"/>
            <w:vAlign w:val="center"/>
          </w:tcPr>
          <w:p w14:paraId="7C995AC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溶于水、醇、醚等多种有机溶剂</w:t>
            </w:r>
          </w:p>
        </w:tc>
      </w:tr>
      <w:tr w14:paraId="51DAF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9" w:type="pct"/>
            <w:vAlign w:val="center"/>
          </w:tcPr>
          <w:p w14:paraId="21AC573F">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外观与性状</w:t>
            </w:r>
          </w:p>
        </w:tc>
        <w:tc>
          <w:tcPr>
            <w:tcW w:w="4171" w:type="pct"/>
            <w:gridSpan w:val="7"/>
            <w:vAlign w:val="center"/>
          </w:tcPr>
          <w:p w14:paraId="6B9BC4D4">
            <w:pPr>
              <w:spacing w:line="240" w:lineRule="auto"/>
              <w:jc w:val="left"/>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无色澄清液体，有刺激性气味</w:t>
            </w:r>
          </w:p>
        </w:tc>
      </w:tr>
      <w:tr w14:paraId="48BDC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9" w:type="pct"/>
            <w:vAlign w:val="center"/>
          </w:tcPr>
          <w:p w14:paraId="58DCA7F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主要用途</w:t>
            </w:r>
          </w:p>
        </w:tc>
        <w:tc>
          <w:tcPr>
            <w:tcW w:w="4171" w:type="pct"/>
            <w:gridSpan w:val="7"/>
            <w:vAlign w:val="center"/>
          </w:tcPr>
          <w:p w14:paraId="24255F17">
            <w:pPr>
              <w:spacing w:line="240" w:lineRule="auto"/>
              <w:jc w:val="left"/>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主要用于制甲醛、香精、染料、医药、火药、防冻剂等。</w:t>
            </w:r>
          </w:p>
        </w:tc>
      </w:tr>
      <w:tr w14:paraId="01232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9" w:type="pct"/>
            <w:vAlign w:val="center"/>
          </w:tcPr>
          <w:p w14:paraId="33BFCE7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火灾爆炸危险数据</w:t>
            </w:r>
          </w:p>
        </w:tc>
        <w:tc>
          <w:tcPr>
            <w:tcW w:w="4171" w:type="pct"/>
            <w:gridSpan w:val="7"/>
            <w:vAlign w:val="center"/>
          </w:tcPr>
          <w:p w14:paraId="6060EAF8">
            <w:pPr>
              <w:spacing w:line="240" w:lineRule="auto"/>
              <w:jc w:val="left"/>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本品易燃，具刺激性。</w:t>
            </w:r>
          </w:p>
        </w:tc>
      </w:tr>
      <w:tr w14:paraId="4FED2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9" w:type="pct"/>
            <w:vAlign w:val="center"/>
          </w:tcPr>
          <w:p w14:paraId="3C5BDD4F">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闪点（</w:t>
            </w:r>
            <w:r>
              <w:rPr>
                <w:rFonts w:cs="Times New Roman"/>
                <w:color w:val="0D0D0D" w:themeColor="text1" w:themeTint="F2"/>
                <w:kern w:val="0"/>
                <w:sz w:val="21"/>
                <w:szCs w:val="21"/>
                <w14:textFill>
                  <w14:solidFill>
                    <w14:schemeClr w14:val="tx1">
                      <w14:lumMod w14:val="95000"/>
                      <w14:lumOff w14:val="5000"/>
                    </w14:schemeClr>
                  </w14:solidFill>
                </w14:textFill>
              </w:rPr>
              <w:t>℃</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p>
        </w:tc>
        <w:tc>
          <w:tcPr>
            <w:tcW w:w="505" w:type="pct"/>
            <w:vAlign w:val="center"/>
          </w:tcPr>
          <w:p w14:paraId="2B45F8B7">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1</w:t>
            </w:r>
            <w:r>
              <w:rPr>
                <w:rFonts w:cs="Times New Roman"/>
                <w:color w:val="0D0D0D" w:themeColor="text1" w:themeTint="F2"/>
                <w:kern w:val="0"/>
                <w:sz w:val="21"/>
                <w:szCs w:val="21"/>
                <w14:textFill>
                  <w14:solidFill>
                    <w14:schemeClr w14:val="tx1">
                      <w14:lumMod w14:val="95000"/>
                      <w14:lumOff w14:val="5000"/>
                    </w14:schemeClr>
                  </w14:solidFill>
                </w14:textFill>
              </w:rPr>
              <w:t>1</w:t>
            </w:r>
          </w:p>
        </w:tc>
        <w:tc>
          <w:tcPr>
            <w:tcW w:w="1071" w:type="pct"/>
            <w:vAlign w:val="center"/>
          </w:tcPr>
          <w:p w14:paraId="366361B1">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爆炸极限%</w:t>
            </w:r>
          </w:p>
        </w:tc>
        <w:tc>
          <w:tcPr>
            <w:tcW w:w="1187" w:type="pct"/>
            <w:gridSpan w:val="2"/>
            <w:vAlign w:val="center"/>
          </w:tcPr>
          <w:p w14:paraId="1DA79BA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5</w:t>
            </w:r>
            <w:r>
              <w:rPr>
                <w:rFonts w:cs="Times New Roman"/>
                <w:color w:val="0D0D0D" w:themeColor="text1" w:themeTint="F2"/>
                <w:kern w:val="0"/>
                <w:sz w:val="21"/>
                <w:szCs w:val="21"/>
                <w14:textFill>
                  <w14:solidFill>
                    <w14:schemeClr w14:val="tx1">
                      <w14:lumMod w14:val="95000"/>
                      <w14:lumOff w14:val="5000"/>
                    </w14:schemeClr>
                  </w14:solidFill>
                </w14:textFill>
              </w:rPr>
              <w:t>.5</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44</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p>
        </w:tc>
        <w:tc>
          <w:tcPr>
            <w:tcW w:w="716" w:type="pct"/>
            <w:gridSpan w:val="2"/>
            <w:vAlign w:val="center"/>
          </w:tcPr>
          <w:p w14:paraId="420AC25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引燃温度</w:t>
            </w:r>
          </w:p>
        </w:tc>
        <w:tc>
          <w:tcPr>
            <w:tcW w:w="693" w:type="pct"/>
            <w:vAlign w:val="center"/>
          </w:tcPr>
          <w:p w14:paraId="31CE3C54">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3</w:t>
            </w:r>
            <w:r>
              <w:rPr>
                <w:rFonts w:cs="Times New Roman"/>
                <w:color w:val="0D0D0D" w:themeColor="text1" w:themeTint="F2"/>
                <w:kern w:val="0"/>
                <w:sz w:val="21"/>
                <w:szCs w:val="21"/>
                <w14:textFill>
                  <w14:solidFill>
                    <w14:schemeClr w14:val="tx1">
                      <w14:lumMod w14:val="95000"/>
                      <w14:lumOff w14:val="5000"/>
                    </w14:schemeClr>
                  </w14:solidFill>
                </w14:textFill>
              </w:rPr>
              <w:t>85</w:t>
            </w:r>
          </w:p>
        </w:tc>
      </w:tr>
      <w:tr w14:paraId="76F39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9" w:type="pct"/>
            <w:vAlign w:val="center"/>
          </w:tcPr>
          <w:p w14:paraId="585441B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灭火剂</w:t>
            </w:r>
          </w:p>
        </w:tc>
        <w:tc>
          <w:tcPr>
            <w:tcW w:w="4171" w:type="pct"/>
            <w:gridSpan w:val="7"/>
            <w:vAlign w:val="center"/>
          </w:tcPr>
          <w:p w14:paraId="3369A534">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抗溶性泡沫、干粉、二氧化碳、砂土。</w:t>
            </w:r>
          </w:p>
        </w:tc>
      </w:tr>
      <w:tr w14:paraId="00A37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9" w:type="pct"/>
            <w:vAlign w:val="center"/>
          </w:tcPr>
          <w:p w14:paraId="7AF4AAE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灭火方法</w:t>
            </w:r>
          </w:p>
        </w:tc>
        <w:tc>
          <w:tcPr>
            <w:tcW w:w="4171" w:type="pct"/>
            <w:gridSpan w:val="7"/>
            <w:vAlign w:val="center"/>
          </w:tcPr>
          <w:p w14:paraId="174D041C">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喷水保持火场容器冷却，处在火场中的容器若已变色或从安全泄压装置中产生声音，必须马上撤离。</w:t>
            </w:r>
          </w:p>
        </w:tc>
      </w:tr>
      <w:tr w14:paraId="7B4F8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9" w:type="pct"/>
            <w:vAlign w:val="center"/>
          </w:tcPr>
          <w:p w14:paraId="19EBD65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危险特性</w:t>
            </w:r>
          </w:p>
        </w:tc>
        <w:tc>
          <w:tcPr>
            <w:tcW w:w="4171" w:type="pct"/>
            <w:gridSpan w:val="7"/>
            <w:vAlign w:val="center"/>
          </w:tcPr>
          <w:p w14:paraId="078B051B">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易燃，其蒸气与空气可形成爆炸性混合物。遇明火、高热能引起燃烧爆炸。与氧化剂接触能发生化学反应或引起燃烧。在火场中，受热的容器有爆炸危险。其蒸气比空气重，能在较低处扩散到相当远的地方，遇明火会引着回燃。</w:t>
            </w:r>
          </w:p>
        </w:tc>
      </w:tr>
      <w:tr w14:paraId="74AA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8"/>
            <w:vAlign w:val="center"/>
          </w:tcPr>
          <w:p w14:paraId="3477D81D">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反应数据</w:t>
            </w:r>
          </w:p>
        </w:tc>
      </w:tr>
      <w:tr w14:paraId="5435F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9" w:type="pct"/>
            <w:vAlign w:val="center"/>
          </w:tcPr>
          <w:p w14:paraId="509C4A7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稳定性</w:t>
            </w:r>
          </w:p>
        </w:tc>
        <w:tc>
          <w:tcPr>
            <w:tcW w:w="1576" w:type="pct"/>
            <w:gridSpan w:val="2"/>
            <w:vAlign w:val="center"/>
          </w:tcPr>
          <w:p w14:paraId="16E17F17">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宋体"/>
                <w:color w:val="0D0D0D" w:themeColor="text1" w:themeTint="F2"/>
                <w:kern w:val="0"/>
                <w:sz w:val="21"/>
                <w:szCs w:val="21"/>
                <w14:textFill>
                  <w14:solidFill>
                    <w14:schemeClr w14:val="tx1">
                      <w14:lumMod w14:val="95000"/>
                      <w14:lumOff w14:val="5000"/>
                    </w14:schemeClr>
                  </w14:solidFill>
                </w14:textFill>
              </w:rPr>
              <w:t>稳定</w:t>
            </w:r>
          </w:p>
        </w:tc>
        <w:tc>
          <w:tcPr>
            <w:tcW w:w="1187" w:type="pct"/>
            <w:gridSpan w:val="2"/>
            <w:vAlign w:val="center"/>
          </w:tcPr>
          <w:p w14:paraId="63D5503F">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避免条件</w:t>
            </w:r>
          </w:p>
        </w:tc>
        <w:tc>
          <w:tcPr>
            <w:tcW w:w="1409" w:type="pct"/>
            <w:gridSpan w:val="3"/>
            <w:vAlign w:val="center"/>
          </w:tcPr>
          <w:p w14:paraId="0974784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r>
      <w:tr w14:paraId="6A7BA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9" w:type="pct"/>
            <w:vAlign w:val="center"/>
          </w:tcPr>
          <w:p w14:paraId="345013D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聚合危险性</w:t>
            </w:r>
          </w:p>
        </w:tc>
        <w:tc>
          <w:tcPr>
            <w:tcW w:w="1576" w:type="pct"/>
            <w:gridSpan w:val="2"/>
            <w:vAlign w:val="center"/>
          </w:tcPr>
          <w:p w14:paraId="7F15C11F">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不存在</w:t>
            </w:r>
          </w:p>
        </w:tc>
        <w:tc>
          <w:tcPr>
            <w:tcW w:w="1187" w:type="pct"/>
            <w:gridSpan w:val="2"/>
            <w:vAlign w:val="center"/>
          </w:tcPr>
          <w:p w14:paraId="009EADF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避免条件</w:t>
            </w:r>
          </w:p>
        </w:tc>
        <w:tc>
          <w:tcPr>
            <w:tcW w:w="1409" w:type="pct"/>
            <w:gridSpan w:val="3"/>
            <w:vAlign w:val="center"/>
          </w:tcPr>
          <w:p w14:paraId="6283846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r>
      <w:tr w14:paraId="49E73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9" w:type="pct"/>
            <w:vAlign w:val="center"/>
          </w:tcPr>
          <w:p w14:paraId="23E19DB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禁忌物</w:t>
            </w:r>
          </w:p>
        </w:tc>
        <w:tc>
          <w:tcPr>
            <w:tcW w:w="1576" w:type="pct"/>
            <w:gridSpan w:val="2"/>
            <w:vAlign w:val="center"/>
          </w:tcPr>
          <w:p w14:paraId="216C8C2A">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酸类、酸酐、强氧化剂、碱金属</w:t>
            </w:r>
          </w:p>
        </w:tc>
        <w:tc>
          <w:tcPr>
            <w:tcW w:w="1187" w:type="pct"/>
            <w:gridSpan w:val="2"/>
            <w:vAlign w:val="center"/>
          </w:tcPr>
          <w:p w14:paraId="5C49E572">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燃烧（分解产物）</w:t>
            </w:r>
          </w:p>
        </w:tc>
        <w:tc>
          <w:tcPr>
            <w:tcW w:w="1409" w:type="pct"/>
            <w:gridSpan w:val="3"/>
            <w:vAlign w:val="center"/>
          </w:tcPr>
          <w:p w14:paraId="19F43D7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一氧化碳、二氧化碳</w:t>
            </w:r>
          </w:p>
        </w:tc>
      </w:tr>
      <w:tr w14:paraId="38F9D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8"/>
            <w:vAlign w:val="center"/>
          </w:tcPr>
          <w:p w14:paraId="47162E44">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健康危害数据</w:t>
            </w:r>
          </w:p>
        </w:tc>
      </w:tr>
      <w:tr w14:paraId="68E1A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9" w:type="pct"/>
            <w:vAlign w:val="center"/>
          </w:tcPr>
          <w:p w14:paraId="6344E4A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侵入途径</w:t>
            </w:r>
          </w:p>
        </w:tc>
        <w:tc>
          <w:tcPr>
            <w:tcW w:w="505" w:type="pct"/>
            <w:vAlign w:val="center"/>
          </w:tcPr>
          <w:p w14:paraId="65057AB1">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吸入</w:t>
            </w:r>
          </w:p>
        </w:tc>
        <w:tc>
          <w:tcPr>
            <w:tcW w:w="1071" w:type="pct"/>
            <w:vAlign w:val="center"/>
          </w:tcPr>
          <w:p w14:paraId="1E40BAD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NewRomanPSMT"/>
                <w:color w:val="0D0D0D" w:themeColor="text1" w:themeTint="F2"/>
                <w:kern w:val="0"/>
                <w:sz w:val="21"/>
                <w:szCs w:val="21"/>
                <w14:textFill>
                  <w14:solidFill>
                    <w14:schemeClr w14:val="tx1">
                      <w14:lumMod w14:val="95000"/>
                      <w14:lumOff w14:val="5000"/>
                    </w14:schemeClr>
                  </w14:solidFill>
                </w14:textFill>
              </w:rPr>
              <w:t>√</w:t>
            </w:r>
          </w:p>
        </w:tc>
        <w:tc>
          <w:tcPr>
            <w:tcW w:w="961" w:type="pct"/>
            <w:vAlign w:val="center"/>
          </w:tcPr>
          <w:p w14:paraId="344C51C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皮肤</w:t>
            </w:r>
          </w:p>
        </w:tc>
        <w:tc>
          <w:tcPr>
            <w:tcW w:w="237" w:type="pct"/>
            <w:gridSpan w:val="2"/>
            <w:vAlign w:val="center"/>
          </w:tcPr>
          <w:p w14:paraId="6EE8FA74">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705" w:type="pct"/>
            <w:vAlign w:val="center"/>
          </w:tcPr>
          <w:p w14:paraId="7ADD2DD2">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口</w:t>
            </w:r>
          </w:p>
        </w:tc>
        <w:tc>
          <w:tcPr>
            <w:tcW w:w="693" w:type="pct"/>
            <w:vAlign w:val="center"/>
          </w:tcPr>
          <w:p w14:paraId="1233D0E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NewRomanPSMT"/>
                <w:color w:val="0D0D0D" w:themeColor="text1" w:themeTint="F2"/>
                <w:kern w:val="0"/>
                <w:sz w:val="21"/>
                <w:szCs w:val="21"/>
                <w14:textFill>
                  <w14:solidFill>
                    <w14:schemeClr w14:val="tx1">
                      <w14:lumMod w14:val="95000"/>
                      <w14:lumOff w14:val="5000"/>
                    </w14:schemeClr>
                  </w14:solidFill>
                </w14:textFill>
              </w:rPr>
              <w:t>√</w:t>
            </w:r>
          </w:p>
        </w:tc>
      </w:tr>
      <w:tr w14:paraId="385A5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9" w:type="pct"/>
            <w:vAlign w:val="center"/>
          </w:tcPr>
          <w:p w14:paraId="32FF9F8D">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急性毒性</w:t>
            </w:r>
          </w:p>
        </w:tc>
        <w:tc>
          <w:tcPr>
            <w:tcW w:w="505" w:type="pct"/>
            <w:vAlign w:val="center"/>
          </w:tcPr>
          <w:p w14:paraId="1398AB5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L</w:t>
            </w:r>
            <w:r>
              <w:rPr>
                <w:rFonts w:cs="Times New Roman"/>
                <w:color w:val="0D0D0D" w:themeColor="text1" w:themeTint="F2"/>
                <w:kern w:val="0"/>
                <w:sz w:val="21"/>
                <w:szCs w:val="21"/>
                <w14:textFill>
                  <w14:solidFill>
                    <w14:schemeClr w14:val="tx1">
                      <w14:lumMod w14:val="95000"/>
                      <w14:lumOff w14:val="5000"/>
                    </w14:schemeClr>
                  </w14:solidFill>
                </w14:textFill>
              </w:rPr>
              <w:t>D50</w:t>
            </w:r>
          </w:p>
        </w:tc>
        <w:tc>
          <w:tcPr>
            <w:tcW w:w="1071" w:type="pct"/>
            <w:vAlign w:val="center"/>
          </w:tcPr>
          <w:p w14:paraId="62F19DD0">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5628mg/kg</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大鼠经口</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w:t>
            </w:r>
          </w:p>
          <w:p w14:paraId="6A402EC5">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15800mg/kg</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兔经皮</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p>
        </w:tc>
        <w:tc>
          <w:tcPr>
            <w:tcW w:w="961" w:type="pct"/>
            <w:vAlign w:val="center"/>
          </w:tcPr>
          <w:p w14:paraId="3B4F1F3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L</w:t>
            </w:r>
            <w:r>
              <w:rPr>
                <w:rFonts w:cs="Times New Roman"/>
                <w:color w:val="0D0D0D" w:themeColor="text1" w:themeTint="F2"/>
                <w:kern w:val="0"/>
                <w:sz w:val="21"/>
                <w:szCs w:val="21"/>
                <w14:textFill>
                  <w14:solidFill>
                    <w14:schemeClr w14:val="tx1">
                      <w14:lumMod w14:val="95000"/>
                      <w14:lumOff w14:val="5000"/>
                    </w14:schemeClr>
                  </w14:solidFill>
                </w14:textFill>
              </w:rPr>
              <w:t>C50</w:t>
            </w:r>
          </w:p>
        </w:tc>
        <w:tc>
          <w:tcPr>
            <w:tcW w:w="1634" w:type="pct"/>
            <w:gridSpan w:val="4"/>
            <w:vAlign w:val="center"/>
          </w:tcPr>
          <w:p w14:paraId="656D9782">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83776mg/m</w:t>
            </w:r>
            <w:r>
              <w:rPr>
                <w:rFonts w:cs="Times New Roman"/>
                <w:color w:val="0D0D0D" w:themeColor="text1" w:themeTint="F2"/>
                <w:kern w:val="0"/>
                <w:sz w:val="21"/>
                <w:szCs w:val="21"/>
                <w:vertAlign w:val="superscript"/>
                <w14:textFill>
                  <w14:solidFill>
                    <w14:schemeClr w14:val="tx1">
                      <w14:lumMod w14:val="95000"/>
                      <w14:lumOff w14:val="5000"/>
                    </w14:schemeClr>
                  </w14:solidFill>
                </w14:textFill>
              </w:rPr>
              <w:t>3</w:t>
            </w:r>
            <w:r>
              <w:rPr>
                <w:rFonts w:cs="Times New Roman"/>
                <w:color w:val="0D0D0D" w:themeColor="text1" w:themeTint="F2"/>
                <w:kern w:val="0"/>
                <w:sz w:val="21"/>
                <w:szCs w:val="21"/>
                <w14:textFill>
                  <w14:solidFill>
                    <w14:schemeClr w14:val="tx1">
                      <w14:lumMod w14:val="95000"/>
                      <w14:lumOff w14:val="5000"/>
                    </w14:schemeClr>
                  </w14:solidFill>
                </w14:textFill>
              </w:rPr>
              <w:t>，4小时</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大鼠吸入</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p>
        </w:tc>
      </w:tr>
      <w:tr w14:paraId="62CFD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8"/>
            <w:vAlign w:val="center"/>
          </w:tcPr>
          <w:p w14:paraId="7C36F131">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健康危害：对中枢神经系统有麻痹作用；对视神经和视网膜有特殊选择作用，引起病变；可致代谢性酸中毒。</w:t>
            </w:r>
          </w:p>
        </w:tc>
      </w:tr>
      <w:tr w14:paraId="329C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8"/>
            <w:vAlign w:val="center"/>
          </w:tcPr>
          <w:p w14:paraId="5A4F632E">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泄漏紧急处理：迅速撤离泄漏污染区人员至安全区，并进行隔离，严格限制出入。切断火源。建议应急处理人员戴自给正亚式呼吸器，穿防毒服。不要直接接触泄漏物。尽可能切断泄漏源，防止进入下水道、排洪沟等限制型空间。小量泄漏：用砂土或其他不燃材料吸附或吸收。也可以用大量水冲洗，洗水稀释后放入废水系统。大量泄漏：构筑围堤或挖坑收容。用泡沫覆盖，降低蒸气灾害。用防爆泵转移至槽车或专用收集器内，回收或运至废物处理场所处置。</w:t>
            </w:r>
          </w:p>
        </w:tc>
      </w:tr>
      <w:tr w14:paraId="7C213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8"/>
            <w:vAlign w:val="center"/>
          </w:tcPr>
          <w:p w14:paraId="409A57A5">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储运注意事项：储存于阴凉、通风仓间内。远离火种、热源。仓温不宜超过</w:t>
            </w:r>
            <w:r>
              <w:rPr>
                <w:rFonts w:cs="Times New Roman"/>
                <w:color w:val="0D0D0D" w:themeColor="text1" w:themeTint="F2"/>
                <w:kern w:val="0"/>
                <w:sz w:val="21"/>
                <w:szCs w:val="21"/>
                <w14:textFill>
                  <w14:solidFill>
                    <w14:schemeClr w14:val="tx1">
                      <w14:lumMod w14:val="95000"/>
                      <w14:lumOff w14:val="5000"/>
                    </w14:schemeClr>
                  </w14:solidFill>
                </w14:textFill>
              </w:rPr>
              <w:t>30℃，防止阳光直射。</w:t>
            </w:r>
            <w:r>
              <w:rPr>
                <w:rFonts w:hint="eastAsia" w:cs="Times New Roman"/>
                <w:color w:val="0D0D0D" w:themeColor="text1" w:themeTint="F2"/>
                <w:kern w:val="0"/>
                <w:sz w:val="21"/>
                <w:szCs w:val="21"/>
                <w14:textFill>
                  <w14:solidFill>
                    <w14:schemeClr w14:val="tx1">
                      <w14:lumMod w14:val="95000"/>
                      <w14:lumOff w14:val="5000"/>
                    </w14:schemeClr>
                  </w14:solidFill>
                </w14:textFill>
              </w:rPr>
              <w:t>保持容器密封。应与氧化剂分开存放。存储间内的照明、通风等设施应采用防爆型，开关设在仓外。配备相应品种和数量的消防器材。桶装堆垛不可过大，应留墙距、顶距、柱距及必要的防火检查走道。罐储时要有防火防爆技术措施。露天贮罐夏季要有降温措施。禁止使用易产生火花的机械设备和工具。灌装时应注意流速（不超过</w:t>
            </w:r>
            <w:r>
              <w:rPr>
                <w:rFonts w:cs="Times New Roman"/>
                <w:color w:val="0D0D0D" w:themeColor="text1" w:themeTint="F2"/>
                <w:kern w:val="0"/>
                <w:sz w:val="21"/>
                <w:szCs w:val="21"/>
                <w14:textFill>
                  <w14:solidFill>
                    <w14:schemeClr w14:val="tx1">
                      <w14:lumMod w14:val="95000"/>
                      <w14:lumOff w14:val="5000"/>
                    </w14:schemeClr>
                  </w14:solidFill>
                </w14:textFill>
              </w:rPr>
              <w:t>3m/s）且有接地装置，防止静电积累。</w:t>
            </w:r>
          </w:p>
        </w:tc>
      </w:tr>
      <w:tr w14:paraId="6F37D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8"/>
            <w:vAlign w:val="center"/>
          </w:tcPr>
          <w:p w14:paraId="20A4D97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防护措施</w:t>
            </w:r>
          </w:p>
        </w:tc>
      </w:tr>
      <w:tr w14:paraId="0B56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9" w:type="pct"/>
            <w:vAlign w:val="center"/>
          </w:tcPr>
          <w:p w14:paraId="4D06E02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职业接触限值</w:t>
            </w:r>
          </w:p>
        </w:tc>
        <w:tc>
          <w:tcPr>
            <w:tcW w:w="4171" w:type="pct"/>
            <w:gridSpan w:val="7"/>
            <w:vAlign w:val="center"/>
          </w:tcPr>
          <w:p w14:paraId="1BD0F894">
            <w:pPr>
              <w:spacing w:line="240" w:lineRule="auto"/>
              <w:jc w:val="left"/>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MAC）mg/m</w:t>
            </w:r>
            <w:r>
              <w:rPr>
                <w:rFonts w:cs="Times New Roman"/>
                <w:color w:val="0D0D0D" w:themeColor="text1" w:themeTint="F2"/>
                <w:kern w:val="0"/>
                <w:sz w:val="21"/>
                <w:szCs w:val="21"/>
                <w:vertAlign w:val="superscript"/>
                <w14:textFill>
                  <w14:solidFill>
                    <w14:schemeClr w14:val="tx1">
                      <w14:lumMod w14:val="95000"/>
                      <w14:lumOff w14:val="5000"/>
                    </w14:schemeClr>
                  </w14:solidFill>
                </w14:textFill>
              </w:rPr>
              <w:t>3</w:t>
            </w:r>
            <w:r>
              <w:rPr>
                <w:rFonts w:cs="Times New Roman"/>
                <w:color w:val="0D0D0D" w:themeColor="text1" w:themeTint="F2"/>
                <w:kern w:val="0"/>
                <w:sz w:val="21"/>
                <w:szCs w:val="21"/>
                <w14:textFill>
                  <w14:solidFill>
                    <w14:schemeClr w14:val="tx1">
                      <w14:lumMod w14:val="95000"/>
                      <w14:lumOff w14:val="5000"/>
                    </w14:schemeClr>
                  </w14:solidFill>
                </w14:textFill>
              </w:rPr>
              <w:t xml:space="preserve"> 未制定</w:t>
            </w:r>
          </w:p>
          <w:p w14:paraId="3ADD0E26">
            <w:pPr>
              <w:spacing w:line="240" w:lineRule="auto"/>
              <w:jc w:val="left"/>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PC-TWA）mg/m</w:t>
            </w:r>
            <w:r>
              <w:rPr>
                <w:rFonts w:cs="Times New Roman"/>
                <w:color w:val="0D0D0D" w:themeColor="text1" w:themeTint="F2"/>
                <w:kern w:val="0"/>
                <w:sz w:val="21"/>
                <w:szCs w:val="21"/>
                <w:vertAlign w:val="superscript"/>
                <w14:textFill>
                  <w14:solidFill>
                    <w14:schemeClr w14:val="tx1">
                      <w14:lumMod w14:val="95000"/>
                      <w14:lumOff w14:val="5000"/>
                    </w14:schemeClr>
                  </w14:solidFill>
                </w14:textFill>
              </w:rPr>
              <w:t>3</w:t>
            </w:r>
            <w:r>
              <w:rPr>
                <w:rFonts w:cs="Times New Roman"/>
                <w:color w:val="0D0D0D" w:themeColor="text1" w:themeTint="F2"/>
                <w:kern w:val="0"/>
                <w:sz w:val="21"/>
                <w:szCs w:val="21"/>
                <w14:textFill>
                  <w14:solidFill>
                    <w14:schemeClr w14:val="tx1">
                      <w14:lumMod w14:val="95000"/>
                      <w14:lumOff w14:val="5000"/>
                    </w14:schemeClr>
                  </w14:solidFill>
                </w14:textFill>
              </w:rPr>
              <w:t xml:space="preserve"> 25</w:t>
            </w:r>
          </w:p>
          <w:p w14:paraId="4D748D1D">
            <w:pPr>
              <w:spacing w:line="240" w:lineRule="auto"/>
              <w:jc w:val="left"/>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PC-STEL）mg/m</w:t>
            </w:r>
            <w:r>
              <w:rPr>
                <w:rFonts w:cs="Times New Roman"/>
                <w:color w:val="0D0D0D" w:themeColor="text1" w:themeTint="F2"/>
                <w:kern w:val="0"/>
                <w:sz w:val="21"/>
                <w:szCs w:val="21"/>
                <w:vertAlign w:val="superscript"/>
                <w14:textFill>
                  <w14:solidFill>
                    <w14:schemeClr w14:val="tx1">
                      <w14:lumMod w14:val="95000"/>
                      <w14:lumOff w14:val="5000"/>
                    </w14:schemeClr>
                  </w14:solidFill>
                </w14:textFill>
              </w:rPr>
              <w:t>3</w:t>
            </w:r>
            <w:r>
              <w:rPr>
                <w:rFonts w:cs="Times New Roman"/>
                <w:color w:val="0D0D0D" w:themeColor="text1" w:themeTint="F2"/>
                <w:kern w:val="0"/>
                <w:sz w:val="21"/>
                <w:szCs w:val="21"/>
                <w14:textFill>
                  <w14:solidFill>
                    <w14:schemeClr w14:val="tx1">
                      <w14:lumMod w14:val="95000"/>
                      <w14:lumOff w14:val="5000"/>
                    </w14:schemeClr>
                  </w14:solidFill>
                </w14:textFill>
              </w:rPr>
              <w:t xml:space="preserve"> 50</w:t>
            </w:r>
          </w:p>
        </w:tc>
      </w:tr>
      <w:tr w14:paraId="308F2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9" w:type="pct"/>
            <w:vAlign w:val="center"/>
          </w:tcPr>
          <w:p w14:paraId="0D7BF26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工程控制</w:t>
            </w:r>
          </w:p>
        </w:tc>
        <w:tc>
          <w:tcPr>
            <w:tcW w:w="4171" w:type="pct"/>
            <w:gridSpan w:val="7"/>
            <w:vAlign w:val="center"/>
          </w:tcPr>
          <w:p w14:paraId="670E7443">
            <w:pPr>
              <w:spacing w:line="240" w:lineRule="auto"/>
              <w:jc w:val="left"/>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生产过程密闭，全面通风。提供安全淋浴和洗眼设备。</w:t>
            </w:r>
          </w:p>
        </w:tc>
      </w:tr>
      <w:tr w14:paraId="37E7C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9" w:type="pct"/>
            <w:vAlign w:val="center"/>
          </w:tcPr>
          <w:p w14:paraId="7EBD2A64">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呼吸系统防护</w:t>
            </w:r>
          </w:p>
        </w:tc>
        <w:tc>
          <w:tcPr>
            <w:tcW w:w="2537" w:type="pct"/>
            <w:gridSpan w:val="3"/>
            <w:vAlign w:val="center"/>
          </w:tcPr>
          <w:p w14:paraId="3A10370A">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可能接触其蒸汽时，应该佩戴过滤式防毒面具，紧急事态抢救或撤离时，建议佩戴空气呼吸器。</w:t>
            </w:r>
          </w:p>
        </w:tc>
        <w:tc>
          <w:tcPr>
            <w:tcW w:w="237" w:type="pct"/>
            <w:gridSpan w:val="2"/>
            <w:vAlign w:val="center"/>
          </w:tcPr>
          <w:p w14:paraId="1B1C4617">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身体防护</w:t>
            </w:r>
          </w:p>
        </w:tc>
        <w:tc>
          <w:tcPr>
            <w:tcW w:w="1398" w:type="pct"/>
            <w:gridSpan w:val="2"/>
            <w:vAlign w:val="center"/>
          </w:tcPr>
          <w:p w14:paraId="26B9907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穿防静电工作服</w:t>
            </w:r>
          </w:p>
        </w:tc>
      </w:tr>
      <w:tr w14:paraId="2312C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9" w:type="pct"/>
            <w:vAlign w:val="center"/>
          </w:tcPr>
          <w:p w14:paraId="52384308">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手防护</w:t>
            </w:r>
          </w:p>
        </w:tc>
        <w:tc>
          <w:tcPr>
            <w:tcW w:w="2537" w:type="pct"/>
            <w:gridSpan w:val="3"/>
            <w:vAlign w:val="center"/>
          </w:tcPr>
          <w:p w14:paraId="53706DA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戴橡胶手套</w:t>
            </w:r>
          </w:p>
        </w:tc>
        <w:tc>
          <w:tcPr>
            <w:tcW w:w="237" w:type="pct"/>
            <w:gridSpan w:val="2"/>
            <w:vAlign w:val="center"/>
          </w:tcPr>
          <w:p w14:paraId="1B2AD6FD">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眼防护</w:t>
            </w:r>
          </w:p>
        </w:tc>
        <w:tc>
          <w:tcPr>
            <w:tcW w:w="1398" w:type="pct"/>
            <w:gridSpan w:val="2"/>
            <w:vAlign w:val="center"/>
          </w:tcPr>
          <w:p w14:paraId="55867A68">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戴化学安全防护眼镜</w:t>
            </w:r>
          </w:p>
        </w:tc>
      </w:tr>
      <w:tr w14:paraId="1FC60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9" w:type="pct"/>
            <w:vAlign w:val="center"/>
          </w:tcPr>
          <w:p w14:paraId="2186A357">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其他</w:t>
            </w:r>
          </w:p>
        </w:tc>
        <w:tc>
          <w:tcPr>
            <w:tcW w:w="4171" w:type="pct"/>
            <w:gridSpan w:val="7"/>
            <w:vAlign w:val="center"/>
          </w:tcPr>
          <w:p w14:paraId="4535107B">
            <w:pPr>
              <w:spacing w:line="240" w:lineRule="auto"/>
              <w:jc w:val="left"/>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工作场所禁止吸烟、进食和饮水，工作毕，淋浴更衣。实行就业前和定期的体检。</w:t>
            </w:r>
          </w:p>
        </w:tc>
      </w:tr>
    </w:tbl>
    <w:p w14:paraId="754DAB48">
      <w:pPr>
        <w:pStyle w:val="11"/>
      </w:pPr>
      <w:r>
        <w:rPr>
          <w:rFonts w:hint="eastAsia"/>
        </w:rPr>
        <w:t xml:space="preserve"> 柴油理化特性一览表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9"/>
        <w:gridCol w:w="2247"/>
        <w:gridCol w:w="1372"/>
        <w:gridCol w:w="1309"/>
        <w:gridCol w:w="3725"/>
      </w:tblGrid>
      <w:tr w14:paraId="6EF95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vMerge w:val="restart"/>
            <w:vAlign w:val="center"/>
          </w:tcPr>
          <w:p w14:paraId="3B32231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标识</w:t>
            </w:r>
          </w:p>
        </w:tc>
        <w:tc>
          <w:tcPr>
            <w:tcW w:w="4681" w:type="pct"/>
            <w:gridSpan w:val="4"/>
            <w:vAlign w:val="center"/>
          </w:tcPr>
          <w:p w14:paraId="0D78D112">
            <w:pPr>
              <w:spacing w:line="240" w:lineRule="auto"/>
              <w:jc w:val="left"/>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中文名：柴油</w:t>
            </w:r>
          </w:p>
        </w:tc>
      </w:tr>
      <w:tr w14:paraId="2D563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vMerge w:val="continue"/>
            <w:vAlign w:val="center"/>
          </w:tcPr>
          <w:p w14:paraId="6F7F4047">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4681" w:type="pct"/>
            <w:gridSpan w:val="4"/>
            <w:vAlign w:val="center"/>
          </w:tcPr>
          <w:p w14:paraId="7FD1C3EC">
            <w:pPr>
              <w:spacing w:line="240" w:lineRule="auto"/>
              <w:jc w:val="left"/>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英文名：Diesel oil</w:t>
            </w:r>
          </w:p>
        </w:tc>
      </w:tr>
      <w:tr w14:paraId="60625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vMerge w:val="continue"/>
            <w:vAlign w:val="center"/>
          </w:tcPr>
          <w:p w14:paraId="5F7EA9D4">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1216" w:type="pct"/>
            <w:vAlign w:val="center"/>
          </w:tcPr>
          <w:p w14:paraId="19461A90">
            <w:pPr>
              <w:spacing w:line="240" w:lineRule="auto"/>
              <w:jc w:val="left"/>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分子式：C</w:t>
            </w:r>
            <w:r>
              <w:rPr>
                <w:rFonts w:cs="Times New Roman"/>
                <w:color w:val="0D0D0D" w:themeColor="text1" w:themeTint="F2"/>
                <w:kern w:val="0"/>
                <w:sz w:val="21"/>
                <w:szCs w:val="21"/>
                <w:vertAlign w:val="subscript"/>
                <w14:textFill>
                  <w14:solidFill>
                    <w14:schemeClr w14:val="tx1">
                      <w14:lumMod w14:val="95000"/>
                      <w14:lumOff w14:val="5000"/>
                    </w14:schemeClr>
                  </w14:solidFill>
                </w14:textFill>
              </w:rPr>
              <w:t>4</w:t>
            </w:r>
            <w:r>
              <w:rPr>
                <w:rFonts w:cs="Times New Roman"/>
                <w:color w:val="0D0D0D" w:themeColor="text1" w:themeTint="F2"/>
                <w:kern w:val="0"/>
                <w:sz w:val="21"/>
                <w:szCs w:val="21"/>
                <w14:textFill>
                  <w14:solidFill>
                    <w14:schemeClr w14:val="tx1">
                      <w14:lumMod w14:val="95000"/>
                      <w14:lumOff w14:val="5000"/>
                    </w14:schemeClr>
                  </w14:solidFill>
                </w14:textFill>
              </w:rPr>
              <w:t>H</w:t>
            </w:r>
            <w:r>
              <w:rPr>
                <w:rFonts w:cs="Times New Roman"/>
                <w:color w:val="0D0D0D" w:themeColor="text1" w:themeTint="F2"/>
                <w:kern w:val="0"/>
                <w:sz w:val="21"/>
                <w:szCs w:val="21"/>
                <w:vertAlign w:val="subscript"/>
                <w14:textFill>
                  <w14:solidFill>
                    <w14:schemeClr w14:val="tx1">
                      <w14:lumMod w14:val="95000"/>
                      <w14:lumOff w14:val="5000"/>
                    </w14:schemeClr>
                  </w14:solidFill>
                </w14:textFill>
              </w:rPr>
              <w:t>100</w:t>
            </w:r>
            <w:r>
              <w:rPr>
                <w:rFonts w:cs="Times New Roman"/>
                <w:color w:val="0D0D0D" w:themeColor="text1" w:themeTint="F2"/>
                <w:kern w:val="0"/>
                <w:sz w:val="21"/>
                <w:szCs w:val="21"/>
                <w14:textFill>
                  <w14:solidFill>
                    <w14:schemeClr w14:val="tx1">
                      <w14:lumMod w14:val="95000"/>
                      <w14:lumOff w14:val="5000"/>
                    </w14:schemeClr>
                  </w14:solidFill>
                </w14:textFill>
              </w:rPr>
              <w:t>~C</w:t>
            </w:r>
            <w:r>
              <w:rPr>
                <w:rFonts w:cs="Times New Roman"/>
                <w:color w:val="0D0D0D" w:themeColor="text1" w:themeTint="F2"/>
                <w:kern w:val="0"/>
                <w:sz w:val="21"/>
                <w:szCs w:val="21"/>
                <w:vertAlign w:val="subscript"/>
                <w14:textFill>
                  <w14:solidFill>
                    <w14:schemeClr w14:val="tx1">
                      <w14:lumMod w14:val="95000"/>
                      <w14:lumOff w14:val="5000"/>
                    </w14:schemeClr>
                  </w14:solidFill>
                </w14:textFill>
              </w:rPr>
              <w:t>12</w:t>
            </w:r>
            <w:r>
              <w:rPr>
                <w:rFonts w:cs="Times New Roman"/>
                <w:color w:val="0D0D0D" w:themeColor="text1" w:themeTint="F2"/>
                <w:kern w:val="0"/>
                <w:sz w:val="21"/>
                <w:szCs w:val="21"/>
                <w14:textFill>
                  <w14:solidFill>
                    <w14:schemeClr w14:val="tx1">
                      <w14:lumMod w14:val="95000"/>
                      <w14:lumOff w14:val="5000"/>
                    </w14:schemeClr>
                  </w14:solidFill>
                </w14:textFill>
              </w:rPr>
              <w:t>H</w:t>
            </w:r>
            <w:r>
              <w:rPr>
                <w:rFonts w:cs="Times New Roman"/>
                <w:color w:val="0D0D0D" w:themeColor="text1" w:themeTint="F2"/>
                <w:kern w:val="0"/>
                <w:sz w:val="21"/>
                <w:szCs w:val="21"/>
                <w:vertAlign w:val="subscript"/>
                <w14:textFill>
                  <w14:solidFill>
                    <w14:schemeClr w14:val="tx1">
                      <w14:lumMod w14:val="95000"/>
                      <w14:lumOff w14:val="5000"/>
                    </w14:schemeClr>
                  </w14:solidFill>
                </w14:textFill>
              </w:rPr>
              <w:t>26</w:t>
            </w:r>
          </w:p>
        </w:tc>
        <w:tc>
          <w:tcPr>
            <w:tcW w:w="1450" w:type="pct"/>
            <w:gridSpan w:val="2"/>
            <w:vAlign w:val="center"/>
          </w:tcPr>
          <w:p w14:paraId="3175B30C">
            <w:pPr>
              <w:spacing w:line="240" w:lineRule="auto"/>
              <w:jc w:val="left"/>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分子量：</w:t>
            </w:r>
          </w:p>
        </w:tc>
        <w:tc>
          <w:tcPr>
            <w:tcW w:w="2015" w:type="pct"/>
            <w:vAlign w:val="center"/>
          </w:tcPr>
          <w:p w14:paraId="0B6297B3">
            <w:pPr>
              <w:spacing w:line="240" w:lineRule="auto"/>
              <w:jc w:val="left"/>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CAS号：</w:t>
            </w:r>
          </w:p>
        </w:tc>
      </w:tr>
      <w:tr w14:paraId="3921C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vMerge w:val="continue"/>
            <w:vAlign w:val="center"/>
          </w:tcPr>
          <w:p w14:paraId="37497A4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4681" w:type="pct"/>
            <w:gridSpan w:val="4"/>
            <w:vAlign w:val="center"/>
          </w:tcPr>
          <w:p w14:paraId="18E58B68">
            <w:pPr>
              <w:spacing w:line="240" w:lineRule="auto"/>
              <w:jc w:val="left"/>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危险性类别：可燃液体</w:t>
            </w:r>
          </w:p>
        </w:tc>
      </w:tr>
      <w:tr w14:paraId="5A684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vMerge w:val="restart"/>
            <w:vAlign w:val="center"/>
          </w:tcPr>
          <w:p w14:paraId="5FECBF12">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理化性质</w:t>
            </w:r>
          </w:p>
        </w:tc>
        <w:tc>
          <w:tcPr>
            <w:tcW w:w="4681" w:type="pct"/>
            <w:gridSpan w:val="4"/>
            <w:vAlign w:val="center"/>
          </w:tcPr>
          <w:p w14:paraId="186AF5E6">
            <w:pPr>
              <w:spacing w:line="240" w:lineRule="auto"/>
              <w:jc w:val="left"/>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外观与性状：</w:t>
            </w:r>
          </w:p>
        </w:tc>
      </w:tr>
      <w:tr w14:paraId="6FD86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vMerge w:val="continue"/>
            <w:vAlign w:val="center"/>
          </w:tcPr>
          <w:p w14:paraId="6CD2198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2666" w:type="pct"/>
            <w:gridSpan w:val="3"/>
            <w:vAlign w:val="center"/>
          </w:tcPr>
          <w:p w14:paraId="5329F222">
            <w:pPr>
              <w:spacing w:line="240" w:lineRule="auto"/>
              <w:jc w:val="left"/>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熔点（℃）：-18</w:t>
            </w:r>
          </w:p>
        </w:tc>
        <w:tc>
          <w:tcPr>
            <w:tcW w:w="2015" w:type="pct"/>
            <w:vAlign w:val="center"/>
          </w:tcPr>
          <w:p w14:paraId="0B3AF512">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沸点（℃）：282~338</w:t>
            </w:r>
          </w:p>
        </w:tc>
      </w:tr>
      <w:tr w14:paraId="69C0F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vMerge w:val="continue"/>
            <w:vAlign w:val="center"/>
          </w:tcPr>
          <w:p w14:paraId="5C7BF00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2666" w:type="pct"/>
            <w:gridSpan w:val="3"/>
            <w:vAlign w:val="center"/>
          </w:tcPr>
          <w:p w14:paraId="19B4D3F4">
            <w:pPr>
              <w:spacing w:line="240" w:lineRule="auto"/>
              <w:jc w:val="left"/>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临界温度（℃）：无资料</w:t>
            </w:r>
          </w:p>
        </w:tc>
        <w:tc>
          <w:tcPr>
            <w:tcW w:w="2015" w:type="pct"/>
            <w:vAlign w:val="center"/>
          </w:tcPr>
          <w:p w14:paraId="4933F814">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临界压力（MPa）：无资料</w:t>
            </w:r>
          </w:p>
        </w:tc>
      </w:tr>
      <w:tr w14:paraId="1C95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vMerge w:val="continue"/>
            <w:vAlign w:val="center"/>
          </w:tcPr>
          <w:p w14:paraId="2B24DC84">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2666" w:type="pct"/>
            <w:gridSpan w:val="3"/>
            <w:vAlign w:val="center"/>
          </w:tcPr>
          <w:p w14:paraId="402C7644">
            <w:pPr>
              <w:spacing w:line="240" w:lineRule="auto"/>
              <w:jc w:val="left"/>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饱和蒸气压（KPa）：无资料</w:t>
            </w:r>
          </w:p>
        </w:tc>
        <w:tc>
          <w:tcPr>
            <w:tcW w:w="2015" w:type="pct"/>
            <w:vAlign w:val="center"/>
          </w:tcPr>
          <w:p w14:paraId="04C1DF08">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燃烧热</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KJ/mol</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：30000~46000</w:t>
            </w:r>
          </w:p>
        </w:tc>
      </w:tr>
      <w:tr w14:paraId="1C483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vMerge w:val="continue"/>
            <w:vAlign w:val="center"/>
          </w:tcPr>
          <w:p w14:paraId="3C8938E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4681" w:type="pct"/>
            <w:gridSpan w:val="4"/>
            <w:vAlign w:val="center"/>
          </w:tcPr>
          <w:p w14:paraId="77589490">
            <w:pPr>
              <w:spacing w:line="240" w:lineRule="auto"/>
              <w:jc w:val="left"/>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相对蒸汽密度（空气=1）：0.70~0.75</w:t>
            </w:r>
          </w:p>
        </w:tc>
      </w:tr>
      <w:tr w14:paraId="60545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vMerge w:val="continue"/>
            <w:vAlign w:val="center"/>
          </w:tcPr>
          <w:p w14:paraId="1A65209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4681" w:type="pct"/>
            <w:gridSpan w:val="4"/>
            <w:vAlign w:val="center"/>
          </w:tcPr>
          <w:p w14:paraId="349F5A34">
            <w:pPr>
              <w:spacing w:line="240" w:lineRule="auto"/>
              <w:jc w:val="left"/>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溶解性：不溶于水，溶于醇等溶剂</w:t>
            </w:r>
          </w:p>
        </w:tc>
      </w:tr>
      <w:tr w14:paraId="5CF67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vMerge w:val="restart"/>
            <w:vAlign w:val="center"/>
          </w:tcPr>
          <w:p w14:paraId="1F704B8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燃烧爆炸危险性</w:t>
            </w:r>
          </w:p>
        </w:tc>
        <w:tc>
          <w:tcPr>
            <w:tcW w:w="4681" w:type="pct"/>
            <w:gridSpan w:val="4"/>
            <w:vAlign w:val="center"/>
          </w:tcPr>
          <w:p w14:paraId="320DF82C">
            <w:pPr>
              <w:spacing w:line="240" w:lineRule="auto"/>
              <w:jc w:val="left"/>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燃烧性：本品易燃，具窒息性。</w:t>
            </w:r>
          </w:p>
        </w:tc>
      </w:tr>
      <w:tr w14:paraId="76E5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vMerge w:val="continue"/>
            <w:vAlign w:val="center"/>
          </w:tcPr>
          <w:p w14:paraId="75F5F92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2666" w:type="pct"/>
            <w:gridSpan w:val="3"/>
            <w:vAlign w:val="center"/>
          </w:tcPr>
          <w:p w14:paraId="7863F6D3">
            <w:pPr>
              <w:spacing w:line="240" w:lineRule="auto"/>
              <w:jc w:val="left"/>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引燃温度（℃）：75~120</w:t>
            </w:r>
          </w:p>
        </w:tc>
        <w:tc>
          <w:tcPr>
            <w:tcW w:w="2015" w:type="pct"/>
            <w:vAlign w:val="center"/>
          </w:tcPr>
          <w:p w14:paraId="2E00FC8E">
            <w:pPr>
              <w:spacing w:line="240" w:lineRule="auto"/>
              <w:jc w:val="left"/>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闪点（℃）：38</w:t>
            </w:r>
          </w:p>
        </w:tc>
      </w:tr>
      <w:tr w14:paraId="67657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vMerge w:val="continue"/>
            <w:vAlign w:val="center"/>
          </w:tcPr>
          <w:p w14:paraId="6496FC21">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2666" w:type="pct"/>
            <w:gridSpan w:val="3"/>
            <w:vAlign w:val="center"/>
          </w:tcPr>
          <w:p w14:paraId="0F536D1C">
            <w:pPr>
              <w:spacing w:line="240" w:lineRule="auto"/>
              <w:jc w:val="left"/>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爆炸下限%(V/V)：0.6</w:t>
            </w:r>
          </w:p>
        </w:tc>
        <w:tc>
          <w:tcPr>
            <w:tcW w:w="2015" w:type="pct"/>
            <w:vAlign w:val="center"/>
          </w:tcPr>
          <w:p w14:paraId="0E8D8CF6">
            <w:pPr>
              <w:spacing w:line="240" w:lineRule="auto"/>
              <w:jc w:val="left"/>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爆炸上限%</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V/V</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：6.5</w:t>
            </w:r>
          </w:p>
        </w:tc>
      </w:tr>
      <w:tr w14:paraId="7E7C0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vMerge w:val="continue"/>
            <w:vAlign w:val="center"/>
          </w:tcPr>
          <w:p w14:paraId="3BD08C54">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2666" w:type="pct"/>
            <w:gridSpan w:val="3"/>
            <w:vAlign w:val="center"/>
          </w:tcPr>
          <w:p w14:paraId="4AA43B92">
            <w:pPr>
              <w:spacing w:line="240" w:lineRule="auto"/>
              <w:jc w:val="left"/>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最小点火能（mj）：无资料</w:t>
            </w:r>
          </w:p>
        </w:tc>
        <w:tc>
          <w:tcPr>
            <w:tcW w:w="2015" w:type="pct"/>
            <w:vAlign w:val="center"/>
          </w:tcPr>
          <w:p w14:paraId="198E2DB4">
            <w:pPr>
              <w:spacing w:line="240" w:lineRule="auto"/>
              <w:jc w:val="left"/>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最大爆炸压力</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MPa</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：无资料</w:t>
            </w:r>
          </w:p>
        </w:tc>
      </w:tr>
      <w:tr w14:paraId="2E09A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vMerge w:val="continue"/>
            <w:vAlign w:val="center"/>
          </w:tcPr>
          <w:p w14:paraId="7744A3F4">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1216" w:type="pct"/>
            <w:vAlign w:val="center"/>
          </w:tcPr>
          <w:p w14:paraId="1F52CF57">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危险特性</w:t>
            </w:r>
          </w:p>
        </w:tc>
        <w:tc>
          <w:tcPr>
            <w:tcW w:w="3465" w:type="pct"/>
            <w:gridSpan w:val="3"/>
            <w:vAlign w:val="center"/>
          </w:tcPr>
          <w:p w14:paraId="46E8EE48">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其蒸气与空气可形成爆炸性混合物，遇明火、高热能引起燃烧爆炸。与氧化剂可发生反应。流速过快，容易产生和积聚静电。其蒸气比空气重，能在较低处扩散到相当远的地方，遇火源会着火回燃。若遇高热，容器内压增大，有开裂和爆炸的危险。</w:t>
            </w:r>
          </w:p>
          <w:p w14:paraId="710A2A67">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有害燃烧产物</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一氧化碳、二氧化碳。</w:t>
            </w:r>
          </w:p>
        </w:tc>
      </w:tr>
      <w:tr w14:paraId="4BE6D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vMerge w:val="continue"/>
            <w:vAlign w:val="center"/>
          </w:tcPr>
          <w:p w14:paraId="4271CF38">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1216" w:type="pct"/>
            <w:vAlign w:val="center"/>
          </w:tcPr>
          <w:p w14:paraId="232771D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禁配物</w:t>
            </w:r>
          </w:p>
        </w:tc>
        <w:tc>
          <w:tcPr>
            <w:tcW w:w="3465" w:type="pct"/>
            <w:gridSpan w:val="3"/>
            <w:vAlign w:val="center"/>
          </w:tcPr>
          <w:p w14:paraId="3B47C895">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强氧化剂</w:t>
            </w:r>
          </w:p>
        </w:tc>
      </w:tr>
      <w:tr w14:paraId="3BC90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vMerge w:val="continue"/>
            <w:vAlign w:val="center"/>
          </w:tcPr>
          <w:p w14:paraId="71CAFB57">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1216" w:type="pct"/>
            <w:vAlign w:val="center"/>
          </w:tcPr>
          <w:p w14:paraId="1319316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消防措施</w:t>
            </w:r>
          </w:p>
        </w:tc>
        <w:tc>
          <w:tcPr>
            <w:tcW w:w="3465" w:type="pct"/>
            <w:gridSpan w:val="3"/>
            <w:vAlign w:val="center"/>
          </w:tcPr>
          <w:p w14:paraId="47B7237D">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灭火方法：尽可能将容器从火场移至空旷处。喷水保持火场容器冷却，直至灭火结束。处在火场中的容器若已变色或从安全泄压装置中产生声音，必须马上撤离。用雾状水、泡沫、干粉、二氧化碳、砂土灭火。</w:t>
            </w:r>
          </w:p>
          <w:p w14:paraId="48889BAD">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灭火注意事项</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消防人员须佩戴防毒面具、穿全身消防服，在上风向灭火。</w:t>
            </w:r>
          </w:p>
        </w:tc>
      </w:tr>
      <w:tr w14:paraId="3AF9D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vMerge w:val="restart"/>
            <w:vAlign w:val="center"/>
          </w:tcPr>
          <w:p w14:paraId="2A270B92">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毒性</w:t>
            </w:r>
          </w:p>
        </w:tc>
        <w:tc>
          <w:tcPr>
            <w:tcW w:w="1216" w:type="pct"/>
            <w:vAlign w:val="center"/>
          </w:tcPr>
          <w:p w14:paraId="36F3AF2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急性毒性</w:t>
            </w:r>
          </w:p>
        </w:tc>
        <w:tc>
          <w:tcPr>
            <w:tcW w:w="3465" w:type="pct"/>
            <w:gridSpan w:val="3"/>
            <w:vAlign w:val="center"/>
          </w:tcPr>
          <w:p w14:paraId="3D93B0E7">
            <w:pPr>
              <w:spacing w:line="240" w:lineRule="auto"/>
              <w:jc w:val="left"/>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LD50：＞5000mg/kg（大鼠经口）</w:t>
            </w:r>
          </w:p>
          <w:p w14:paraId="65F6752B">
            <w:pPr>
              <w:spacing w:line="240" w:lineRule="auto"/>
              <w:jc w:val="left"/>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LC50：＞5000mg/m</w:t>
            </w:r>
            <w:r>
              <w:rPr>
                <w:rFonts w:cs="Times New Roman"/>
                <w:color w:val="0D0D0D" w:themeColor="text1" w:themeTint="F2"/>
                <w:kern w:val="0"/>
                <w:sz w:val="21"/>
                <w:szCs w:val="21"/>
                <w:vertAlign w:val="superscript"/>
                <w14:textFill>
                  <w14:solidFill>
                    <w14:schemeClr w14:val="tx1">
                      <w14:lumMod w14:val="95000"/>
                      <w14:lumOff w14:val="5000"/>
                    </w14:schemeClr>
                  </w14:solidFill>
                </w14:textFill>
              </w:rPr>
              <w:t>3</w:t>
            </w:r>
            <w:r>
              <w:rPr>
                <w:rFonts w:cs="Times New Roman"/>
                <w:color w:val="0D0D0D" w:themeColor="text1" w:themeTint="F2"/>
                <w:kern w:val="0"/>
                <w:sz w:val="21"/>
                <w:szCs w:val="21"/>
                <w14:textFill>
                  <w14:solidFill>
                    <w14:schemeClr w14:val="tx1">
                      <w14:lumMod w14:val="95000"/>
                      <w14:lumOff w14:val="5000"/>
                    </w14:schemeClr>
                  </w14:solidFill>
                </w14:textFill>
              </w:rPr>
              <w:t>/4h（大鼠吸入）</w:t>
            </w:r>
          </w:p>
        </w:tc>
      </w:tr>
      <w:tr w14:paraId="1E094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vMerge w:val="continue"/>
            <w:vAlign w:val="center"/>
          </w:tcPr>
          <w:p w14:paraId="1DE048A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1216" w:type="pct"/>
            <w:vAlign w:val="center"/>
          </w:tcPr>
          <w:p w14:paraId="404EE6AF">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毒性</w:t>
            </w:r>
          </w:p>
        </w:tc>
        <w:tc>
          <w:tcPr>
            <w:tcW w:w="3465" w:type="pct"/>
            <w:gridSpan w:val="3"/>
            <w:vAlign w:val="center"/>
          </w:tcPr>
          <w:p w14:paraId="2DF4A922">
            <w:pPr>
              <w:spacing w:line="240" w:lineRule="auto"/>
              <w:jc w:val="left"/>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无资料</w:t>
            </w:r>
          </w:p>
        </w:tc>
      </w:tr>
      <w:tr w14:paraId="45483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vMerge w:val="continue"/>
            <w:vAlign w:val="center"/>
          </w:tcPr>
          <w:p w14:paraId="647D25D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1216" w:type="pct"/>
            <w:vAlign w:val="center"/>
          </w:tcPr>
          <w:p w14:paraId="3021778F">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最高容许浓度</w:t>
            </w:r>
          </w:p>
        </w:tc>
        <w:tc>
          <w:tcPr>
            <w:tcW w:w="3465" w:type="pct"/>
            <w:gridSpan w:val="3"/>
            <w:vAlign w:val="center"/>
          </w:tcPr>
          <w:p w14:paraId="3F67CEF9">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中国MAC</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mg/m</w:t>
            </w:r>
            <w:r>
              <w:rPr>
                <w:rFonts w:cs="Times New Roman"/>
                <w:color w:val="0D0D0D" w:themeColor="text1" w:themeTint="F2"/>
                <w:kern w:val="0"/>
                <w:sz w:val="21"/>
                <w:szCs w:val="21"/>
                <w:vertAlign w:val="superscript"/>
                <w14:textFill>
                  <w14:solidFill>
                    <w14:schemeClr w14:val="tx1">
                      <w14:lumMod w14:val="95000"/>
                      <w14:lumOff w14:val="5000"/>
                    </w14:schemeClr>
                  </w14:solidFill>
                </w14:textFill>
              </w:rPr>
              <w:t>3</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：未制定标准</w:t>
            </w:r>
          </w:p>
          <w:p w14:paraId="0EF4633F">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前苏联MAC</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mg/m</w:t>
            </w:r>
            <w:r>
              <w:rPr>
                <w:rFonts w:cs="Times New Roman"/>
                <w:color w:val="0D0D0D" w:themeColor="text1" w:themeTint="F2"/>
                <w:kern w:val="0"/>
                <w:sz w:val="21"/>
                <w:szCs w:val="21"/>
                <w:vertAlign w:val="superscript"/>
                <w14:textFill>
                  <w14:solidFill>
                    <w14:schemeClr w14:val="tx1">
                      <w14:lumMod w14:val="95000"/>
                      <w14:lumOff w14:val="5000"/>
                    </w14:schemeClr>
                  </w14:solidFill>
                </w14:textFill>
              </w:rPr>
              <w:t>3</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：未制定标准</w:t>
            </w:r>
          </w:p>
          <w:p w14:paraId="743237EA">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美国TVL-TWA：未制定标准</w:t>
            </w:r>
          </w:p>
          <w:p w14:paraId="50902780">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美国TVL-STEL：未制定标准</w:t>
            </w:r>
          </w:p>
        </w:tc>
      </w:tr>
      <w:tr w14:paraId="716E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vMerge w:val="continue"/>
            <w:vAlign w:val="center"/>
          </w:tcPr>
          <w:p w14:paraId="7F1FB42D">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1216" w:type="pct"/>
            <w:vAlign w:val="center"/>
          </w:tcPr>
          <w:p w14:paraId="7E502D4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健康危害</w:t>
            </w:r>
          </w:p>
        </w:tc>
        <w:tc>
          <w:tcPr>
            <w:tcW w:w="3465" w:type="pct"/>
            <w:gridSpan w:val="3"/>
            <w:vAlign w:val="center"/>
          </w:tcPr>
          <w:p w14:paraId="64E55A8D">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急性中毒：吸入高浓度煤油蒸气，常先有兴奋，后转入抑制，表现为乏力、头痛、酩酊感、神志恍惚、肌肉震颤、共济运动失调；严重者出现定向力障碍、澹妄、意识模糊等；蒸气可引起眼及呼吸道刺激症状，重者出现化学性肺炎。吸入液态煤油可引起吸入性肺炎，严重时可发生肺水肿。摄入引起口腔、咽喉和胃肠道刺激症状，可出现与吸入中毒相同的中枢神经系统症状。</w:t>
            </w:r>
          </w:p>
          <w:p w14:paraId="4DCFACC3">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慢性影响：神经衰弱综合征为主要表现，还有眼及呼吸道刺激症状，接触性皮炎，皮肤干燥等。</w:t>
            </w:r>
          </w:p>
          <w:p w14:paraId="33239101">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环境危害：对环境有危害。对大气可造成污染。</w:t>
            </w:r>
          </w:p>
          <w:p w14:paraId="767E96DF">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燃爆危险：其蒸气与空气可形成爆炸性混合物，遇明火、高热能引起燃烧爆炸。其蒸气比空气重，能在较低处扩散到相当远的地方，遇火源会着火回燃。若遇高热，容器内压增大，有开裂和爆炸的危险。</w:t>
            </w:r>
          </w:p>
        </w:tc>
      </w:tr>
      <w:tr w14:paraId="4BC8F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vMerge w:val="continue"/>
            <w:vAlign w:val="center"/>
          </w:tcPr>
          <w:p w14:paraId="44FEAB4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1216" w:type="pct"/>
            <w:vAlign w:val="center"/>
          </w:tcPr>
          <w:p w14:paraId="78FDE14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急救措施</w:t>
            </w:r>
          </w:p>
        </w:tc>
        <w:tc>
          <w:tcPr>
            <w:tcW w:w="3465" w:type="pct"/>
            <w:gridSpan w:val="3"/>
            <w:vAlign w:val="center"/>
          </w:tcPr>
          <w:p w14:paraId="3EB7CE10">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皮肤接触：立即脱去所有被污染的衣物，包括鞋类。用流动清水冲洗皮肤和头发（可用肥皂)。如果出现刺激症状，就医。</w:t>
            </w:r>
          </w:p>
          <w:p w14:paraId="2C690611">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眼睛接触：立即用流动、清洁水冲洗至少15分钟。如果疼痛持续或复发，就医。眼睛受伤后，应由专业人员取出隐形眼镜。</w:t>
            </w:r>
          </w:p>
          <w:p w14:paraId="541A943D">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吸入：如果吸入本品气体或其燃烧产物，脱离污染区。把病人放卧位，保暖并使其安静。开始急救前，首先取出假牙等，防止阻塞气道。如果呼吸停止，立即进行人工呼吸，用活瓣气囊面罩通气或有效的袖珍面具可能效果更佳。呼吸心跳停止，立即进行心肺复苏术。送医院或寻求医生帮助。</w:t>
            </w:r>
          </w:p>
          <w:p w14:paraId="1AB5CEBD">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食入：禁止催吐。如果发生呕吐，让病人前倾或左侧位躺下（头部保持低位</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，保持呼吸道通畅，防止吸入呕吐物。仔细观察病情。禁止给有嗜睡症状或知觉降低，即正在失去知觉的病人服用液体。意识清醒者可用水漱口，然后尽量多饮水。寻求医生或医疗机构的帮助。</w:t>
            </w:r>
          </w:p>
        </w:tc>
      </w:tr>
      <w:tr w14:paraId="6EFEF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vMerge w:val="restart"/>
            <w:vAlign w:val="center"/>
          </w:tcPr>
          <w:p w14:paraId="7786304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储存</w:t>
            </w:r>
          </w:p>
        </w:tc>
        <w:tc>
          <w:tcPr>
            <w:tcW w:w="1216" w:type="pct"/>
            <w:vAlign w:val="center"/>
          </w:tcPr>
          <w:p w14:paraId="71F74811">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危规号：32501</w:t>
            </w:r>
          </w:p>
        </w:tc>
        <w:tc>
          <w:tcPr>
            <w:tcW w:w="742" w:type="pct"/>
            <w:vAlign w:val="center"/>
          </w:tcPr>
          <w:p w14:paraId="3694B594">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UN编号：1223</w:t>
            </w:r>
          </w:p>
        </w:tc>
        <w:tc>
          <w:tcPr>
            <w:tcW w:w="708" w:type="pct"/>
            <w:vAlign w:val="center"/>
          </w:tcPr>
          <w:p w14:paraId="0206BCE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包装标志：易燃液体</w:t>
            </w:r>
          </w:p>
        </w:tc>
        <w:tc>
          <w:tcPr>
            <w:tcW w:w="2015" w:type="pct"/>
            <w:vAlign w:val="center"/>
          </w:tcPr>
          <w:p w14:paraId="578A4827">
            <w:pPr>
              <w:spacing w:line="240" w:lineRule="auto"/>
              <w:ind w:left="-15" w:leftChars="-50" w:right="-197" w:rightChars="-82" w:hanging="105" w:hangingChars="50"/>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包装类别：Ⅲ类包装</w:t>
            </w:r>
          </w:p>
        </w:tc>
      </w:tr>
      <w:tr w14:paraId="0D729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vMerge w:val="continue"/>
            <w:vAlign w:val="center"/>
          </w:tcPr>
          <w:p w14:paraId="4648760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4681" w:type="pct"/>
            <w:gridSpan w:val="4"/>
            <w:vAlign w:val="center"/>
          </w:tcPr>
          <w:p w14:paraId="64E3AD0C">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储存于阴凉、通风的库房。远离火种、热源。炎热季节库温不得超过25℃。应与氧化剂、食用化学品分开存放，切忌混储。采用防爆型照明、通风设施。禁止使用易产生火花的机械设备和工具。储区应备有泄漏应急处理设备和合适的收容材料。</w:t>
            </w:r>
          </w:p>
        </w:tc>
      </w:tr>
      <w:tr w14:paraId="50CB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vAlign w:val="center"/>
          </w:tcPr>
          <w:p w14:paraId="00270F6E">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泄漏应急处理</w:t>
            </w:r>
          </w:p>
        </w:tc>
        <w:tc>
          <w:tcPr>
            <w:tcW w:w="4681" w:type="pct"/>
            <w:gridSpan w:val="4"/>
            <w:vAlign w:val="center"/>
          </w:tcPr>
          <w:p w14:paraId="7587AD99">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应急行动：迅速撤离泄漏污染区人员至安全区，并进行隔离，严格限制出入。切断火源。建议应急处理人员戴自给正压式呼吸器，穿防静电工作服。尽可能切断泄漏源。防止流入下水道、排洪沟等限制性空间。</w:t>
            </w:r>
          </w:p>
          <w:p w14:paraId="711BC117">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小量泄漏：用砂石或</w:t>
            </w:r>
            <w:r>
              <w:rPr>
                <w:rFonts w:hint="eastAsia" w:cs="Times New Roman"/>
                <w:color w:val="0D0D0D" w:themeColor="text1" w:themeTint="F2"/>
                <w:kern w:val="0"/>
                <w:sz w:val="21"/>
                <w:szCs w:val="21"/>
                <w:lang w:eastAsia="zh-CN"/>
                <w14:textFill>
                  <w14:solidFill>
                    <w14:schemeClr w14:val="tx1">
                      <w14:lumMod w14:val="95000"/>
                      <w14:lumOff w14:val="5000"/>
                    </w14:schemeClr>
                  </w14:solidFill>
                </w14:textFill>
              </w:rPr>
              <w:t>其他不</w:t>
            </w:r>
            <w:r>
              <w:rPr>
                <w:rFonts w:cs="Times New Roman"/>
                <w:color w:val="0D0D0D" w:themeColor="text1" w:themeTint="F2"/>
                <w:kern w:val="0"/>
                <w:sz w:val="21"/>
                <w:szCs w:val="21"/>
                <w14:textFill>
                  <w14:solidFill>
                    <w14:schemeClr w14:val="tx1">
                      <w14:lumMod w14:val="95000"/>
                      <w14:lumOff w14:val="5000"/>
                    </w14:schemeClr>
                  </w14:solidFill>
                </w14:textFill>
              </w:rPr>
              <w:t>燃材料吸附或吸收。也可以在保证安全情况下，就地焚烧。大量泄漏构筑围堤或挖坑收容。用泵转移至槽车或专用收集器内，回收或运至废物处理场所处置。</w:t>
            </w:r>
          </w:p>
        </w:tc>
      </w:tr>
    </w:tbl>
    <w:p w14:paraId="77282199">
      <w:pPr>
        <w:pStyle w:val="11"/>
      </w:pPr>
      <w:r>
        <w:rPr>
          <w:rFonts w:hint="eastAsia"/>
        </w:rPr>
        <w:t xml:space="preserve"> 甲烷理化性质和危险特性</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2"/>
        <w:gridCol w:w="7440"/>
      </w:tblGrid>
      <w:tr w14:paraId="5B67C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5" w:type="pct"/>
            <w:vAlign w:val="center"/>
          </w:tcPr>
          <w:p w14:paraId="12230B3F">
            <w:pPr>
              <w:widowControl/>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名称</w:t>
            </w:r>
          </w:p>
        </w:tc>
        <w:tc>
          <w:tcPr>
            <w:tcW w:w="4025" w:type="pct"/>
            <w:vAlign w:val="center"/>
          </w:tcPr>
          <w:p w14:paraId="65732875">
            <w:pPr>
              <w:widowControl/>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中文名：甲烷</w:t>
            </w:r>
          </w:p>
          <w:p w14:paraId="0DE3EFAB">
            <w:pPr>
              <w:widowControl/>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化学式：CH</w:t>
            </w:r>
            <w:r>
              <w:rPr>
                <w:rFonts w:cs="Times New Roman"/>
                <w:color w:val="0D0D0D" w:themeColor="text1" w:themeTint="F2"/>
                <w:sz w:val="21"/>
                <w:vertAlign w:val="subscript"/>
                <w14:textFill>
                  <w14:solidFill>
                    <w14:schemeClr w14:val="tx1">
                      <w14:lumMod w14:val="95000"/>
                      <w14:lumOff w14:val="5000"/>
                    </w14:schemeClr>
                  </w14:solidFill>
                </w14:textFill>
              </w:rPr>
              <w:t>4</w:t>
            </w:r>
          </w:p>
          <w:p w14:paraId="7C6E1A75">
            <w:pPr>
              <w:widowControl/>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分子量：16.04276</w:t>
            </w:r>
          </w:p>
          <w:p w14:paraId="26F9E235">
            <w:pPr>
              <w:widowControl/>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CAS号：74-82-</w:t>
            </w:r>
            <w:r>
              <w:rPr>
                <w:rFonts w:hint="eastAsia" w:cs="Times New Roman"/>
                <w:color w:val="0D0D0D" w:themeColor="text1" w:themeTint="F2"/>
                <w:sz w:val="21"/>
                <w14:textFill>
                  <w14:solidFill>
                    <w14:schemeClr w14:val="tx1">
                      <w14:lumMod w14:val="95000"/>
                      <w14:lumOff w14:val="5000"/>
                    </w14:schemeClr>
                  </w14:solidFill>
                </w14:textFill>
              </w:rPr>
              <w:t>8</w:t>
            </w:r>
          </w:p>
        </w:tc>
      </w:tr>
      <w:tr w14:paraId="684C8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5" w:type="pct"/>
            <w:vAlign w:val="center"/>
          </w:tcPr>
          <w:p w14:paraId="384BC3BE">
            <w:pPr>
              <w:widowControl/>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理化性质</w:t>
            </w:r>
          </w:p>
        </w:tc>
        <w:tc>
          <w:tcPr>
            <w:tcW w:w="4025" w:type="pct"/>
            <w:vAlign w:val="center"/>
          </w:tcPr>
          <w:p w14:paraId="4DA116D5">
            <w:pPr>
              <w:widowControl/>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物理性质：无色无臭气体，易燃气体，熔点-182.5℃，沸点-161.5℃，闪点-188℃，微溶于水，溶于乙醇、乙醚；</w:t>
            </w:r>
          </w:p>
          <w:p w14:paraId="37F5B5CE">
            <w:pPr>
              <w:widowControl/>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化学性质：通常情况下，甲烷比较稳定，与高锰酸钾等强氧化剂不反应，与强酸、强碱也不反应。但是在特定条件下，甲烷也会发生某些反应。</w:t>
            </w:r>
          </w:p>
        </w:tc>
      </w:tr>
      <w:tr w14:paraId="520DA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5" w:type="pct"/>
            <w:vAlign w:val="center"/>
          </w:tcPr>
          <w:p w14:paraId="5A77216A">
            <w:pPr>
              <w:widowControl/>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危险特性</w:t>
            </w:r>
          </w:p>
        </w:tc>
        <w:tc>
          <w:tcPr>
            <w:tcW w:w="4025" w:type="pct"/>
            <w:vAlign w:val="center"/>
          </w:tcPr>
          <w:p w14:paraId="2749B767">
            <w:pPr>
              <w:widowControl/>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易燃，与空气混合能形成爆炸性混合物，遇热源和明火有燃烧爆炸的危险。与五氟化溴、氯气、次氯酸、三氟化氮、液氧、二氟化氧及其它强氧化剂接触反应剧烈。</w:t>
            </w:r>
          </w:p>
        </w:tc>
      </w:tr>
      <w:tr w14:paraId="19DAD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5" w:type="pct"/>
            <w:vAlign w:val="center"/>
          </w:tcPr>
          <w:p w14:paraId="6FCE0798">
            <w:pPr>
              <w:widowControl/>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毒理学特性</w:t>
            </w:r>
          </w:p>
        </w:tc>
        <w:tc>
          <w:tcPr>
            <w:tcW w:w="4025" w:type="pct"/>
            <w:vAlign w:val="center"/>
          </w:tcPr>
          <w:p w14:paraId="4E063D11">
            <w:pPr>
              <w:widowControl/>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毒性：允许气体安全地扩散到大气中或当作燃料使用。有单纯性窒息作用，在高浓度时因缺氧窒息而引起中毒。空气中达到25～30%出现头昏、呼吸加速、运动失调。</w:t>
            </w:r>
          </w:p>
          <w:p w14:paraId="60618FEA">
            <w:pPr>
              <w:widowControl/>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急性毒性：小鼠吸入2%浓度×60分钟，麻醉作用；兔吸入2%浓度×60分钟，麻醉作用。</w:t>
            </w:r>
          </w:p>
        </w:tc>
      </w:tr>
      <w:tr w14:paraId="5A376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5" w:type="pct"/>
            <w:vAlign w:val="center"/>
          </w:tcPr>
          <w:p w14:paraId="7C4CC1B3">
            <w:pPr>
              <w:widowControl/>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急救措施</w:t>
            </w:r>
          </w:p>
        </w:tc>
        <w:tc>
          <w:tcPr>
            <w:tcW w:w="4025" w:type="pct"/>
            <w:vAlign w:val="center"/>
          </w:tcPr>
          <w:p w14:paraId="27AFE91D">
            <w:pPr>
              <w:widowControl/>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皮肤接触或眼睛接触：皮肤或眼睛接触液态甲烷会冻伤，应及时就医。</w:t>
            </w:r>
          </w:p>
          <w:p w14:paraId="228EC565">
            <w:pPr>
              <w:widowControl/>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吸入：迅速脱离现场至空气新鲜处。保持呼吸道通畅。如呼吸困难，给输氧。如呼吸停止，立即进行人工呼吸。就医。</w:t>
            </w:r>
          </w:p>
        </w:tc>
      </w:tr>
      <w:tr w14:paraId="34CFD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5" w:type="pct"/>
            <w:vAlign w:val="center"/>
          </w:tcPr>
          <w:p w14:paraId="1B9A417E">
            <w:pPr>
              <w:widowControl/>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消防措施</w:t>
            </w:r>
          </w:p>
        </w:tc>
        <w:tc>
          <w:tcPr>
            <w:tcW w:w="4025" w:type="pct"/>
            <w:vAlign w:val="center"/>
          </w:tcPr>
          <w:p w14:paraId="07CF3FD1">
            <w:pPr>
              <w:widowControl/>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灭火方法：切断气源。若不能立即切断气源，则不允许熄灭正在燃烧的气体。喷水冷却容器，可能的话将容器从火场移至空旷处</w:t>
            </w:r>
            <w:r>
              <w:rPr>
                <w:rFonts w:hint="eastAsia" w:cs="Times New Roman"/>
                <w:color w:val="0D0D0D" w:themeColor="text1" w:themeTint="F2"/>
                <w:sz w:val="21"/>
                <w14:textFill>
                  <w14:solidFill>
                    <w14:schemeClr w14:val="tx1">
                      <w14:lumMod w14:val="95000"/>
                      <w14:lumOff w14:val="5000"/>
                    </w14:schemeClr>
                  </w14:solidFill>
                </w14:textFill>
              </w:rPr>
              <w:t>。</w:t>
            </w:r>
          </w:p>
        </w:tc>
      </w:tr>
      <w:tr w14:paraId="756C5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5" w:type="pct"/>
            <w:vAlign w:val="center"/>
          </w:tcPr>
          <w:p w14:paraId="25251F56">
            <w:pPr>
              <w:widowControl/>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泄漏应急处理</w:t>
            </w:r>
          </w:p>
        </w:tc>
        <w:tc>
          <w:tcPr>
            <w:tcW w:w="4025" w:type="pct"/>
            <w:vAlign w:val="center"/>
          </w:tcPr>
          <w:p w14:paraId="1C2FEB8E">
            <w:pPr>
              <w:widowControl/>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cs="Times New Roman"/>
                <w:color w:val="0D0D0D" w:themeColor="text1" w:themeTint="F2"/>
                <w:sz w:val="21"/>
                <w14:textFill>
                  <w14:solidFill>
                    <w14:schemeClr w14:val="tx1">
                      <w14:lumMod w14:val="95000"/>
                      <w14:lumOff w14:val="5000"/>
                    </w14:schemeClr>
                  </w14:solidFill>
                </w14:textFill>
              </w:rPr>
              <w:t>泄漏：迅速撤离泄漏污染区人员至上风处，并进行隔离，严格限制出入。切断火源。建议应急处理人员戴自给正压式呼吸器，穿消防防护服。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w:t>
            </w:r>
            <w:r>
              <w:rPr>
                <w:rFonts w:hint="eastAsia" w:cs="Times New Roman"/>
                <w:color w:val="0D0D0D" w:themeColor="text1" w:themeTint="F2"/>
                <w:sz w:val="21"/>
                <w14:textFill>
                  <w14:solidFill>
                    <w14:schemeClr w14:val="tx1">
                      <w14:lumMod w14:val="95000"/>
                      <w14:lumOff w14:val="5000"/>
                    </w14:schemeClr>
                  </w14:solidFill>
                </w14:textFill>
              </w:rPr>
              <w:t>。</w:t>
            </w:r>
          </w:p>
        </w:tc>
      </w:tr>
    </w:tbl>
    <w:p w14:paraId="60EF465B">
      <w:pPr>
        <w:pStyle w:val="10"/>
      </w:pPr>
      <w:r>
        <w:rPr>
          <w:rFonts w:hint="eastAsia"/>
        </w:rPr>
        <w:t>生产设施风险识别</w:t>
      </w:r>
    </w:p>
    <w:p w14:paraId="200F475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（1）储罐区风险识别</w:t>
      </w:r>
    </w:p>
    <w:p w14:paraId="0530A78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原料甲醇储存于甲醇罐区的内浮顶罐中，储罐材质为碳钢；生物质柴油储存于废弃油脂和生物柴油罐区的固定顶罐中，储罐材质为碳钢；工业级混合油储存于中转罐区的固定顶罐中，储罐材质为碳钢；发电机房柴油暂存于柴油桶中，材质为碳钢。若罐体（桶身）自身设计强度不够，或安装存在缺陷，或由于腐蚀等原因导致罐体破裂、泵泄漏及泵体裂纹、密封件损坏、阀门和法兰损坏使物料大量泄漏，易发生中毒、大气环境或地表水污染等事故。</w:t>
      </w:r>
    </w:p>
    <w:p w14:paraId="3698A8F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（2）污染治理设施风险识别</w:t>
      </w:r>
    </w:p>
    <w:p w14:paraId="1997A07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①废气</w:t>
      </w:r>
    </w:p>
    <w:p w14:paraId="68F2E12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废气处理系统存在故障不能正常工作，污染物不能达标排放，引发大气环境污染风险。</w:t>
      </w:r>
    </w:p>
    <w:p w14:paraId="48B531D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②废水</w:t>
      </w:r>
    </w:p>
    <w:p w14:paraId="6A45212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污水处理装置存在故障不能正常工作，造成废水超标排放。</w:t>
      </w:r>
    </w:p>
    <w:p w14:paraId="7915A32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（3）有毒有害物质扩散途径识别</w:t>
      </w:r>
    </w:p>
    <w:p w14:paraId="4E2185D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事故情况下发生危险物质扩散途径主要有：</w:t>
      </w:r>
    </w:p>
    <w:p w14:paraId="771814B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①危险化学品储存、转运过程中储罐破裂或操作不当发生泄漏事故，泄漏至地面，造成物料挥发进入大气环境；若地面不进行防渗、防腐处理，泄漏物料可能下渗污染土壤及地下水。</w:t>
      </w:r>
    </w:p>
    <w:p w14:paraId="625741F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②有泄漏时未及时消除或溢流出的易燃料液遇明火导致火灾事故，产生的燃烧废气进入大气环境或者消防废水携带危险物质对外界水环境产生影响。</w:t>
      </w:r>
    </w:p>
    <w:p w14:paraId="0D7172C7">
      <w:pPr>
        <w:pStyle w:val="10"/>
      </w:pPr>
      <w:r>
        <w:rPr>
          <w:rFonts w:hint="eastAsia"/>
        </w:rPr>
        <w:t>环境敏感目标</w:t>
      </w:r>
    </w:p>
    <w:p w14:paraId="2899B31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项目周边主要环境敏感目标分布情况见表5.9-4。</w:t>
      </w:r>
    </w:p>
    <w:p w14:paraId="40BAE6BE">
      <w:pPr>
        <w:pStyle w:val="11"/>
      </w:pPr>
      <w:r>
        <w:rPr>
          <w:rFonts w:hint="eastAsia"/>
        </w:rPr>
        <w:t xml:space="preserve"> 环境敏感目标一览表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752"/>
        <w:gridCol w:w="993"/>
        <w:gridCol w:w="1745"/>
        <w:gridCol w:w="1248"/>
        <w:gridCol w:w="1015"/>
        <w:gridCol w:w="930"/>
        <w:gridCol w:w="1312"/>
      </w:tblGrid>
      <w:tr w14:paraId="76B0D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pct"/>
            <w:vMerge w:val="restart"/>
            <w:vAlign w:val="center"/>
          </w:tcPr>
          <w:p w14:paraId="2ADDEC2F">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类别</w:t>
            </w:r>
          </w:p>
        </w:tc>
        <w:tc>
          <w:tcPr>
            <w:tcW w:w="4325" w:type="pct"/>
            <w:gridSpan w:val="7"/>
            <w:vAlign w:val="center"/>
          </w:tcPr>
          <w:p w14:paraId="1EBA9347">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环境敏感特征</w:t>
            </w:r>
          </w:p>
        </w:tc>
      </w:tr>
      <w:tr w14:paraId="19599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pct"/>
            <w:vMerge w:val="continue"/>
            <w:vAlign w:val="center"/>
          </w:tcPr>
          <w:p w14:paraId="79B05E7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4325" w:type="pct"/>
            <w:gridSpan w:val="7"/>
            <w:vAlign w:val="center"/>
          </w:tcPr>
          <w:p w14:paraId="7E262B57">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厂址周边5km范围内</w:t>
            </w:r>
          </w:p>
        </w:tc>
      </w:tr>
      <w:tr w14:paraId="75229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pct"/>
            <w:vMerge w:val="restart"/>
            <w:vAlign w:val="center"/>
          </w:tcPr>
          <w:p w14:paraId="1CF07E81">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环境空气</w:t>
            </w:r>
          </w:p>
        </w:tc>
        <w:tc>
          <w:tcPr>
            <w:tcW w:w="407" w:type="pct"/>
            <w:vAlign w:val="center"/>
          </w:tcPr>
          <w:p w14:paraId="5131DCF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序号</w:t>
            </w:r>
          </w:p>
        </w:tc>
        <w:tc>
          <w:tcPr>
            <w:tcW w:w="1481" w:type="pct"/>
            <w:gridSpan w:val="2"/>
            <w:vAlign w:val="center"/>
          </w:tcPr>
          <w:p w14:paraId="00F6381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敏感</w:t>
            </w:r>
            <w:r>
              <w:rPr>
                <w:rFonts w:hint="eastAsia" w:cs="Times New Roman"/>
                <w:color w:val="0D0D0D" w:themeColor="text1" w:themeTint="F2"/>
                <w:kern w:val="0"/>
                <w:sz w:val="21"/>
                <w:szCs w:val="21"/>
                <w14:textFill>
                  <w14:solidFill>
                    <w14:schemeClr w14:val="tx1">
                      <w14:lumMod w14:val="95000"/>
                      <w14:lumOff w14:val="5000"/>
                    </w14:schemeClr>
                  </w14:solidFill>
                </w14:textFill>
              </w:rPr>
              <w:t>点</w:t>
            </w:r>
          </w:p>
        </w:tc>
        <w:tc>
          <w:tcPr>
            <w:tcW w:w="675" w:type="pct"/>
            <w:vAlign w:val="center"/>
          </w:tcPr>
          <w:p w14:paraId="00D172DE">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相对方位</w:t>
            </w:r>
          </w:p>
        </w:tc>
        <w:tc>
          <w:tcPr>
            <w:tcW w:w="549" w:type="pct"/>
            <w:vAlign w:val="center"/>
          </w:tcPr>
          <w:p w14:paraId="7E3052D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距离/m</w:t>
            </w:r>
          </w:p>
        </w:tc>
        <w:tc>
          <w:tcPr>
            <w:tcW w:w="503" w:type="pct"/>
            <w:vAlign w:val="center"/>
          </w:tcPr>
          <w:p w14:paraId="1EE6DD2E">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属性</w:t>
            </w:r>
          </w:p>
        </w:tc>
        <w:tc>
          <w:tcPr>
            <w:tcW w:w="710" w:type="pct"/>
            <w:vAlign w:val="center"/>
          </w:tcPr>
          <w:p w14:paraId="19BFFB9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人口数</w:t>
            </w:r>
          </w:p>
        </w:tc>
      </w:tr>
      <w:tr w14:paraId="38E1B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pct"/>
            <w:vMerge w:val="continue"/>
            <w:vAlign w:val="center"/>
          </w:tcPr>
          <w:p w14:paraId="4A5E651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407" w:type="pct"/>
            <w:vAlign w:val="center"/>
          </w:tcPr>
          <w:p w14:paraId="225868FD">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1</w:t>
            </w:r>
          </w:p>
        </w:tc>
        <w:tc>
          <w:tcPr>
            <w:tcW w:w="1481" w:type="pct"/>
            <w:gridSpan w:val="2"/>
            <w:vAlign w:val="center"/>
          </w:tcPr>
          <w:p w14:paraId="34C078A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厚福沙村</w:t>
            </w:r>
          </w:p>
        </w:tc>
        <w:tc>
          <w:tcPr>
            <w:tcW w:w="675" w:type="pct"/>
            <w:vAlign w:val="center"/>
          </w:tcPr>
          <w:p w14:paraId="56E1176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西南</w:t>
            </w:r>
          </w:p>
        </w:tc>
        <w:tc>
          <w:tcPr>
            <w:tcW w:w="549" w:type="pct"/>
            <w:vAlign w:val="center"/>
          </w:tcPr>
          <w:p w14:paraId="144B8C82">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2570</w:t>
            </w:r>
          </w:p>
        </w:tc>
        <w:tc>
          <w:tcPr>
            <w:tcW w:w="503" w:type="pct"/>
            <w:vAlign w:val="center"/>
          </w:tcPr>
          <w:p w14:paraId="315A12A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村屯</w:t>
            </w:r>
          </w:p>
        </w:tc>
        <w:tc>
          <w:tcPr>
            <w:tcW w:w="710" w:type="pct"/>
            <w:vAlign w:val="center"/>
          </w:tcPr>
          <w:p w14:paraId="678A1F5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350</w:t>
            </w:r>
          </w:p>
        </w:tc>
      </w:tr>
      <w:tr w14:paraId="54E04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pct"/>
            <w:vMerge w:val="continue"/>
            <w:vAlign w:val="center"/>
          </w:tcPr>
          <w:p w14:paraId="4541469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407" w:type="pct"/>
            <w:vAlign w:val="center"/>
          </w:tcPr>
          <w:p w14:paraId="743EA4C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2</w:t>
            </w:r>
          </w:p>
        </w:tc>
        <w:tc>
          <w:tcPr>
            <w:tcW w:w="1481" w:type="pct"/>
            <w:gridSpan w:val="2"/>
            <w:vAlign w:val="center"/>
          </w:tcPr>
          <w:p w14:paraId="2243C1BB">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竹笼村</w:t>
            </w:r>
          </w:p>
        </w:tc>
        <w:tc>
          <w:tcPr>
            <w:tcW w:w="675" w:type="pct"/>
            <w:vAlign w:val="center"/>
          </w:tcPr>
          <w:p w14:paraId="1C6BE43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西南</w:t>
            </w:r>
          </w:p>
        </w:tc>
        <w:tc>
          <w:tcPr>
            <w:tcW w:w="549" w:type="pct"/>
            <w:vAlign w:val="center"/>
          </w:tcPr>
          <w:p w14:paraId="721E340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2280</w:t>
            </w:r>
          </w:p>
        </w:tc>
        <w:tc>
          <w:tcPr>
            <w:tcW w:w="503" w:type="pct"/>
            <w:vAlign w:val="center"/>
          </w:tcPr>
          <w:p w14:paraId="0BBE863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村屯</w:t>
            </w:r>
          </w:p>
        </w:tc>
        <w:tc>
          <w:tcPr>
            <w:tcW w:w="710" w:type="pct"/>
            <w:vAlign w:val="center"/>
          </w:tcPr>
          <w:p w14:paraId="272F190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300</w:t>
            </w:r>
          </w:p>
        </w:tc>
      </w:tr>
      <w:tr w14:paraId="4B84B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pct"/>
            <w:vMerge w:val="continue"/>
            <w:vAlign w:val="center"/>
          </w:tcPr>
          <w:p w14:paraId="3ACB10E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407" w:type="pct"/>
            <w:vAlign w:val="center"/>
          </w:tcPr>
          <w:p w14:paraId="1B53B52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3</w:t>
            </w:r>
          </w:p>
        </w:tc>
        <w:tc>
          <w:tcPr>
            <w:tcW w:w="1481" w:type="pct"/>
            <w:gridSpan w:val="2"/>
            <w:vAlign w:val="center"/>
          </w:tcPr>
          <w:p w14:paraId="75584C3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滨海社区</w:t>
            </w:r>
          </w:p>
        </w:tc>
        <w:tc>
          <w:tcPr>
            <w:tcW w:w="675" w:type="pct"/>
            <w:vAlign w:val="center"/>
          </w:tcPr>
          <w:p w14:paraId="5771A22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西</w:t>
            </w:r>
          </w:p>
        </w:tc>
        <w:tc>
          <w:tcPr>
            <w:tcW w:w="549" w:type="pct"/>
            <w:vAlign w:val="center"/>
          </w:tcPr>
          <w:p w14:paraId="3D671593">
            <w:pPr>
              <w:spacing w:line="240" w:lineRule="auto"/>
              <w:jc w:val="center"/>
              <w:rPr>
                <w:rFonts w:cs="Times New Roman"/>
                <w:bCs/>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1440</w:t>
            </w:r>
          </w:p>
        </w:tc>
        <w:tc>
          <w:tcPr>
            <w:tcW w:w="503" w:type="pct"/>
            <w:vAlign w:val="center"/>
          </w:tcPr>
          <w:p w14:paraId="36B38CF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村屯</w:t>
            </w:r>
          </w:p>
        </w:tc>
        <w:tc>
          <w:tcPr>
            <w:tcW w:w="710" w:type="pct"/>
            <w:vAlign w:val="center"/>
          </w:tcPr>
          <w:p w14:paraId="213363B4">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800</w:t>
            </w:r>
          </w:p>
        </w:tc>
      </w:tr>
      <w:tr w14:paraId="4404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pct"/>
            <w:vMerge w:val="continue"/>
            <w:vAlign w:val="center"/>
          </w:tcPr>
          <w:p w14:paraId="3E2A03CF">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407" w:type="pct"/>
            <w:vAlign w:val="center"/>
          </w:tcPr>
          <w:p w14:paraId="6CE0E314">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4</w:t>
            </w:r>
          </w:p>
        </w:tc>
        <w:tc>
          <w:tcPr>
            <w:tcW w:w="1481" w:type="pct"/>
            <w:gridSpan w:val="2"/>
            <w:vAlign w:val="center"/>
          </w:tcPr>
          <w:p w14:paraId="0A747007">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三块田村</w:t>
            </w:r>
          </w:p>
        </w:tc>
        <w:tc>
          <w:tcPr>
            <w:tcW w:w="675" w:type="pct"/>
            <w:vAlign w:val="center"/>
          </w:tcPr>
          <w:p w14:paraId="2FFA7677">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西北</w:t>
            </w:r>
          </w:p>
        </w:tc>
        <w:tc>
          <w:tcPr>
            <w:tcW w:w="549" w:type="pct"/>
            <w:vAlign w:val="center"/>
          </w:tcPr>
          <w:p w14:paraId="369F765E">
            <w:pPr>
              <w:spacing w:line="240" w:lineRule="auto"/>
              <w:jc w:val="center"/>
              <w:rPr>
                <w:rFonts w:cs="Times New Roman"/>
                <w:bCs/>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2000</w:t>
            </w:r>
          </w:p>
        </w:tc>
        <w:tc>
          <w:tcPr>
            <w:tcW w:w="503" w:type="pct"/>
            <w:vAlign w:val="center"/>
          </w:tcPr>
          <w:p w14:paraId="1E8CC46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村屯</w:t>
            </w:r>
          </w:p>
        </w:tc>
        <w:tc>
          <w:tcPr>
            <w:tcW w:w="710" w:type="pct"/>
            <w:vAlign w:val="center"/>
          </w:tcPr>
          <w:p w14:paraId="1957452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100</w:t>
            </w:r>
          </w:p>
        </w:tc>
      </w:tr>
      <w:tr w14:paraId="63DCB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pct"/>
            <w:vMerge w:val="continue"/>
            <w:vAlign w:val="center"/>
          </w:tcPr>
          <w:p w14:paraId="6D39CF9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407" w:type="pct"/>
            <w:vAlign w:val="center"/>
          </w:tcPr>
          <w:p w14:paraId="5DDD9604">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5</w:t>
            </w:r>
          </w:p>
        </w:tc>
        <w:tc>
          <w:tcPr>
            <w:tcW w:w="1481" w:type="pct"/>
            <w:gridSpan w:val="2"/>
            <w:vAlign w:val="center"/>
          </w:tcPr>
          <w:p w14:paraId="18D10048">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佛子坳村</w:t>
            </w:r>
          </w:p>
        </w:tc>
        <w:tc>
          <w:tcPr>
            <w:tcW w:w="675" w:type="pct"/>
            <w:vAlign w:val="center"/>
          </w:tcPr>
          <w:p w14:paraId="2504820E">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西北</w:t>
            </w:r>
          </w:p>
        </w:tc>
        <w:tc>
          <w:tcPr>
            <w:tcW w:w="549" w:type="pct"/>
            <w:vAlign w:val="center"/>
          </w:tcPr>
          <w:p w14:paraId="38FE19E5">
            <w:pPr>
              <w:spacing w:line="240" w:lineRule="auto"/>
              <w:jc w:val="center"/>
              <w:rPr>
                <w:rFonts w:cs="Times New Roman"/>
                <w:bCs/>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2260</w:t>
            </w:r>
          </w:p>
        </w:tc>
        <w:tc>
          <w:tcPr>
            <w:tcW w:w="503" w:type="pct"/>
            <w:vAlign w:val="center"/>
          </w:tcPr>
          <w:p w14:paraId="0734329F">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村屯</w:t>
            </w:r>
          </w:p>
        </w:tc>
        <w:tc>
          <w:tcPr>
            <w:tcW w:w="710" w:type="pct"/>
            <w:vAlign w:val="center"/>
          </w:tcPr>
          <w:p w14:paraId="7886BBB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200</w:t>
            </w:r>
          </w:p>
        </w:tc>
      </w:tr>
      <w:tr w14:paraId="421A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pct"/>
            <w:vMerge w:val="continue"/>
            <w:vAlign w:val="center"/>
          </w:tcPr>
          <w:p w14:paraId="2474A79D">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407" w:type="pct"/>
            <w:vAlign w:val="center"/>
          </w:tcPr>
          <w:p w14:paraId="2A4EF5E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6</w:t>
            </w:r>
          </w:p>
        </w:tc>
        <w:tc>
          <w:tcPr>
            <w:tcW w:w="1481" w:type="pct"/>
            <w:gridSpan w:val="2"/>
            <w:vAlign w:val="center"/>
          </w:tcPr>
          <w:p w14:paraId="323D27F1">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钦州市第一人民医院钦州港分院</w:t>
            </w:r>
          </w:p>
        </w:tc>
        <w:tc>
          <w:tcPr>
            <w:tcW w:w="675" w:type="pct"/>
            <w:vAlign w:val="center"/>
          </w:tcPr>
          <w:p w14:paraId="6F320DC8">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西北</w:t>
            </w:r>
          </w:p>
        </w:tc>
        <w:tc>
          <w:tcPr>
            <w:tcW w:w="549" w:type="pct"/>
            <w:vAlign w:val="center"/>
          </w:tcPr>
          <w:p w14:paraId="6E47AB90">
            <w:pPr>
              <w:spacing w:line="240" w:lineRule="auto"/>
              <w:jc w:val="center"/>
              <w:rPr>
                <w:rFonts w:cs="Times New Roman"/>
                <w:bCs/>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2810</w:t>
            </w:r>
          </w:p>
        </w:tc>
        <w:tc>
          <w:tcPr>
            <w:tcW w:w="503" w:type="pct"/>
            <w:vAlign w:val="center"/>
          </w:tcPr>
          <w:p w14:paraId="4E8DA188">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村屯</w:t>
            </w:r>
          </w:p>
        </w:tc>
        <w:tc>
          <w:tcPr>
            <w:tcW w:w="710" w:type="pct"/>
            <w:vAlign w:val="center"/>
          </w:tcPr>
          <w:p w14:paraId="2A7ABFBD">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500</w:t>
            </w:r>
          </w:p>
        </w:tc>
      </w:tr>
      <w:tr w14:paraId="6C409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pct"/>
            <w:vMerge w:val="continue"/>
            <w:vAlign w:val="center"/>
          </w:tcPr>
          <w:p w14:paraId="0FB8166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407" w:type="pct"/>
            <w:vAlign w:val="center"/>
          </w:tcPr>
          <w:p w14:paraId="2440611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7</w:t>
            </w:r>
          </w:p>
        </w:tc>
        <w:tc>
          <w:tcPr>
            <w:tcW w:w="1481" w:type="pct"/>
            <w:gridSpan w:val="2"/>
            <w:vAlign w:val="center"/>
          </w:tcPr>
          <w:p w14:paraId="54DA3408">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亚路江社区</w:t>
            </w:r>
          </w:p>
        </w:tc>
        <w:tc>
          <w:tcPr>
            <w:tcW w:w="675" w:type="pct"/>
            <w:vAlign w:val="center"/>
          </w:tcPr>
          <w:p w14:paraId="520AEDF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西北</w:t>
            </w:r>
          </w:p>
        </w:tc>
        <w:tc>
          <w:tcPr>
            <w:tcW w:w="549" w:type="pct"/>
            <w:vAlign w:val="center"/>
          </w:tcPr>
          <w:p w14:paraId="085845D9">
            <w:pPr>
              <w:spacing w:line="240" w:lineRule="auto"/>
              <w:jc w:val="center"/>
              <w:rPr>
                <w:rFonts w:cs="Times New Roman"/>
                <w:bCs/>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2430</w:t>
            </w:r>
          </w:p>
        </w:tc>
        <w:tc>
          <w:tcPr>
            <w:tcW w:w="503" w:type="pct"/>
            <w:vAlign w:val="center"/>
          </w:tcPr>
          <w:p w14:paraId="3D7C47E2">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村屯</w:t>
            </w:r>
          </w:p>
        </w:tc>
        <w:tc>
          <w:tcPr>
            <w:tcW w:w="710" w:type="pct"/>
            <w:vAlign w:val="center"/>
          </w:tcPr>
          <w:p w14:paraId="63DE8FD4">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2000</w:t>
            </w:r>
          </w:p>
        </w:tc>
      </w:tr>
      <w:tr w14:paraId="7CF03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pct"/>
            <w:vMerge w:val="continue"/>
            <w:vAlign w:val="center"/>
          </w:tcPr>
          <w:p w14:paraId="04536E4B">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407" w:type="pct"/>
            <w:vAlign w:val="center"/>
          </w:tcPr>
          <w:p w14:paraId="0FBAF54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8</w:t>
            </w:r>
          </w:p>
        </w:tc>
        <w:tc>
          <w:tcPr>
            <w:tcW w:w="1481" w:type="pct"/>
            <w:gridSpan w:val="2"/>
            <w:vAlign w:val="center"/>
          </w:tcPr>
          <w:p w14:paraId="125FBFCB">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旧村</w:t>
            </w:r>
          </w:p>
        </w:tc>
        <w:tc>
          <w:tcPr>
            <w:tcW w:w="675" w:type="pct"/>
            <w:vAlign w:val="center"/>
          </w:tcPr>
          <w:p w14:paraId="7E4D87E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西北</w:t>
            </w:r>
          </w:p>
        </w:tc>
        <w:tc>
          <w:tcPr>
            <w:tcW w:w="549" w:type="pct"/>
            <w:vAlign w:val="center"/>
          </w:tcPr>
          <w:p w14:paraId="7F640C8C">
            <w:pPr>
              <w:spacing w:line="240" w:lineRule="auto"/>
              <w:jc w:val="center"/>
              <w:rPr>
                <w:rFonts w:cs="Times New Roman"/>
                <w:bCs/>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1500</w:t>
            </w:r>
          </w:p>
        </w:tc>
        <w:tc>
          <w:tcPr>
            <w:tcW w:w="503" w:type="pct"/>
            <w:vAlign w:val="center"/>
          </w:tcPr>
          <w:p w14:paraId="3C425078">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村屯</w:t>
            </w:r>
          </w:p>
        </w:tc>
        <w:tc>
          <w:tcPr>
            <w:tcW w:w="710" w:type="pct"/>
            <w:vAlign w:val="center"/>
          </w:tcPr>
          <w:p w14:paraId="5715DDF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300</w:t>
            </w:r>
          </w:p>
        </w:tc>
      </w:tr>
      <w:tr w14:paraId="53472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pct"/>
            <w:vMerge w:val="continue"/>
            <w:vAlign w:val="center"/>
          </w:tcPr>
          <w:p w14:paraId="25B846F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407" w:type="pct"/>
            <w:vAlign w:val="center"/>
          </w:tcPr>
          <w:p w14:paraId="29871A91">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9</w:t>
            </w:r>
          </w:p>
        </w:tc>
        <w:tc>
          <w:tcPr>
            <w:tcW w:w="1481" w:type="pct"/>
            <w:gridSpan w:val="2"/>
            <w:vAlign w:val="center"/>
          </w:tcPr>
          <w:p w14:paraId="3F13064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沙岗头</w:t>
            </w:r>
          </w:p>
        </w:tc>
        <w:tc>
          <w:tcPr>
            <w:tcW w:w="675" w:type="pct"/>
            <w:vAlign w:val="center"/>
          </w:tcPr>
          <w:p w14:paraId="57E5280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东北</w:t>
            </w:r>
          </w:p>
        </w:tc>
        <w:tc>
          <w:tcPr>
            <w:tcW w:w="549" w:type="pct"/>
            <w:vAlign w:val="center"/>
          </w:tcPr>
          <w:p w14:paraId="0D3CE0D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1050</w:t>
            </w:r>
          </w:p>
        </w:tc>
        <w:tc>
          <w:tcPr>
            <w:tcW w:w="503" w:type="pct"/>
            <w:vAlign w:val="center"/>
          </w:tcPr>
          <w:p w14:paraId="738A8B91">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村屯</w:t>
            </w:r>
          </w:p>
        </w:tc>
        <w:tc>
          <w:tcPr>
            <w:tcW w:w="710" w:type="pct"/>
            <w:vAlign w:val="center"/>
          </w:tcPr>
          <w:p w14:paraId="2519365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460</w:t>
            </w:r>
          </w:p>
        </w:tc>
      </w:tr>
      <w:tr w14:paraId="7749A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pct"/>
            <w:vMerge w:val="continue"/>
            <w:vAlign w:val="center"/>
          </w:tcPr>
          <w:p w14:paraId="6B4FAAA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407" w:type="pct"/>
            <w:vAlign w:val="center"/>
          </w:tcPr>
          <w:p w14:paraId="6A536B7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10</w:t>
            </w:r>
          </w:p>
        </w:tc>
        <w:tc>
          <w:tcPr>
            <w:tcW w:w="1481" w:type="pct"/>
            <w:gridSpan w:val="2"/>
            <w:vAlign w:val="center"/>
          </w:tcPr>
          <w:p w14:paraId="1D4E8C20">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天塘村</w:t>
            </w:r>
          </w:p>
        </w:tc>
        <w:tc>
          <w:tcPr>
            <w:tcW w:w="675" w:type="pct"/>
            <w:vAlign w:val="center"/>
          </w:tcPr>
          <w:p w14:paraId="69625D92">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东北</w:t>
            </w:r>
          </w:p>
        </w:tc>
        <w:tc>
          <w:tcPr>
            <w:tcW w:w="549" w:type="pct"/>
            <w:vAlign w:val="center"/>
          </w:tcPr>
          <w:p w14:paraId="7DACA1D9">
            <w:pPr>
              <w:spacing w:line="240" w:lineRule="auto"/>
              <w:jc w:val="center"/>
              <w:rPr>
                <w:rFonts w:cs="Times New Roman"/>
                <w:bCs/>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2140</w:t>
            </w:r>
          </w:p>
        </w:tc>
        <w:tc>
          <w:tcPr>
            <w:tcW w:w="503" w:type="pct"/>
            <w:vAlign w:val="center"/>
          </w:tcPr>
          <w:p w14:paraId="62C9ECAE">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村屯</w:t>
            </w:r>
          </w:p>
        </w:tc>
        <w:tc>
          <w:tcPr>
            <w:tcW w:w="710" w:type="pct"/>
            <w:vAlign w:val="center"/>
          </w:tcPr>
          <w:p w14:paraId="7789A9F2">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400</w:t>
            </w:r>
          </w:p>
        </w:tc>
      </w:tr>
      <w:tr w14:paraId="21905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pct"/>
            <w:vMerge w:val="continue"/>
            <w:vAlign w:val="center"/>
          </w:tcPr>
          <w:p w14:paraId="2516A68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407" w:type="pct"/>
            <w:vAlign w:val="center"/>
          </w:tcPr>
          <w:p w14:paraId="70FEF40F">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11</w:t>
            </w:r>
          </w:p>
        </w:tc>
        <w:tc>
          <w:tcPr>
            <w:tcW w:w="1481" w:type="pct"/>
            <w:gridSpan w:val="2"/>
            <w:vAlign w:val="center"/>
          </w:tcPr>
          <w:p w14:paraId="7FE5E90B">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金鼓社区</w:t>
            </w:r>
          </w:p>
        </w:tc>
        <w:tc>
          <w:tcPr>
            <w:tcW w:w="675" w:type="pct"/>
            <w:vAlign w:val="center"/>
          </w:tcPr>
          <w:p w14:paraId="322A461B">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东北</w:t>
            </w:r>
          </w:p>
        </w:tc>
        <w:tc>
          <w:tcPr>
            <w:tcW w:w="549" w:type="pct"/>
            <w:vAlign w:val="center"/>
          </w:tcPr>
          <w:p w14:paraId="1AD03E12">
            <w:pPr>
              <w:spacing w:line="240" w:lineRule="auto"/>
              <w:jc w:val="center"/>
              <w:rPr>
                <w:rFonts w:cs="Times New Roman"/>
                <w:bCs/>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2147</w:t>
            </w:r>
          </w:p>
        </w:tc>
        <w:tc>
          <w:tcPr>
            <w:tcW w:w="503" w:type="pct"/>
            <w:vAlign w:val="center"/>
          </w:tcPr>
          <w:p w14:paraId="41E9FE3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村屯</w:t>
            </w:r>
          </w:p>
        </w:tc>
        <w:tc>
          <w:tcPr>
            <w:tcW w:w="710" w:type="pct"/>
            <w:vAlign w:val="center"/>
          </w:tcPr>
          <w:p w14:paraId="48CAA7B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2000</w:t>
            </w:r>
          </w:p>
        </w:tc>
      </w:tr>
      <w:tr w14:paraId="789DE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pct"/>
            <w:vMerge w:val="continue"/>
            <w:vAlign w:val="center"/>
          </w:tcPr>
          <w:p w14:paraId="57272E48">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407" w:type="pct"/>
            <w:vAlign w:val="center"/>
          </w:tcPr>
          <w:p w14:paraId="152775C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12</w:t>
            </w:r>
          </w:p>
        </w:tc>
        <w:tc>
          <w:tcPr>
            <w:tcW w:w="1481" w:type="pct"/>
            <w:gridSpan w:val="2"/>
            <w:vAlign w:val="center"/>
          </w:tcPr>
          <w:p w14:paraId="25DECD55">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细垌环村</w:t>
            </w:r>
          </w:p>
        </w:tc>
        <w:tc>
          <w:tcPr>
            <w:tcW w:w="675" w:type="pct"/>
            <w:vAlign w:val="center"/>
          </w:tcPr>
          <w:p w14:paraId="6F77EE86">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东北</w:t>
            </w:r>
          </w:p>
        </w:tc>
        <w:tc>
          <w:tcPr>
            <w:tcW w:w="549" w:type="pct"/>
            <w:vAlign w:val="center"/>
          </w:tcPr>
          <w:p w14:paraId="670670CE">
            <w:pPr>
              <w:spacing w:line="240" w:lineRule="auto"/>
              <w:jc w:val="center"/>
              <w:rPr>
                <w:rFonts w:cs="Times New Roman"/>
                <w:bCs/>
                <w:color w:val="0D0D0D" w:themeColor="text1" w:themeTint="F2"/>
                <w:sz w:val="21"/>
                <w:szCs w:val="21"/>
                <w14:textFill>
                  <w14:solidFill>
                    <w14:schemeClr w14:val="tx1">
                      <w14:lumMod w14:val="95000"/>
                      <w14:lumOff w14:val="5000"/>
                    </w14:schemeClr>
                  </w14:solidFill>
                </w14:textFill>
              </w:rPr>
            </w:pPr>
            <w:r>
              <w:rPr>
                <w:rFonts w:hint="eastAsia" w:cs="Times New Roman"/>
                <w:bCs/>
                <w:color w:val="0D0D0D" w:themeColor="text1" w:themeTint="F2"/>
                <w:sz w:val="21"/>
                <w:szCs w:val="21"/>
                <w14:textFill>
                  <w14:solidFill>
                    <w14:schemeClr w14:val="tx1">
                      <w14:lumMod w14:val="95000"/>
                      <w14:lumOff w14:val="5000"/>
                    </w14:schemeClr>
                  </w14:solidFill>
                </w14:textFill>
              </w:rPr>
              <w:t>4263</w:t>
            </w:r>
          </w:p>
        </w:tc>
        <w:tc>
          <w:tcPr>
            <w:tcW w:w="503" w:type="pct"/>
            <w:vAlign w:val="center"/>
          </w:tcPr>
          <w:p w14:paraId="7D227ED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村屯</w:t>
            </w:r>
          </w:p>
        </w:tc>
        <w:tc>
          <w:tcPr>
            <w:tcW w:w="710" w:type="pct"/>
            <w:vAlign w:val="center"/>
          </w:tcPr>
          <w:p w14:paraId="2F69603E">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350</w:t>
            </w:r>
          </w:p>
        </w:tc>
      </w:tr>
      <w:tr w14:paraId="72242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pct"/>
            <w:vMerge w:val="continue"/>
            <w:vAlign w:val="center"/>
          </w:tcPr>
          <w:p w14:paraId="3240772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407" w:type="pct"/>
            <w:vAlign w:val="center"/>
          </w:tcPr>
          <w:p w14:paraId="6E27C4D8">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13</w:t>
            </w:r>
          </w:p>
        </w:tc>
        <w:tc>
          <w:tcPr>
            <w:tcW w:w="1481" w:type="pct"/>
            <w:gridSpan w:val="2"/>
            <w:vAlign w:val="center"/>
          </w:tcPr>
          <w:p w14:paraId="06B77CB9">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淡水湾村</w:t>
            </w:r>
          </w:p>
        </w:tc>
        <w:tc>
          <w:tcPr>
            <w:tcW w:w="675" w:type="pct"/>
            <w:vAlign w:val="center"/>
          </w:tcPr>
          <w:p w14:paraId="48386833">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东南</w:t>
            </w:r>
          </w:p>
        </w:tc>
        <w:tc>
          <w:tcPr>
            <w:tcW w:w="549" w:type="pct"/>
            <w:vAlign w:val="center"/>
          </w:tcPr>
          <w:p w14:paraId="37023FB3">
            <w:pPr>
              <w:spacing w:line="240" w:lineRule="auto"/>
              <w:jc w:val="center"/>
              <w:rPr>
                <w:rFonts w:cs="Times New Roman"/>
                <w:bCs/>
                <w:color w:val="0D0D0D" w:themeColor="text1" w:themeTint="F2"/>
                <w:sz w:val="21"/>
                <w:szCs w:val="21"/>
                <w14:textFill>
                  <w14:solidFill>
                    <w14:schemeClr w14:val="tx1">
                      <w14:lumMod w14:val="95000"/>
                      <w14:lumOff w14:val="5000"/>
                    </w14:schemeClr>
                  </w14:solidFill>
                </w14:textFill>
              </w:rPr>
            </w:pPr>
            <w:r>
              <w:rPr>
                <w:rFonts w:hint="eastAsia" w:cs="Times New Roman"/>
                <w:bCs/>
                <w:color w:val="0D0D0D" w:themeColor="text1" w:themeTint="F2"/>
                <w:sz w:val="21"/>
                <w:szCs w:val="21"/>
                <w14:textFill>
                  <w14:solidFill>
                    <w14:schemeClr w14:val="tx1">
                      <w14:lumMod w14:val="95000"/>
                      <w14:lumOff w14:val="5000"/>
                    </w14:schemeClr>
                  </w14:solidFill>
                </w14:textFill>
              </w:rPr>
              <w:t>2735</w:t>
            </w:r>
          </w:p>
        </w:tc>
        <w:tc>
          <w:tcPr>
            <w:tcW w:w="503" w:type="pct"/>
            <w:vAlign w:val="center"/>
          </w:tcPr>
          <w:p w14:paraId="6C528154">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村屯</w:t>
            </w:r>
          </w:p>
        </w:tc>
        <w:tc>
          <w:tcPr>
            <w:tcW w:w="710" w:type="pct"/>
            <w:vAlign w:val="center"/>
          </w:tcPr>
          <w:p w14:paraId="3438626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360</w:t>
            </w:r>
          </w:p>
        </w:tc>
      </w:tr>
      <w:tr w14:paraId="7A99E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pct"/>
            <w:vMerge w:val="continue"/>
            <w:vAlign w:val="center"/>
          </w:tcPr>
          <w:p w14:paraId="3C3E743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407" w:type="pct"/>
            <w:vAlign w:val="center"/>
          </w:tcPr>
          <w:p w14:paraId="42FD7DC2">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14</w:t>
            </w:r>
          </w:p>
        </w:tc>
        <w:tc>
          <w:tcPr>
            <w:tcW w:w="1481" w:type="pct"/>
            <w:gridSpan w:val="2"/>
            <w:vAlign w:val="center"/>
          </w:tcPr>
          <w:p w14:paraId="11CE4728">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过山路村</w:t>
            </w:r>
          </w:p>
        </w:tc>
        <w:tc>
          <w:tcPr>
            <w:tcW w:w="675" w:type="pct"/>
            <w:vAlign w:val="center"/>
          </w:tcPr>
          <w:p w14:paraId="318C8E8B">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东南</w:t>
            </w:r>
          </w:p>
        </w:tc>
        <w:tc>
          <w:tcPr>
            <w:tcW w:w="549" w:type="pct"/>
            <w:vAlign w:val="center"/>
          </w:tcPr>
          <w:p w14:paraId="78452922">
            <w:pPr>
              <w:spacing w:line="240" w:lineRule="auto"/>
              <w:jc w:val="center"/>
              <w:rPr>
                <w:rFonts w:cs="Times New Roman"/>
                <w:bCs/>
                <w:color w:val="0D0D0D" w:themeColor="text1" w:themeTint="F2"/>
                <w:sz w:val="21"/>
                <w:szCs w:val="21"/>
                <w14:textFill>
                  <w14:solidFill>
                    <w14:schemeClr w14:val="tx1">
                      <w14:lumMod w14:val="95000"/>
                      <w14:lumOff w14:val="5000"/>
                    </w14:schemeClr>
                  </w14:solidFill>
                </w14:textFill>
              </w:rPr>
            </w:pPr>
            <w:r>
              <w:rPr>
                <w:rFonts w:hint="eastAsia" w:cs="Times New Roman"/>
                <w:bCs/>
                <w:color w:val="0D0D0D" w:themeColor="text1" w:themeTint="F2"/>
                <w:sz w:val="21"/>
                <w:szCs w:val="21"/>
                <w14:textFill>
                  <w14:solidFill>
                    <w14:schemeClr w14:val="tx1">
                      <w14:lumMod w14:val="95000"/>
                      <w14:lumOff w14:val="5000"/>
                    </w14:schemeClr>
                  </w14:solidFill>
                </w14:textFill>
              </w:rPr>
              <w:t>3625</w:t>
            </w:r>
          </w:p>
        </w:tc>
        <w:tc>
          <w:tcPr>
            <w:tcW w:w="503" w:type="pct"/>
            <w:vAlign w:val="center"/>
          </w:tcPr>
          <w:p w14:paraId="1047F7DD">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村屯</w:t>
            </w:r>
          </w:p>
        </w:tc>
        <w:tc>
          <w:tcPr>
            <w:tcW w:w="710" w:type="pct"/>
            <w:vAlign w:val="center"/>
          </w:tcPr>
          <w:p w14:paraId="33FC8C2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740</w:t>
            </w:r>
          </w:p>
        </w:tc>
      </w:tr>
      <w:tr w14:paraId="7E0E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pct"/>
            <w:vMerge w:val="continue"/>
            <w:vAlign w:val="center"/>
          </w:tcPr>
          <w:p w14:paraId="47126FD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407" w:type="pct"/>
            <w:vAlign w:val="center"/>
          </w:tcPr>
          <w:p w14:paraId="295A258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15</w:t>
            </w:r>
          </w:p>
        </w:tc>
        <w:tc>
          <w:tcPr>
            <w:tcW w:w="1481" w:type="pct"/>
            <w:gridSpan w:val="2"/>
            <w:vAlign w:val="center"/>
          </w:tcPr>
          <w:p w14:paraId="025DDD39">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鸡墩头社区</w:t>
            </w:r>
          </w:p>
        </w:tc>
        <w:tc>
          <w:tcPr>
            <w:tcW w:w="675" w:type="pct"/>
            <w:vAlign w:val="center"/>
          </w:tcPr>
          <w:p w14:paraId="65FC83E2">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东南</w:t>
            </w:r>
          </w:p>
        </w:tc>
        <w:tc>
          <w:tcPr>
            <w:tcW w:w="549" w:type="pct"/>
            <w:vAlign w:val="center"/>
          </w:tcPr>
          <w:p w14:paraId="235C6D71">
            <w:pPr>
              <w:spacing w:line="240" w:lineRule="auto"/>
              <w:jc w:val="center"/>
              <w:rPr>
                <w:rFonts w:cs="Times New Roman"/>
                <w:bCs/>
                <w:color w:val="0D0D0D" w:themeColor="text1" w:themeTint="F2"/>
                <w:sz w:val="21"/>
                <w:szCs w:val="21"/>
                <w14:textFill>
                  <w14:solidFill>
                    <w14:schemeClr w14:val="tx1">
                      <w14:lumMod w14:val="95000"/>
                      <w14:lumOff w14:val="5000"/>
                    </w14:schemeClr>
                  </w14:solidFill>
                </w14:textFill>
              </w:rPr>
            </w:pPr>
            <w:r>
              <w:rPr>
                <w:rFonts w:hint="eastAsia" w:cs="Times New Roman"/>
                <w:bCs/>
                <w:color w:val="0D0D0D" w:themeColor="text1" w:themeTint="F2"/>
                <w:sz w:val="21"/>
                <w:szCs w:val="21"/>
                <w14:textFill>
                  <w14:solidFill>
                    <w14:schemeClr w14:val="tx1">
                      <w14:lumMod w14:val="95000"/>
                      <w14:lumOff w14:val="5000"/>
                    </w14:schemeClr>
                  </w14:solidFill>
                </w14:textFill>
              </w:rPr>
              <w:t>4549</w:t>
            </w:r>
          </w:p>
        </w:tc>
        <w:tc>
          <w:tcPr>
            <w:tcW w:w="503" w:type="pct"/>
            <w:vAlign w:val="center"/>
          </w:tcPr>
          <w:p w14:paraId="2BDF4797">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村屯</w:t>
            </w:r>
          </w:p>
        </w:tc>
        <w:tc>
          <w:tcPr>
            <w:tcW w:w="710" w:type="pct"/>
            <w:vAlign w:val="center"/>
          </w:tcPr>
          <w:p w14:paraId="2FCA46E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2800</w:t>
            </w:r>
          </w:p>
        </w:tc>
      </w:tr>
      <w:tr w14:paraId="1B3BE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pct"/>
            <w:vMerge w:val="continue"/>
            <w:vAlign w:val="center"/>
          </w:tcPr>
          <w:p w14:paraId="14A0A79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407" w:type="pct"/>
            <w:vAlign w:val="center"/>
          </w:tcPr>
          <w:p w14:paraId="7249A8B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16</w:t>
            </w:r>
          </w:p>
        </w:tc>
        <w:tc>
          <w:tcPr>
            <w:tcW w:w="1481" w:type="pct"/>
            <w:gridSpan w:val="2"/>
            <w:vAlign w:val="center"/>
          </w:tcPr>
          <w:p w14:paraId="0EDA470E">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果子山村</w:t>
            </w:r>
          </w:p>
        </w:tc>
        <w:tc>
          <w:tcPr>
            <w:tcW w:w="675" w:type="pct"/>
            <w:vAlign w:val="center"/>
          </w:tcPr>
          <w:p w14:paraId="66E49E27">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西南</w:t>
            </w:r>
          </w:p>
        </w:tc>
        <w:tc>
          <w:tcPr>
            <w:tcW w:w="549" w:type="pct"/>
            <w:vAlign w:val="center"/>
          </w:tcPr>
          <w:p w14:paraId="6B94359A">
            <w:pPr>
              <w:spacing w:line="240" w:lineRule="auto"/>
              <w:jc w:val="center"/>
              <w:rPr>
                <w:rFonts w:cs="Times New Roman"/>
                <w:bCs/>
                <w:color w:val="0D0D0D" w:themeColor="text1" w:themeTint="F2"/>
                <w:sz w:val="21"/>
                <w:szCs w:val="21"/>
                <w14:textFill>
                  <w14:solidFill>
                    <w14:schemeClr w14:val="tx1">
                      <w14:lumMod w14:val="95000"/>
                      <w14:lumOff w14:val="5000"/>
                    </w14:schemeClr>
                  </w14:solidFill>
                </w14:textFill>
              </w:rPr>
            </w:pPr>
            <w:r>
              <w:rPr>
                <w:rFonts w:hint="eastAsia" w:cs="Times New Roman"/>
                <w:bCs/>
                <w:color w:val="0D0D0D" w:themeColor="text1" w:themeTint="F2"/>
                <w:sz w:val="21"/>
                <w:szCs w:val="21"/>
                <w14:textFill>
                  <w14:solidFill>
                    <w14:schemeClr w14:val="tx1">
                      <w14:lumMod w14:val="95000"/>
                      <w14:lumOff w14:val="5000"/>
                    </w14:schemeClr>
                  </w14:solidFill>
                </w14:textFill>
              </w:rPr>
              <w:t>3122</w:t>
            </w:r>
          </w:p>
        </w:tc>
        <w:tc>
          <w:tcPr>
            <w:tcW w:w="503" w:type="pct"/>
            <w:vAlign w:val="center"/>
          </w:tcPr>
          <w:p w14:paraId="2FD94351">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村屯</w:t>
            </w:r>
          </w:p>
        </w:tc>
        <w:tc>
          <w:tcPr>
            <w:tcW w:w="710" w:type="pct"/>
            <w:vAlign w:val="center"/>
          </w:tcPr>
          <w:p w14:paraId="3CF8435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170</w:t>
            </w:r>
          </w:p>
        </w:tc>
      </w:tr>
      <w:tr w14:paraId="5EA5F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pct"/>
            <w:vMerge w:val="continue"/>
            <w:vAlign w:val="center"/>
          </w:tcPr>
          <w:p w14:paraId="56AD4342">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407" w:type="pct"/>
            <w:vAlign w:val="center"/>
          </w:tcPr>
          <w:p w14:paraId="4FFA191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17</w:t>
            </w:r>
          </w:p>
        </w:tc>
        <w:tc>
          <w:tcPr>
            <w:tcW w:w="1481" w:type="pct"/>
            <w:gridSpan w:val="2"/>
            <w:vAlign w:val="center"/>
          </w:tcPr>
          <w:p w14:paraId="48A1403A">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中间墩村</w:t>
            </w:r>
          </w:p>
        </w:tc>
        <w:tc>
          <w:tcPr>
            <w:tcW w:w="675" w:type="pct"/>
            <w:vAlign w:val="center"/>
          </w:tcPr>
          <w:p w14:paraId="6D29C5BD">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西北</w:t>
            </w:r>
          </w:p>
        </w:tc>
        <w:tc>
          <w:tcPr>
            <w:tcW w:w="549" w:type="pct"/>
            <w:vAlign w:val="center"/>
          </w:tcPr>
          <w:p w14:paraId="7693C73D">
            <w:pPr>
              <w:spacing w:line="240" w:lineRule="auto"/>
              <w:jc w:val="center"/>
              <w:rPr>
                <w:rFonts w:cs="Times New Roman"/>
                <w:bCs/>
                <w:color w:val="0D0D0D" w:themeColor="text1" w:themeTint="F2"/>
                <w:sz w:val="21"/>
                <w:szCs w:val="21"/>
                <w14:textFill>
                  <w14:solidFill>
                    <w14:schemeClr w14:val="tx1">
                      <w14:lumMod w14:val="95000"/>
                      <w14:lumOff w14:val="5000"/>
                    </w14:schemeClr>
                  </w14:solidFill>
                </w14:textFill>
              </w:rPr>
            </w:pPr>
            <w:r>
              <w:rPr>
                <w:rFonts w:hint="eastAsia" w:cs="Times New Roman"/>
                <w:bCs/>
                <w:color w:val="0D0D0D" w:themeColor="text1" w:themeTint="F2"/>
                <w:sz w:val="21"/>
                <w:szCs w:val="21"/>
                <w14:textFill>
                  <w14:solidFill>
                    <w14:schemeClr w14:val="tx1">
                      <w14:lumMod w14:val="95000"/>
                      <w14:lumOff w14:val="5000"/>
                    </w14:schemeClr>
                  </w14:solidFill>
                </w14:textFill>
              </w:rPr>
              <w:t>3618</w:t>
            </w:r>
          </w:p>
        </w:tc>
        <w:tc>
          <w:tcPr>
            <w:tcW w:w="503" w:type="pct"/>
            <w:vAlign w:val="center"/>
          </w:tcPr>
          <w:p w14:paraId="1E4F587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村屯</w:t>
            </w:r>
          </w:p>
        </w:tc>
        <w:tc>
          <w:tcPr>
            <w:tcW w:w="710" w:type="pct"/>
            <w:vAlign w:val="center"/>
          </w:tcPr>
          <w:p w14:paraId="65007C1B">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860</w:t>
            </w:r>
          </w:p>
        </w:tc>
      </w:tr>
      <w:tr w14:paraId="10735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pct"/>
            <w:vMerge w:val="continue"/>
            <w:vAlign w:val="center"/>
          </w:tcPr>
          <w:p w14:paraId="4350329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407" w:type="pct"/>
            <w:vAlign w:val="center"/>
          </w:tcPr>
          <w:p w14:paraId="76B1E2F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18</w:t>
            </w:r>
          </w:p>
        </w:tc>
        <w:tc>
          <w:tcPr>
            <w:tcW w:w="1481" w:type="pct"/>
            <w:gridSpan w:val="2"/>
            <w:vAlign w:val="center"/>
          </w:tcPr>
          <w:p w14:paraId="215CC6DE">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南港村</w:t>
            </w:r>
          </w:p>
        </w:tc>
        <w:tc>
          <w:tcPr>
            <w:tcW w:w="675" w:type="pct"/>
            <w:vAlign w:val="center"/>
          </w:tcPr>
          <w:p w14:paraId="7F4601D8">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西北</w:t>
            </w:r>
          </w:p>
        </w:tc>
        <w:tc>
          <w:tcPr>
            <w:tcW w:w="549" w:type="pct"/>
            <w:vAlign w:val="center"/>
          </w:tcPr>
          <w:p w14:paraId="3BC1BB72">
            <w:pPr>
              <w:spacing w:line="240" w:lineRule="auto"/>
              <w:jc w:val="center"/>
              <w:rPr>
                <w:rFonts w:cs="Times New Roman"/>
                <w:bCs/>
                <w:color w:val="0D0D0D" w:themeColor="text1" w:themeTint="F2"/>
                <w:sz w:val="21"/>
                <w:szCs w:val="21"/>
                <w14:textFill>
                  <w14:solidFill>
                    <w14:schemeClr w14:val="tx1">
                      <w14:lumMod w14:val="95000"/>
                      <w14:lumOff w14:val="5000"/>
                    </w14:schemeClr>
                  </w14:solidFill>
                </w14:textFill>
              </w:rPr>
            </w:pPr>
            <w:r>
              <w:rPr>
                <w:rFonts w:hint="eastAsia" w:cs="Times New Roman"/>
                <w:bCs/>
                <w:color w:val="0D0D0D" w:themeColor="text1" w:themeTint="F2"/>
                <w:sz w:val="21"/>
                <w:szCs w:val="21"/>
                <w14:textFill>
                  <w14:solidFill>
                    <w14:schemeClr w14:val="tx1">
                      <w14:lumMod w14:val="95000"/>
                      <w14:lumOff w14:val="5000"/>
                    </w14:schemeClr>
                  </w14:solidFill>
                </w14:textFill>
              </w:rPr>
              <w:t>2982</w:t>
            </w:r>
          </w:p>
        </w:tc>
        <w:tc>
          <w:tcPr>
            <w:tcW w:w="503" w:type="pct"/>
            <w:vAlign w:val="center"/>
          </w:tcPr>
          <w:p w14:paraId="1240E78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村屯</w:t>
            </w:r>
          </w:p>
        </w:tc>
        <w:tc>
          <w:tcPr>
            <w:tcW w:w="710" w:type="pct"/>
            <w:vAlign w:val="center"/>
          </w:tcPr>
          <w:p w14:paraId="5EFFA53F">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480</w:t>
            </w:r>
          </w:p>
        </w:tc>
      </w:tr>
      <w:tr w14:paraId="1EC9E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pct"/>
            <w:vMerge w:val="continue"/>
            <w:vAlign w:val="center"/>
          </w:tcPr>
          <w:p w14:paraId="39CC3EE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407" w:type="pct"/>
            <w:vAlign w:val="center"/>
          </w:tcPr>
          <w:p w14:paraId="6B966C6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19</w:t>
            </w:r>
          </w:p>
        </w:tc>
        <w:tc>
          <w:tcPr>
            <w:tcW w:w="1481" w:type="pct"/>
            <w:gridSpan w:val="2"/>
            <w:vAlign w:val="center"/>
          </w:tcPr>
          <w:p w14:paraId="04CA6E23">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侬儿墩村</w:t>
            </w:r>
          </w:p>
        </w:tc>
        <w:tc>
          <w:tcPr>
            <w:tcW w:w="675" w:type="pct"/>
            <w:vAlign w:val="center"/>
          </w:tcPr>
          <w:p w14:paraId="64EFF4C7">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东北</w:t>
            </w:r>
          </w:p>
        </w:tc>
        <w:tc>
          <w:tcPr>
            <w:tcW w:w="549" w:type="pct"/>
            <w:vAlign w:val="center"/>
          </w:tcPr>
          <w:p w14:paraId="648E5BBE">
            <w:pPr>
              <w:spacing w:line="240" w:lineRule="auto"/>
              <w:jc w:val="center"/>
              <w:rPr>
                <w:rFonts w:cs="Times New Roman"/>
                <w:bCs/>
                <w:color w:val="0D0D0D" w:themeColor="text1" w:themeTint="F2"/>
                <w:sz w:val="21"/>
                <w:szCs w:val="21"/>
                <w14:textFill>
                  <w14:solidFill>
                    <w14:schemeClr w14:val="tx1">
                      <w14:lumMod w14:val="95000"/>
                      <w14:lumOff w14:val="5000"/>
                    </w14:schemeClr>
                  </w14:solidFill>
                </w14:textFill>
              </w:rPr>
            </w:pPr>
            <w:r>
              <w:rPr>
                <w:rFonts w:hint="eastAsia" w:cs="Times New Roman"/>
                <w:bCs/>
                <w:color w:val="0D0D0D" w:themeColor="text1" w:themeTint="F2"/>
                <w:sz w:val="21"/>
                <w:szCs w:val="21"/>
                <w14:textFill>
                  <w14:solidFill>
                    <w14:schemeClr w14:val="tx1">
                      <w14:lumMod w14:val="95000"/>
                      <w14:lumOff w14:val="5000"/>
                    </w14:schemeClr>
                  </w14:solidFill>
                </w14:textFill>
              </w:rPr>
              <w:t>4257</w:t>
            </w:r>
          </w:p>
        </w:tc>
        <w:tc>
          <w:tcPr>
            <w:tcW w:w="503" w:type="pct"/>
            <w:vAlign w:val="center"/>
          </w:tcPr>
          <w:p w14:paraId="446285F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村屯</w:t>
            </w:r>
          </w:p>
        </w:tc>
        <w:tc>
          <w:tcPr>
            <w:tcW w:w="710" w:type="pct"/>
            <w:vAlign w:val="center"/>
          </w:tcPr>
          <w:p w14:paraId="12BAAEA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250</w:t>
            </w:r>
          </w:p>
        </w:tc>
      </w:tr>
      <w:tr w14:paraId="618AE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pct"/>
            <w:vMerge w:val="continue"/>
            <w:vAlign w:val="center"/>
          </w:tcPr>
          <w:p w14:paraId="349BCD6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3615" w:type="pct"/>
            <w:gridSpan w:val="6"/>
            <w:vAlign w:val="center"/>
          </w:tcPr>
          <w:p w14:paraId="5498E4B8">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厂址周边500m范围内人口数小计</w:t>
            </w:r>
          </w:p>
        </w:tc>
        <w:tc>
          <w:tcPr>
            <w:tcW w:w="710" w:type="pct"/>
            <w:vAlign w:val="center"/>
          </w:tcPr>
          <w:p w14:paraId="088B42B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0</w:t>
            </w:r>
          </w:p>
        </w:tc>
      </w:tr>
      <w:tr w14:paraId="4BB58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pct"/>
            <w:vMerge w:val="continue"/>
            <w:vAlign w:val="center"/>
          </w:tcPr>
          <w:p w14:paraId="6AE31CA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3615" w:type="pct"/>
            <w:gridSpan w:val="6"/>
            <w:vAlign w:val="center"/>
          </w:tcPr>
          <w:p w14:paraId="7139AD6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厂址周边5km范围内人口数小计</w:t>
            </w:r>
          </w:p>
        </w:tc>
        <w:tc>
          <w:tcPr>
            <w:tcW w:w="710" w:type="pct"/>
            <w:vAlign w:val="center"/>
          </w:tcPr>
          <w:p w14:paraId="4CBEB86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13420</w:t>
            </w:r>
          </w:p>
        </w:tc>
      </w:tr>
      <w:tr w14:paraId="62211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pct"/>
            <w:vMerge w:val="continue"/>
            <w:vAlign w:val="center"/>
          </w:tcPr>
          <w:p w14:paraId="5BDA146E">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3615" w:type="pct"/>
            <w:gridSpan w:val="6"/>
            <w:vAlign w:val="center"/>
          </w:tcPr>
          <w:p w14:paraId="3DC308CD">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大气环境敏感程度E值</w:t>
            </w:r>
          </w:p>
        </w:tc>
        <w:tc>
          <w:tcPr>
            <w:tcW w:w="710" w:type="pct"/>
            <w:vAlign w:val="center"/>
          </w:tcPr>
          <w:p w14:paraId="7E35699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E2</w:t>
            </w:r>
          </w:p>
        </w:tc>
      </w:tr>
      <w:tr w14:paraId="2B364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pct"/>
            <w:vMerge w:val="restart"/>
            <w:vAlign w:val="center"/>
          </w:tcPr>
          <w:p w14:paraId="762E564D">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地表水</w:t>
            </w:r>
          </w:p>
        </w:tc>
        <w:tc>
          <w:tcPr>
            <w:tcW w:w="4325" w:type="pct"/>
            <w:gridSpan w:val="7"/>
            <w:vAlign w:val="center"/>
          </w:tcPr>
          <w:p w14:paraId="54B47D4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受纳水体</w:t>
            </w:r>
          </w:p>
        </w:tc>
      </w:tr>
      <w:tr w14:paraId="7AB15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pct"/>
            <w:vMerge w:val="continue"/>
            <w:vAlign w:val="center"/>
          </w:tcPr>
          <w:p w14:paraId="5B10E581">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944" w:type="pct"/>
            <w:gridSpan w:val="2"/>
            <w:vAlign w:val="center"/>
          </w:tcPr>
          <w:p w14:paraId="5E652A9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序号</w:t>
            </w:r>
          </w:p>
        </w:tc>
        <w:tc>
          <w:tcPr>
            <w:tcW w:w="944" w:type="pct"/>
            <w:vAlign w:val="center"/>
          </w:tcPr>
          <w:p w14:paraId="32416ACB">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受纳水体名称</w:t>
            </w:r>
          </w:p>
        </w:tc>
        <w:tc>
          <w:tcPr>
            <w:tcW w:w="675" w:type="pct"/>
            <w:vAlign w:val="center"/>
          </w:tcPr>
          <w:p w14:paraId="2DA58DF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排放点水域环境</w:t>
            </w:r>
            <w:r>
              <w:rPr>
                <w:rFonts w:hint="eastAsia" w:cs="Times New Roman"/>
                <w:color w:val="0D0D0D" w:themeColor="text1" w:themeTint="F2"/>
                <w:kern w:val="0"/>
                <w:sz w:val="21"/>
                <w:szCs w:val="21"/>
                <w:lang w:eastAsia="zh-CN"/>
                <w14:textFill>
                  <w14:solidFill>
                    <w14:schemeClr w14:val="tx1">
                      <w14:lumMod w14:val="95000"/>
                      <w14:lumOff w14:val="5000"/>
                    </w14:schemeClr>
                  </w14:solidFill>
                </w14:textFill>
              </w:rPr>
              <w:t>功能</w:t>
            </w:r>
          </w:p>
          <w:p w14:paraId="12AABAED">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能</w:t>
            </w:r>
          </w:p>
        </w:tc>
        <w:tc>
          <w:tcPr>
            <w:tcW w:w="549" w:type="pct"/>
            <w:vAlign w:val="center"/>
          </w:tcPr>
          <w:p w14:paraId="3AD1CD0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事故排放点下游10km范围内敏感目标</w:t>
            </w:r>
          </w:p>
        </w:tc>
        <w:tc>
          <w:tcPr>
            <w:tcW w:w="1213" w:type="pct"/>
            <w:gridSpan w:val="2"/>
            <w:vAlign w:val="center"/>
          </w:tcPr>
          <w:p w14:paraId="1DB31821">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24h流经范围</w:t>
            </w:r>
          </w:p>
        </w:tc>
      </w:tr>
      <w:tr w14:paraId="2492F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pct"/>
            <w:vMerge w:val="continue"/>
            <w:vAlign w:val="center"/>
          </w:tcPr>
          <w:p w14:paraId="399CAED8">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944" w:type="pct"/>
            <w:gridSpan w:val="2"/>
            <w:vAlign w:val="center"/>
          </w:tcPr>
          <w:p w14:paraId="4AEC74C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w:t>
            </w:r>
          </w:p>
        </w:tc>
        <w:tc>
          <w:tcPr>
            <w:tcW w:w="944" w:type="pct"/>
            <w:vAlign w:val="center"/>
          </w:tcPr>
          <w:p w14:paraId="6C47D33F">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w:t>
            </w:r>
          </w:p>
        </w:tc>
        <w:tc>
          <w:tcPr>
            <w:tcW w:w="675" w:type="pct"/>
            <w:vAlign w:val="center"/>
          </w:tcPr>
          <w:p w14:paraId="1A800E8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w:t>
            </w:r>
          </w:p>
        </w:tc>
        <w:tc>
          <w:tcPr>
            <w:tcW w:w="549" w:type="pct"/>
            <w:vAlign w:val="center"/>
          </w:tcPr>
          <w:p w14:paraId="3DB90CA8">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w:t>
            </w:r>
          </w:p>
        </w:tc>
        <w:tc>
          <w:tcPr>
            <w:tcW w:w="1213" w:type="pct"/>
            <w:gridSpan w:val="2"/>
            <w:vAlign w:val="center"/>
          </w:tcPr>
          <w:p w14:paraId="7F275FCB">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w:t>
            </w:r>
          </w:p>
        </w:tc>
      </w:tr>
      <w:tr w14:paraId="4F86D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pct"/>
            <w:vAlign w:val="center"/>
          </w:tcPr>
          <w:p w14:paraId="5D0511D7">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地下水</w:t>
            </w:r>
          </w:p>
        </w:tc>
        <w:tc>
          <w:tcPr>
            <w:tcW w:w="1888" w:type="pct"/>
            <w:gridSpan w:val="3"/>
            <w:vAlign w:val="center"/>
          </w:tcPr>
          <w:p w14:paraId="268A401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基岩构造裂隙潜水</w:t>
            </w:r>
          </w:p>
        </w:tc>
        <w:tc>
          <w:tcPr>
            <w:tcW w:w="2437" w:type="pct"/>
            <w:gridSpan w:val="4"/>
            <w:vAlign w:val="center"/>
          </w:tcPr>
          <w:p w14:paraId="20C8B9A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水井坑水文地质单元</w:t>
            </w:r>
          </w:p>
        </w:tc>
      </w:tr>
    </w:tbl>
    <w:p w14:paraId="7EA5D34E">
      <w:pPr>
        <w:pStyle w:val="9"/>
      </w:pPr>
      <w:bookmarkStart w:id="191" w:name="_Toc204062654"/>
      <w:r>
        <w:rPr>
          <w:rFonts w:hint="eastAsia"/>
        </w:rPr>
        <w:t>环境风险潜势初判</w:t>
      </w:r>
      <w:bookmarkEnd w:id="191"/>
    </w:p>
    <w:p w14:paraId="2AA39172">
      <w:pPr>
        <w:pStyle w:val="10"/>
      </w:pPr>
      <w:r>
        <w:rPr>
          <w:rFonts w:hint="eastAsia"/>
        </w:rPr>
        <w:t>危险物质及工艺系统危险性（P）分级</w:t>
      </w:r>
    </w:p>
    <w:p w14:paraId="2AA713B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1、危险物质数量与临界量比值（Q）</w:t>
      </w:r>
    </w:p>
    <w:p w14:paraId="0AEE242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计算所涉及的每种危险物质在厂界内的最大存在总量与其在《建设项目环境风险评价技术导则》（HJ169-2018）附录B中对应临界量的比值Q。在不同厂区的同一种物质，按其在厂界内的最大存在总量计算。</w:t>
      </w:r>
    </w:p>
    <w:p w14:paraId="0AC37DB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当只涉及一种危险物质时，计算该物质的总量与其临界量比值，即为Q；</w:t>
      </w:r>
    </w:p>
    <w:p w14:paraId="66ABE7C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当存在多种危险物质时，则按如下公式计算物质总量与其临界量比值（Q）：</w:t>
      </w:r>
    </w:p>
    <w:p w14:paraId="6BE7EC79">
      <w:pPr>
        <w:spacing w:line="24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1597660" cy="46418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4"/>
                    <a:stretch>
                      <a:fillRect/>
                    </a:stretch>
                  </pic:blipFill>
                  <pic:spPr>
                    <a:xfrm>
                      <a:off x="0" y="0"/>
                      <a:ext cx="1766215" cy="513555"/>
                    </a:xfrm>
                    <a:prstGeom prst="rect">
                      <a:avLst/>
                    </a:prstGeom>
                  </pic:spPr>
                </pic:pic>
              </a:graphicData>
            </a:graphic>
          </wp:inline>
        </w:drawing>
      </w:r>
    </w:p>
    <w:p w14:paraId="23CFC4B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式中：</w:t>
      </w:r>
    </w:p>
    <w:p w14:paraId="3B67D1B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q1，q2，...，qn——每种危险物质的最大存在总量，t；</w:t>
      </w:r>
    </w:p>
    <w:p w14:paraId="18E5721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Q1，Q2，...，Qn——每种危险物质的临界量，t。</w:t>
      </w:r>
    </w:p>
    <w:p w14:paraId="172B9DA0">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（1）甲醇</w:t>
      </w:r>
    </w:p>
    <w:p w14:paraId="35577616">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原辅料99.9%</w:t>
      </w:r>
      <w:bookmarkStart w:id="192" w:name="_Hlk192469323"/>
      <w:r>
        <w:rPr>
          <w:rFonts w:hint="eastAsia"/>
          <w:color w:val="0D0D0D" w:themeColor="text1" w:themeTint="F2"/>
          <w:u w:val="single"/>
          <w14:textFill>
            <w14:solidFill>
              <w14:schemeClr w14:val="tx1">
                <w14:lumMod w14:val="95000"/>
                <w14:lumOff w14:val="5000"/>
              </w14:schemeClr>
            </w14:solidFill>
          </w14:textFill>
        </w:rPr>
        <w:t>甲醇溶液</w:t>
      </w:r>
      <w:bookmarkEnd w:id="192"/>
      <w:r>
        <w:rPr>
          <w:rFonts w:hint="eastAsia"/>
          <w:color w:val="0D0D0D" w:themeColor="text1" w:themeTint="F2"/>
          <w:u w:val="single"/>
          <w14:textFill>
            <w14:solidFill>
              <w14:schemeClr w14:val="tx1">
                <w14:lumMod w14:val="95000"/>
                <w14:lumOff w14:val="5000"/>
              </w14:schemeClr>
            </w14:solidFill>
          </w14:textFill>
        </w:rPr>
        <w:t>中含有危险物质甲醇，甲醇溶液最大储存量为600m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，密度约为0.7918g/cm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，则质量为475.08t，其中甲醇为474.64t，储存于甲醇储罐。</w:t>
      </w:r>
    </w:p>
    <w:p w14:paraId="04E412E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（2）生物柴油</w:t>
      </w:r>
    </w:p>
    <w:p w14:paraId="775A02A1">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生物柴油（油类物质）属于危险物质，最大储存量为8400m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，密度约为</w:t>
      </w:r>
      <w:r>
        <w:rPr>
          <w:color w:val="0D0D0D" w:themeColor="text1" w:themeTint="F2"/>
          <w:u w:val="single"/>
          <w14:textFill>
            <w14:solidFill>
              <w14:schemeClr w14:val="tx1">
                <w14:lumMod w14:val="95000"/>
                <w14:lumOff w14:val="5000"/>
              </w14:schemeClr>
            </w14:solidFill>
          </w14:textFill>
        </w:rPr>
        <w:t>820~900kg/m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，本次评价按</w:t>
      </w:r>
      <w:r>
        <w:rPr>
          <w:color w:val="0D0D0D" w:themeColor="text1" w:themeTint="F2"/>
          <w:u w:val="single"/>
          <w14:textFill>
            <w14:solidFill>
              <w14:schemeClr w14:val="tx1">
                <w14:lumMod w14:val="95000"/>
                <w14:lumOff w14:val="5000"/>
              </w14:schemeClr>
            </w14:solidFill>
          </w14:textFill>
        </w:rPr>
        <w:t>900kg/m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计，则最大储存量为7560t，储存于生物柴油储罐。</w:t>
      </w:r>
    </w:p>
    <w:p w14:paraId="72DC24B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（3）工业级混合油</w:t>
      </w:r>
    </w:p>
    <w:p w14:paraId="05D2D74E">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工业级混合油（油类物质）属于危险物质，最大储存量为1000m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，本次评价密度按915</w:t>
      </w:r>
      <w:r>
        <w:rPr>
          <w:color w:val="0D0D0D" w:themeColor="text1" w:themeTint="F2"/>
          <w:u w:val="single"/>
          <w14:textFill>
            <w14:solidFill>
              <w14:schemeClr w14:val="tx1">
                <w14:lumMod w14:val="95000"/>
                <w14:lumOff w14:val="5000"/>
              </w14:schemeClr>
            </w14:solidFill>
          </w14:textFill>
        </w:rPr>
        <w:t>kg/m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计，则最大储存量为915t，储存于工业级混合油储罐。</w:t>
      </w:r>
    </w:p>
    <w:p w14:paraId="00B82D4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（4）废机油</w:t>
      </w:r>
    </w:p>
    <w:p w14:paraId="5323D61E">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废机油产生量为0.5t/a，暂存于危废暂存间。</w:t>
      </w:r>
    </w:p>
    <w:p w14:paraId="0F1DE3E5">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（5）柴油</w:t>
      </w:r>
    </w:p>
    <w:p w14:paraId="20DA3203">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柴油最大储存量为0.5t，储存量较小，暂存于配电间的柴油桶内。</w:t>
      </w:r>
    </w:p>
    <w:p w14:paraId="4E3991AA">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（6）导热油</w:t>
      </w:r>
    </w:p>
    <w:p w14:paraId="5238D944">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导热油最大储存量为10t，位于导热油炉中。</w:t>
      </w:r>
    </w:p>
    <w:p w14:paraId="43AA2A24">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（7）沼气</w:t>
      </w:r>
    </w:p>
    <w:p w14:paraId="3683AFF6">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项目沼气脱硫净化后引至1＃导热油炉燃烧，不设置储存。</w:t>
      </w:r>
    </w:p>
    <w:p w14:paraId="3CE5479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根据《建设项目环境风险评价技术导则》（HJ169-2018）附录B，确定危险物质临界量，危险物质Q值计算见表5.9-5。</w:t>
      </w:r>
    </w:p>
    <w:p w14:paraId="27D15B60">
      <w:pPr>
        <w:pStyle w:val="2"/>
        <w:ind w:firstLine="240"/>
      </w:pPr>
      <w:r>
        <w:br w:type="page"/>
      </w:r>
    </w:p>
    <w:p w14:paraId="7269AFB1">
      <w:pPr>
        <w:pStyle w:val="11"/>
      </w:pPr>
      <w:r>
        <w:rPr>
          <w:rFonts w:hint="eastAsia"/>
        </w:rPr>
        <w:t xml:space="preserve"> Q值确定表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1213"/>
        <w:gridCol w:w="1213"/>
        <w:gridCol w:w="1453"/>
        <w:gridCol w:w="1018"/>
        <w:gridCol w:w="1590"/>
        <w:gridCol w:w="1105"/>
        <w:gridCol w:w="922"/>
      </w:tblGrid>
      <w:tr w14:paraId="79C4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Align w:val="center"/>
          </w:tcPr>
          <w:p w14:paraId="26F59B17">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序号</w:t>
            </w:r>
          </w:p>
        </w:tc>
        <w:tc>
          <w:tcPr>
            <w:tcW w:w="656" w:type="pct"/>
            <w:vAlign w:val="center"/>
          </w:tcPr>
          <w:p w14:paraId="374B986C">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名称</w:t>
            </w:r>
          </w:p>
        </w:tc>
        <w:tc>
          <w:tcPr>
            <w:tcW w:w="656" w:type="pct"/>
            <w:vAlign w:val="center"/>
          </w:tcPr>
          <w:p w14:paraId="6A23439E">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风险源</w:t>
            </w:r>
          </w:p>
        </w:tc>
        <w:tc>
          <w:tcPr>
            <w:tcW w:w="786" w:type="pct"/>
            <w:vAlign w:val="center"/>
          </w:tcPr>
          <w:p w14:paraId="65E6032D">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危险单元</w:t>
            </w:r>
          </w:p>
        </w:tc>
        <w:tc>
          <w:tcPr>
            <w:tcW w:w="551" w:type="pct"/>
            <w:vAlign w:val="center"/>
          </w:tcPr>
          <w:p w14:paraId="4414BC13">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CAS号</w:t>
            </w:r>
          </w:p>
        </w:tc>
        <w:tc>
          <w:tcPr>
            <w:tcW w:w="860" w:type="pct"/>
            <w:vAlign w:val="center"/>
          </w:tcPr>
          <w:p w14:paraId="6A7FFFDD">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日常储存量/t</w:t>
            </w:r>
          </w:p>
        </w:tc>
        <w:tc>
          <w:tcPr>
            <w:tcW w:w="598" w:type="pct"/>
            <w:vAlign w:val="center"/>
          </w:tcPr>
          <w:p w14:paraId="4B87AEC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临界量/t</w:t>
            </w:r>
          </w:p>
        </w:tc>
        <w:tc>
          <w:tcPr>
            <w:tcW w:w="499" w:type="pct"/>
            <w:vAlign w:val="center"/>
          </w:tcPr>
          <w:p w14:paraId="2F480A6A">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Q值</w:t>
            </w:r>
          </w:p>
        </w:tc>
      </w:tr>
      <w:tr w14:paraId="391C7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Align w:val="center"/>
          </w:tcPr>
          <w:p w14:paraId="7C7E5859">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w:t>
            </w:r>
          </w:p>
        </w:tc>
        <w:tc>
          <w:tcPr>
            <w:tcW w:w="656" w:type="pct"/>
            <w:vAlign w:val="center"/>
          </w:tcPr>
          <w:p w14:paraId="16103EA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甲醇溶液</w:t>
            </w:r>
          </w:p>
        </w:tc>
        <w:tc>
          <w:tcPr>
            <w:tcW w:w="656" w:type="pct"/>
            <w:vAlign w:val="center"/>
          </w:tcPr>
          <w:p w14:paraId="08404AF0">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甲醇</w:t>
            </w:r>
          </w:p>
        </w:tc>
        <w:tc>
          <w:tcPr>
            <w:tcW w:w="786" w:type="pct"/>
            <w:vAlign w:val="center"/>
          </w:tcPr>
          <w:p w14:paraId="25878A7E">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甲醇罐区</w:t>
            </w:r>
          </w:p>
        </w:tc>
        <w:tc>
          <w:tcPr>
            <w:tcW w:w="551" w:type="pct"/>
            <w:vAlign w:val="center"/>
          </w:tcPr>
          <w:p w14:paraId="5BD8CB2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6</w:t>
            </w:r>
            <w:r>
              <w:rPr>
                <w:rFonts w:cs="Times New Roman"/>
                <w:color w:val="0D0D0D" w:themeColor="text1" w:themeTint="F2"/>
                <w:sz w:val="21"/>
                <w:szCs w:val="21"/>
                <w:u w:val="single"/>
                <w14:textFill>
                  <w14:solidFill>
                    <w14:schemeClr w14:val="tx1">
                      <w14:lumMod w14:val="95000"/>
                      <w14:lumOff w14:val="5000"/>
                    </w14:schemeClr>
                  </w14:solidFill>
                </w14:textFill>
              </w:rPr>
              <w:t>7-56-1</w:t>
            </w:r>
          </w:p>
        </w:tc>
        <w:tc>
          <w:tcPr>
            <w:tcW w:w="860" w:type="pct"/>
            <w:vAlign w:val="center"/>
          </w:tcPr>
          <w:p w14:paraId="26F7818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98" w:type="pct"/>
            <w:vAlign w:val="center"/>
          </w:tcPr>
          <w:p w14:paraId="0030B50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1</w:t>
            </w:r>
            <w:r>
              <w:rPr>
                <w:rFonts w:cs="Times New Roman"/>
                <w:color w:val="0D0D0D" w:themeColor="text1" w:themeTint="F2"/>
                <w:sz w:val="21"/>
                <w:szCs w:val="21"/>
                <w:u w:val="single"/>
                <w14:textFill>
                  <w14:solidFill>
                    <w14:schemeClr w14:val="tx1">
                      <w14:lumMod w14:val="95000"/>
                      <w14:lumOff w14:val="5000"/>
                    </w14:schemeClr>
                  </w14:solidFill>
                </w14:textFill>
              </w:rPr>
              <w:t>0</w:t>
            </w:r>
          </w:p>
        </w:tc>
        <w:tc>
          <w:tcPr>
            <w:tcW w:w="499" w:type="pct"/>
            <w:vAlign w:val="center"/>
          </w:tcPr>
          <w:p w14:paraId="679E25C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79B14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Merge w:val="restart"/>
            <w:vAlign w:val="center"/>
          </w:tcPr>
          <w:p w14:paraId="13522EC2">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2</w:t>
            </w:r>
          </w:p>
        </w:tc>
        <w:tc>
          <w:tcPr>
            <w:tcW w:w="656" w:type="pct"/>
            <w:vMerge w:val="restart"/>
            <w:vAlign w:val="center"/>
          </w:tcPr>
          <w:p w14:paraId="52D87DC0">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油类物质</w:t>
            </w:r>
          </w:p>
        </w:tc>
        <w:tc>
          <w:tcPr>
            <w:tcW w:w="656" w:type="pct"/>
            <w:vAlign w:val="center"/>
          </w:tcPr>
          <w:p w14:paraId="565D0E3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生物柴油</w:t>
            </w:r>
          </w:p>
        </w:tc>
        <w:tc>
          <w:tcPr>
            <w:tcW w:w="786" w:type="pct"/>
            <w:vAlign w:val="center"/>
          </w:tcPr>
          <w:p w14:paraId="4AF6F0D4">
            <w:pPr>
              <w:spacing w:line="240" w:lineRule="auto"/>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废弃油脂和生物柴油罐区</w:t>
            </w:r>
          </w:p>
        </w:tc>
        <w:tc>
          <w:tcPr>
            <w:tcW w:w="551" w:type="pct"/>
            <w:vAlign w:val="center"/>
          </w:tcPr>
          <w:p w14:paraId="7E81CC3B">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w:t>
            </w:r>
          </w:p>
        </w:tc>
        <w:tc>
          <w:tcPr>
            <w:tcW w:w="860" w:type="pct"/>
            <w:vAlign w:val="center"/>
          </w:tcPr>
          <w:p w14:paraId="5484DDC2">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598" w:type="pct"/>
            <w:vMerge w:val="restart"/>
            <w:vAlign w:val="center"/>
          </w:tcPr>
          <w:p w14:paraId="083C2BBA">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2500</w:t>
            </w:r>
          </w:p>
        </w:tc>
        <w:tc>
          <w:tcPr>
            <w:tcW w:w="499" w:type="pct"/>
            <w:vMerge w:val="restart"/>
            <w:vAlign w:val="center"/>
          </w:tcPr>
          <w:p w14:paraId="076646A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3FD3D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Merge w:val="continue"/>
            <w:vAlign w:val="center"/>
          </w:tcPr>
          <w:p w14:paraId="30F7C70B">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656" w:type="pct"/>
            <w:vMerge w:val="continue"/>
            <w:vAlign w:val="center"/>
          </w:tcPr>
          <w:p w14:paraId="2C9BBC0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656" w:type="pct"/>
            <w:vAlign w:val="center"/>
          </w:tcPr>
          <w:p w14:paraId="6D881F0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工业级混合油</w:t>
            </w:r>
          </w:p>
        </w:tc>
        <w:tc>
          <w:tcPr>
            <w:tcW w:w="786" w:type="pct"/>
            <w:vAlign w:val="center"/>
          </w:tcPr>
          <w:p w14:paraId="1A1AE68C">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中转罐区</w:t>
            </w:r>
          </w:p>
        </w:tc>
        <w:tc>
          <w:tcPr>
            <w:tcW w:w="551" w:type="pct"/>
            <w:vAlign w:val="center"/>
          </w:tcPr>
          <w:p w14:paraId="150B59B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c>
          <w:tcPr>
            <w:tcW w:w="860" w:type="pct"/>
            <w:vAlign w:val="center"/>
          </w:tcPr>
          <w:p w14:paraId="6F7D4E3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98" w:type="pct"/>
            <w:vMerge w:val="continue"/>
            <w:vAlign w:val="center"/>
          </w:tcPr>
          <w:p w14:paraId="352E8F8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99" w:type="pct"/>
            <w:vMerge w:val="continue"/>
            <w:vAlign w:val="center"/>
          </w:tcPr>
          <w:p w14:paraId="564568D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5CCEC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Merge w:val="continue"/>
            <w:vAlign w:val="center"/>
          </w:tcPr>
          <w:p w14:paraId="23F9FC8C">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656" w:type="pct"/>
            <w:vMerge w:val="continue"/>
            <w:vAlign w:val="center"/>
          </w:tcPr>
          <w:p w14:paraId="485A429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656" w:type="pct"/>
            <w:vAlign w:val="center"/>
          </w:tcPr>
          <w:p w14:paraId="49BA68A0">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废机油</w:t>
            </w:r>
          </w:p>
        </w:tc>
        <w:tc>
          <w:tcPr>
            <w:tcW w:w="786" w:type="pct"/>
            <w:vAlign w:val="center"/>
          </w:tcPr>
          <w:p w14:paraId="0F4C8D5B">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危废暂存间</w:t>
            </w:r>
          </w:p>
        </w:tc>
        <w:tc>
          <w:tcPr>
            <w:tcW w:w="551" w:type="pct"/>
            <w:vAlign w:val="center"/>
          </w:tcPr>
          <w:p w14:paraId="06D79DA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w:t>
            </w:r>
          </w:p>
        </w:tc>
        <w:tc>
          <w:tcPr>
            <w:tcW w:w="860" w:type="pct"/>
            <w:vAlign w:val="center"/>
          </w:tcPr>
          <w:p w14:paraId="18C6B42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98" w:type="pct"/>
            <w:vMerge w:val="continue"/>
            <w:vAlign w:val="center"/>
          </w:tcPr>
          <w:p w14:paraId="19F927E3">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99" w:type="pct"/>
            <w:vMerge w:val="continue"/>
            <w:vAlign w:val="center"/>
          </w:tcPr>
          <w:p w14:paraId="067BF76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4E57D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Merge w:val="continue"/>
            <w:vAlign w:val="center"/>
          </w:tcPr>
          <w:p w14:paraId="209C743B">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656" w:type="pct"/>
            <w:vMerge w:val="continue"/>
            <w:vAlign w:val="center"/>
          </w:tcPr>
          <w:p w14:paraId="2D23BD9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656" w:type="pct"/>
            <w:vAlign w:val="center"/>
          </w:tcPr>
          <w:p w14:paraId="4F2D58F8">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柴油</w:t>
            </w:r>
          </w:p>
        </w:tc>
        <w:tc>
          <w:tcPr>
            <w:tcW w:w="786" w:type="pct"/>
            <w:vAlign w:val="center"/>
          </w:tcPr>
          <w:p w14:paraId="19BAF963">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配电间</w:t>
            </w:r>
          </w:p>
        </w:tc>
        <w:tc>
          <w:tcPr>
            <w:tcW w:w="551" w:type="pct"/>
            <w:vAlign w:val="center"/>
          </w:tcPr>
          <w:p w14:paraId="34FE15E5">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w:t>
            </w:r>
          </w:p>
        </w:tc>
        <w:tc>
          <w:tcPr>
            <w:tcW w:w="860" w:type="pct"/>
            <w:vAlign w:val="center"/>
          </w:tcPr>
          <w:p w14:paraId="129ABE3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98" w:type="pct"/>
            <w:vMerge w:val="continue"/>
            <w:vAlign w:val="center"/>
          </w:tcPr>
          <w:p w14:paraId="5581386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99" w:type="pct"/>
            <w:vMerge w:val="continue"/>
            <w:vAlign w:val="center"/>
          </w:tcPr>
          <w:p w14:paraId="595C8B4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219FF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Merge w:val="continue"/>
            <w:vAlign w:val="center"/>
          </w:tcPr>
          <w:p w14:paraId="6ED2FF78">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656" w:type="pct"/>
            <w:vMerge w:val="continue"/>
            <w:vAlign w:val="center"/>
          </w:tcPr>
          <w:p w14:paraId="2F9F90A3">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656" w:type="pct"/>
            <w:vAlign w:val="center"/>
          </w:tcPr>
          <w:p w14:paraId="177C8260">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导热油</w:t>
            </w:r>
          </w:p>
        </w:tc>
        <w:tc>
          <w:tcPr>
            <w:tcW w:w="786" w:type="pct"/>
            <w:vAlign w:val="center"/>
          </w:tcPr>
          <w:p w14:paraId="1EA26974">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锅炉房</w:t>
            </w:r>
          </w:p>
        </w:tc>
        <w:tc>
          <w:tcPr>
            <w:tcW w:w="551" w:type="pct"/>
            <w:vAlign w:val="center"/>
          </w:tcPr>
          <w:p w14:paraId="57B4530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c>
          <w:tcPr>
            <w:tcW w:w="860" w:type="pct"/>
            <w:vAlign w:val="center"/>
          </w:tcPr>
          <w:p w14:paraId="3BE2A6E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598" w:type="pct"/>
            <w:vMerge w:val="continue"/>
            <w:vAlign w:val="center"/>
          </w:tcPr>
          <w:p w14:paraId="012A114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499" w:type="pct"/>
            <w:vMerge w:val="continue"/>
            <w:vAlign w:val="center"/>
          </w:tcPr>
          <w:p w14:paraId="45E5F2C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r>
      <w:tr w14:paraId="01DEF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Align w:val="center"/>
          </w:tcPr>
          <w:p w14:paraId="34D839B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3</w:t>
            </w:r>
          </w:p>
        </w:tc>
        <w:tc>
          <w:tcPr>
            <w:tcW w:w="656" w:type="pct"/>
            <w:vAlign w:val="center"/>
          </w:tcPr>
          <w:p w14:paraId="662AACC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沼气</w:t>
            </w:r>
          </w:p>
        </w:tc>
        <w:tc>
          <w:tcPr>
            <w:tcW w:w="656" w:type="pct"/>
            <w:vAlign w:val="center"/>
          </w:tcPr>
          <w:p w14:paraId="0E33D1F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甲烷</w:t>
            </w:r>
          </w:p>
        </w:tc>
        <w:tc>
          <w:tcPr>
            <w:tcW w:w="786" w:type="pct"/>
            <w:vAlign w:val="center"/>
          </w:tcPr>
          <w:p w14:paraId="750BECD7">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污水处理站</w:t>
            </w:r>
          </w:p>
        </w:tc>
        <w:tc>
          <w:tcPr>
            <w:tcW w:w="551" w:type="pct"/>
            <w:vAlign w:val="center"/>
          </w:tcPr>
          <w:p w14:paraId="6589DFB3">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74-82-8</w:t>
            </w:r>
          </w:p>
        </w:tc>
        <w:tc>
          <w:tcPr>
            <w:tcW w:w="860" w:type="pct"/>
            <w:vAlign w:val="center"/>
          </w:tcPr>
          <w:p w14:paraId="7557CFE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c>
          <w:tcPr>
            <w:tcW w:w="598" w:type="pct"/>
            <w:vAlign w:val="center"/>
          </w:tcPr>
          <w:p w14:paraId="44D0F1F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10</w:t>
            </w:r>
          </w:p>
        </w:tc>
        <w:tc>
          <w:tcPr>
            <w:tcW w:w="499" w:type="pct"/>
            <w:vAlign w:val="center"/>
          </w:tcPr>
          <w:p w14:paraId="1EDF918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r>
      <w:tr w14:paraId="61C9C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1" w:type="pct"/>
            <w:gridSpan w:val="7"/>
            <w:vAlign w:val="center"/>
          </w:tcPr>
          <w:p w14:paraId="16DFB0FB">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总计</w:t>
            </w:r>
          </w:p>
        </w:tc>
        <w:tc>
          <w:tcPr>
            <w:tcW w:w="499" w:type="pct"/>
            <w:vAlign w:val="center"/>
          </w:tcPr>
          <w:p w14:paraId="1E955425">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50.8584</w:t>
            </w:r>
          </w:p>
        </w:tc>
      </w:tr>
    </w:tbl>
    <w:p w14:paraId="0030A05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由上表可知，本项目危险物质Q=50.8584，属于10≤Q＜100。</w:t>
      </w:r>
    </w:p>
    <w:p w14:paraId="64837C7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2、行业及生产工艺（M）</w:t>
      </w:r>
    </w:p>
    <w:p w14:paraId="7836ECF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分析项目所属行业及生产工艺特点，按照《建设项目环境风险评价技术导则》（HJ169-2018）附录C表C.1评估生产工艺情况。具有多套工艺单元的项目，对每套生产工艺分别评分并求和。将M划分为（1）M＞20；（2）10＜M≤20；（3）5＜M≤10；（4）M=5，分别以M1、M2、M3和M4表示。</w:t>
      </w:r>
    </w:p>
    <w:p w14:paraId="1F79D14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属于“二十二、石油、煤炭及其他燃料加工业25—43、生物质燃料加工254—生物质液体燃料生产”以及“三十九、废弃资源综合利用业42—85、非金属废料和碎屑加工处理422（不含废料为危险废物的，不含仅分拣、破碎的）—废电池、废油加工处理”。根据《建设项目环境风险评价技术导则》（HJ169-2018）中附录C（表4.3-2），项目属于“石化、化工、医药、轻工、化纤、有色金属冶炼等”中的第三项“危险物质贮存罐区”。</w:t>
      </w:r>
    </w:p>
    <w:p w14:paraId="40698999">
      <w:pPr>
        <w:pStyle w:val="2"/>
        <w:ind w:firstLine="240"/>
      </w:pPr>
      <w:r>
        <w:br w:type="page"/>
      </w:r>
    </w:p>
    <w:p w14:paraId="61A0C875">
      <w:pPr>
        <w:pStyle w:val="11"/>
      </w:pPr>
      <w:r>
        <w:rPr>
          <w:rFonts w:hint="eastAsia"/>
        </w:rPr>
        <w:t xml:space="preserve"> 企业生产工艺评估表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9"/>
        <w:gridCol w:w="6102"/>
        <w:gridCol w:w="1111"/>
      </w:tblGrid>
      <w:tr w14:paraId="0E594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8" w:type="pct"/>
            <w:vAlign w:val="center"/>
          </w:tcPr>
          <w:p w14:paraId="20D9673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行业</w:t>
            </w:r>
          </w:p>
        </w:tc>
        <w:tc>
          <w:tcPr>
            <w:tcW w:w="3301" w:type="pct"/>
            <w:vAlign w:val="center"/>
          </w:tcPr>
          <w:p w14:paraId="4F5A34B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评估依据</w:t>
            </w:r>
          </w:p>
        </w:tc>
        <w:tc>
          <w:tcPr>
            <w:tcW w:w="601" w:type="pct"/>
            <w:vAlign w:val="center"/>
          </w:tcPr>
          <w:p w14:paraId="52A490F1">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分值</w:t>
            </w:r>
          </w:p>
        </w:tc>
      </w:tr>
      <w:tr w14:paraId="57635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8" w:type="pct"/>
            <w:vMerge w:val="restart"/>
            <w:vAlign w:val="center"/>
          </w:tcPr>
          <w:p w14:paraId="11E69B13">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石化、化工、医药、轻工、化纤、有色冶炼等</w:t>
            </w:r>
          </w:p>
        </w:tc>
        <w:tc>
          <w:tcPr>
            <w:tcW w:w="3301" w:type="pct"/>
            <w:vAlign w:val="center"/>
          </w:tcPr>
          <w:p w14:paraId="56D7D023">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601" w:type="pct"/>
            <w:vAlign w:val="center"/>
          </w:tcPr>
          <w:p w14:paraId="3058BD4F">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1</w:t>
            </w:r>
            <w:r>
              <w:rPr>
                <w:rFonts w:cs="Times New Roman"/>
                <w:color w:val="0D0D0D" w:themeColor="text1" w:themeTint="F2"/>
                <w:kern w:val="0"/>
                <w:sz w:val="21"/>
                <w:szCs w:val="21"/>
                <w14:textFill>
                  <w14:solidFill>
                    <w14:schemeClr w14:val="tx1">
                      <w14:lumMod w14:val="95000"/>
                      <w14:lumOff w14:val="5000"/>
                    </w14:schemeClr>
                  </w14:solidFill>
                </w14:textFill>
              </w:rPr>
              <w:t>0/</w:t>
            </w:r>
            <w:r>
              <w:rPr>
                <w:rFonts w:hint="eastAsia" w:cs="Times New Roman"/>
                <w:color w:val="0D0D0D" w:themeColor="text1" w:themeTint="F2"/>
                <w:kern w:val="0"/>
                <w:sz w:val="21"/>
                <w:szCs w:val="21"/>
                <w14:textFill>
                  <w14:solidFill>
                    <w14:schemeClr w14:val="tx1">
                      <w14:lumMod w14:val="95000"/>
                      <w14:lumOff w14:val="5000"/>
                    </w14:schemeClr>
                  </w14:solidFill>
                </w14:textFill>
              </w:rPr>
              <w:t>套</w:t>
            </w:r>
          </w:p>
        </w:tc>
      </w:tr>
      <w:tr w14:paraId="3062A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8" w:type="pct"/>
            <w:vMerge w:val="continue"/>
            <w:vAlign w:val="center"/>
          </w:tcPr>
          <w:p w14:paraId="1A044E15">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3301" w:type="pct"/>
            <w:vAlign w:val="center"/>
          </w:tcPr>
          <w:p w14:paraId="32343E8B">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无机酸制酸工艺、焦化工艺</w:t>
            </w:r>
          </w:p>
        </w:tc>
        <w:tc>
          <w:tcPr>
            <w:tcW w:w="601" w:type="pct"/>
            <w:vAlign w:val="center"/>
          </w:tcPr>
          <w:p w14:paraId="195015D8">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5</w:t>
            </w:r>
            <w:r>
              <w:rPr>
                <w:rFonts w:cs="Times New Roman"/>
                <w:color w:val="0D0D0D" w:themeColor="text1" w:themeTint="F2"/>
                <w:kern w:val="0"/>
                <w:sz w:val="21"/>
                <w:szCs w:val="21"/>
                <w14:textFill>
                  <w14:solidFill>
                    <w14:schemeClr w14:val="tx1">
                      <w14:lumMod w14:val="95000"/>
                      <w14:lumOff w14:val="5000"/>
                    </w14:schemeClr>
                  </w14:solidFill>
                </w14:textFill>
              </w:rPr>
              <w:t>/</w:t>
            </w:r>
            <w:r>
              <w:rPr>
                <w:rFonts w:hint="eastAsia" w:cs="Times New Roman"/>
                <w:color w:val="0D0D0D" w:themeColor="text1" w:themeTint="F2"/>
                <w:kern w:val="0"/>
                <w:sz w:val="21"/>
                <w:szCs w:val="21"/>
                <w14:textFill>
                  <w14:solidFill>
                    <w14:schemeClr w14:val="tx1">
                      <w14:lumMod w14:val="95000"/>
                      <w14:lumOff w14:val="5000"/>
                    </w14:schemeClr>
                  </w14:solidFill>
                </w14:textFill>
              </w:rPr>
              <w:t>套</w:t>
            </w:r>
          </w:p>
        </w:tc>
      </w:tr>
      <w:tr w14:paraId="00EB3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8" w:type="pct"/>
            <w:vMerge w:val="continue"/>
            <w:vAlign w:val="center"/>
          </w:tcPr>
          <w:p w14:paraId="54A8C8E5">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3301" w:type="pct"/>
            <w:vAlign w:val="center"/>
          </w:tcPr>
          <w:p w14:paraId="6A2FEEC0">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其他高温或高压、且危险物质的工艺过程</w:t>
            </w:r>
            <w:r>
              <w:rPr>
                <w:rFonts w:cs="Times New Roman"/>
                <w:color w:val="0D0D0D" w:themeColor="text1" w:themeTint="F2"/>
                <w:kern w:val="0"/>
                <w:sz w:val="21"/>
                <w:szCs w:val="21"/>
                <w:vertAlign w:val="superscript"/>
                <w14:textFill>
                  <w14:solidFill>
                    <w14:schemeClr w14:val="tx1">
                      <w14:lumMod w14:val="95000"/>
                      <w14:lumOff w14:val="5000"/>
                    </w14:schemeClr>
                  </w14:solidFill>
                </w14:textFill>
              </w:rPr>
              <w:t>a</w:t>
            </w:r>
            <w:r>
              <w:rPr>
                <w:rFonts w:cs="Times New Roman"/>
                <w:color w:val="0D0D0D" w:themeColor="text1" w:themeTint="F2"/>
                <w:kern w:val="0"/>
                <w:sz w:val="21"/>
                <w:szCs w:val="21"/>
                <w14:textFill>
                  <w14:solidFill>
                    <w14:schemeClr w14:val="tx1">
                      <w14:lumMod w14:val="95000"/>
                      <w14:lumOff w14:val="5000"/>
                    </w14:schemeClr>
                  </w14:solidFill>
                </w14:textFill>
              </w:rPr>
              <w:t>、危险物质贮存罐区</w:t>
            </w:r>
          </w:p>
        </w:tc>
        <w:tc>
          <w:tcPr>
            <w:tcW w:w="601" w:type="pct"/>
            <w:vAlign w:val="center"/>
          </w:tcPr>
          <w:p w14:paraId="690C0B6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5</w:t>
            </w:r>
            <w:r>
              <w:rPr>
                <w:rFonts w:cs="Times New Roman"/>
                <w:color w:val="0D0D0D" w:themeColor="text1" w:themeTint="F2"/>
                <w:kern w:val="0"/>
                <w:sz w:val="21"/>
                <w:szCs w:val="21"/>
                <w14:textFill>
                  <w14:solidFill>
                    <w14:schemeClr w14:val="tx1">
                      <w14:lumMod w14:val="95000"/>
                      <w14:lumOff w14:val="5000"/>
                    </w14:schemeClr>
                  </w14:solidFill>
                </w14:textFill>
              </w:rPr>
              <w:t>/</w:t>
            </w:r>
            <w:r>
              <w:rPr>
                <w:rFonts w:hint="eastAsia" w:cs="Times New Roman"/>
                <w:color w:val="0D0D0D" w:themeColor="text1" w:themeTint="F2"/>
                <w:kern w:val="0"/>
                <w:sz w:val="21"/>
                <w:szCs w:val="21"/>
                <w14:textFill>
                  <w14:solidFill>
                    <w14:schemeClr w14:val="tx1">
                      <w14:lumMod w14:val="95000"/>
                      <w14:lumOff w14:val="5000"/>
                    </w14:schemeClr>
                  </w14:solidFill>
                </w14:textFill>
              </w:rPr>
              <w:t>套</w:t>
            </w:r>
          </w:p>
          <w:p w14:paraId="4BE73BB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（罐区）</w:t>
            </w:r>
          </w:p>
        </w:tc>
      </w:tr>
      <w:tr w14:paraId="4ED2A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8" w:type="pct"/>
            <w:vAlign w:val="center"/>
          </w:tcPr>
          <w:p w14:paraId="59DE85C7">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管道、港口/码头等</w:t>
            </w:r>
          </w:p>
        </w:tc>
        <w:tc>
          <w:tcPr>
            <w:tcW w:w="3301" w:type="pct"/>
            <w:vAlign w:val="center"/>
          </w:tcPr>
          <w:p w14:paraId="48BF16C2">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涉及危险物质管道运输项目、港口</w:t>
            </w:r>
            <w:r>
              <w:rPr>
                <w:rFonts w:cs="Times New Roman"/>
                <w:color w:val="0D0D0D" w:themeColor="text1" w:themeTint="F2"/>
                <w:kern w:val="0"/>
                <w:sz w:val="21"/>
                <w:szCs w:val="21"/>
                <w14:textFill>
                  <w14:solidFill>
                    <w14:schemeClr w14:val="tx1">
                      <w14:lumMod w14:val="95000"/>
                      <w14:lumOff w14:val="5000"/>
                    </w14:schemeClr>
                  </w14:solidFill>
                </w14:textFill>
              </w:rPr>
              <w:t>/码头等</w:t>
            </w:r>
          </w:p>
        </w:tc>
        <w:tc>
          <w:tcPr>
            <w:tcW w:w="601" w:type="pct"/>
            <w:vAlign w:val="center"/>
          </w:tcPr>
          <w:p w14:paraId="65D8F242">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1</w:t>
            </w:r>
            <w:r>
              <w:rPr>
                <w:rFonts w:cs="Times New Roman"/>
                <w:color w:val="0D0D0D" w:themeColor="text1" w:themeTint="F2"/>
                <w:kern w:val="0"/>
                <w:sz w:val="21"/>
                <w:szCs w:val="21"/>
                <w14:textFill>
                  <w14:solidFill>
                    <w14:schemeClr w14:val="tx1">
                      <w14:lumMod w14:val="95000"/>
                      <w14:lumOff w14:val="5000"/>
                    </w14:schemeClr>
                  </w14:solidFill>
                </w14:textFill>
              </w:rPr>
              <w:t>0</w:t>
            </w:r>
          </w:p>
        </w:tc>
      </w:tr>
      <w:tr w14:paraId="41A62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8" w:type="pct"/>
            <w:vAlign w:val="center"/>
          </w:tcPr>
          <w:p w14:paraId="02B92BE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石油天然气行业</w:t>
            </w:r>
          </w:p>
        </w:tc>
        <w:tc>
          <w:tcPr>
            <w:tcW w:w="3301" w:type="pct"/>
            <w:vAlign w:val="center"/>
          </w:tcPr>
          <w:p w14:paraId="14D54CAE">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石油、天然气、页岩气开采（含净化），气库（不含加气站的气库）油库（不含加气站的油库）、油气管线</w:t>
            </w:r>
            <w:r>
              <w:rPr>
                <w:rFonts w:cs="Times New Roman"/>
                <w:color w:val="0D0D0D" w:themeColor="text1" w:themeTint="F2"/>
                <w:kern w:val="0"/>
                <w:sz w:val="21"/>
                <w:szCs w:val="21"/>
                <w:vertAlign w:val="superscript"/>
                <w14:textFill>
                  <w14:solidFill>
                    <w14:schemeClr w14:val="tx1">
                      <w14:lumMod w14:val="95000"/>
                      <w14:lumOff w14:val="5000"/>
                    </w14:schemeClr>
                  </w14:solidFill>
                </w14:textFill>
              </w:rPr>
              <w:t>b</w:t>
            </w:r>
            <w:r>
              <w:rPr>
                <w:rFonts w:cs="Times New Roman"/>
                <w:color w:val="0D0D0D" w:themeColor="text1" w:themeTint="F2"/>
                <w:kern w:val="0"/>
                <w:sz w:val="21"/>
                <w:szCs w:val="21"/>
                <w14:textFill>
                  <w14:solidFill>
                    <w14:schemeClr w14:val="tx1">
                      <w14:lumMod w14:val="95000"/>
                      <w14:lumOff w14:val="5000"/>
                    </w14:schemeClr>
                  </w14:solidFill>
                </w14:textFill>
              </w:rPr>
              <w:t>（不含城镇燃气管线）</w:t>
            </w:r>
          </w:p>
        </w:tc>
        <w:tc>
          <w:tcPr>
            <w:tcW w:w="601" w:type="pct"/>
            <w:vAlign w:val="center"/>
          </w:tcPr>
          <w:p w14:paraId="55EB5EF1">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1</w:t>
            </w:r>
            <w:r>
              <w:rPr>
                <w:rFonts w:cs="Times New Roman"/>
                <w:color w:val="0D0D0D" w:themeColor="text1" w:themeTint="F2"/>
                <w:kern w:val="0"/>
                <w:sz w:val="21"/>
                <w:szCs w:val="21"/>
                <w14:textFill>
                  <w14:solidFill>
                    <w14:schemeClr w14:val="tx1">
                      <w14:lumMod w14:val="95000"/>
                      <w14:lumOff w14:val="5000"/>
                    </w14:schemeClr>
                  </w14:solidFill>
                </w14:textFill>
              </w:rPr>
              <w:t>0</w:t>
            </w:r>
          </w:p>
        </w:tc>
      </w:tr>
      <w:tr w14:paraId="5748C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8" w:type="pct"/>
            <w:vAlign w:val="center"/>
          </w:tcPr>
          <w:p w14:paraId="1E82C2D4">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其他</w:t>
            </w:r>
          </w:p>
        </w:tc>
        <w:tc>
          <w:tcPr>
            <w:tcW w:w="3301" w:type="pct"/>
            <w:vAlign w:val="center"/>
          </w:tcPr>
          <w:p w14:paraId="1978FB5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涉及危险物质使用、贮存的项目</w:t>
            </w:r>
          </w:p>
        </w:tc>
        <w:tc>
          <w:tcPr>
            <w:tcW w:w="601" w:type="pct"/>
            <w:vAlign w:val="center"/>
          </w:tcPr>
          <w:p w14:paraId="514ECE2F">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5</w:t>
            </w:r>
          </w:p>
        </w:tc>
      </w:tr>
      <w:tr w14:paraId="732FD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3"/>
            <w:vAlign w:val="center"/>
          </w:tcPr>
          <w:p w14:paraId="1E035FFD">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a.高温指工艺温度≥300℃，高压指压力容器的设计压力（P）≥10MPa；</w:t>
            </w:r>
          </w:p>
          <w:p w14:paraId="02863F1C">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b</w:t>
            </w:r>
            <w:r>
              <w:rPr>
                <w:rFonts w:cs="Times New Roman"/>
                <w:color w:val="0D0D0D" w:themeColor="text1" w:themeTint="F2"/>
                <w:kern w:val="0"/>
                <w:sz w:val="21"/>
                <w:szCs w:val="21"/>
                <w14:textFill>
                  <w14:solidFill>
                    <w14:schemeClr w14:val="tx1">
                      <w14:lumMod w14:val="95000"/>
                      <w14:lumOff w14:val="5000"/>
                    </w14:schemeClr>
                  </w14:solidFill>
                </w14:textFill>
              </w:rPr>
              <w:t>.</w:t>
            </w:r>
            <w:r>
              <w:rPr>
                <w:rFonts w:hint="eastAsia" w:cs="Times New Roman"/>
                <w:color w:val="0D0D0D" w:themeColor="text1" w:themeTint="F2"/>
                <w:kern w:val="0"/>
                <w:sz w:val="21"/>
                <w:szCs w:val="21"/>
                <w14:textFill>
                  <w14:solidFill>
                    <w14:schemeClr w14:val="tx1">
                      <w14:lumMod w14:val="95000"/>
                      <w14:lumOff w14:val="5000"/>
                    </w14:schemeClr>
                  </w14:solidFill>
                </w14:textFill>
              </w:rPr>
              <w:t>长输管道运输项目应按站场、管线分段进行评价。</w:t>
            </w:r>
          </w:p>
        </w:tc>
      </w:tr>
    </w:tbl>
    <w:p w14:paraId="26AB104B">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项目M值详见表5.9-6。</w:t>
      </w:r>
    </w:p>
    <w:p w14:paraId="0B9CC66B">
      <w:pPr>
        <w:pStyle w:val="11"/>
      </w:pPr>
      <w:r>
        <w:rPr>
          <w:rFonts w:hint="eastAsia"/>
        </w:rPr>
        <w:t xml:space="preserve"> 项目M值确定表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3414"/>
        <w:gridCol w:w="2562"/>
        <w:gridCol w:w="1224"/>
        <w:gridCol w:w="1183"/>
      </w:tblGrid>
      <w:tr w14:paraId="40FE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vAlign w:val="center"/>
          </w:tcPr>
          <w:p w14:paraId="1874C10E">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序号</w:t>
            </w:r>
          </w:p>
        </w:tc>
        <w:tc>
          <w:tcPr>
            <w:tcW w:w="1847" w:type="pct"/>
            <w:vAlign w:val="center"/>
          </w:tcPr>
          <w:p w14:paraId="521EE2D1">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工艺单元名称</w:t>
            </w:r>
          </w:p>
        </w:tc>
        <w:tc>
          <w:tcPr>
            <w:tcW w:w="1386" w:type="pct"/>
            <w:vAlign w:val="center"/>
          </w:tcPr>
          <w:p w14:paraId="05F056A1">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生产工艺</w:t>
            </w:r>
          </w:p>
        </w:tc>
        <w:tc>
          <w:tcPr>
            <w:tcW w:w="662" w:type="pct"/>
            <w:vAlign w:val="center"/>
          </w:tcPr>
          <w:p w14:paraId="703804C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数量/套</w:t>
            </w:r>
          </w:p>
        </w:tc>
        <w:tc>
          <w:tcPr>
            <w:tcW w:w="640" w:type="pct"/>
            <w:vAlign w:val="center"/>
          </w:tcPr>
          <w:p w14:paraId="301C192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M分值</w:t>
            </w:r>
          </w:p>
        </w:tc>
      </w:tr>
      <w:tr w14:paraId="2033B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vAlign w:val="center"/>
          </w:tcPr>
          <w:p w14:paraId="7372297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1</w:t>
            </w:r>
          </w:p>
        </w:tc>
        <w:tc>
          <w:tcPr>
            <w:tcW w:w="1847" w:type="pct"/>
            <w:vAlign w:val="center"/>
          </w:tcPr>
          <w:p w14:paraId="7DAE1D2F">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废弃油脂和生物柴油罐区</w:t>
            </w:r>
          </w:p>
        </w:tc>
        <w:tc>
          <w:tcPr>
            <w:tcW w:w="1386" w:type="pct"/>
            <w:vAlign w:val="center"/>
          </w:tcPr>
          <w:p w14:paraId="1BA29B9F">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危险物质贮存罐区</w:t>
            </w:r>
          </w:p>
        </w:tc>
        <w:tc>
          <w:tcPr>
            <w:tcW w:w="662" w:type="pct"/>
            <w:vAlign w:val="center"/>
          </w:tcPr>
          <w:p w14:paraId="4838ECDE">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1</w:t>
            </w:r>
          </w:p>
        </w:tc>
        <w:tc>
          <w:tcPr>
            <w:tcW w:w="640" w:type="pct"/>
            <w:vAlign w:val="center"/>
          </w:tcPr>
          <w:p w14:paraId="4AE3CCC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5</w:t>
            </w:r>
          </w:p>
        </w:tc>
      </w:tr>
      <w:tr w14:paraId="6DA55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vAlign w:val="center"/>
          </w:tcPr>
          <w:p w14:paraId="7AF6B00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2</w:t>
            </w:r>
          </w:p>
        </w:tc>
        <w:tc>
          <w:tcPr>
            <w:tcW w:w="1847" w:type="pct"/>
            <w:vAlign w:val="center"/>
          </w:tcPr>
          <w:p w14:paraId="64CBD2EF">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中转罐区</w:t>
            </w:r>
          </w:p>
        </w:tc>
        <w:tc>
          <w:tcPr>
            <w:tcW w:w="1386" w:type="pct"/>
            <w:vAlign w:val="center"/>
          </w:tcPr>
          <w:p w14:paraId="7A68054B">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危险物质贮存罐区</w:t>
            </w:r>
          </w:p>
        </w:tc>
        <w:tc>
          <w:tcPr>
            <w:tcW w:w="662" w:type="pct"/>
            <w:vAlign w:val="center"/>
          </w:tcPr>
          <w:p w14:paraId="03A012B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1</w:t>
            </w:r>
          </w:p>
        </w:tc>
        <w:tc>
          <w:tcPr>
            <w:tcW w:w="640" w:type="pct"/>
            <w:vAlign w:val="center"/>
          </w:tcPr>
          <w:p w14:paraId="2EFAFC14">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5</w:t>
            </w:r>
          </w:p>
        </w:tc>
      </w:tr>
      <w:tr w14:paraId="2B7C3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vAlign w:val="center"/>
          </w:tcPr>
          <w:p w14:paraId="7C5E3767">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3</w:t>
            </w:r>
          </w:p>
        </w:tc>
        <w:tc>
          <w:tcPr>
            <w:tcW w:w="1847" w:type="pct"/>
            <w:vAlign w:val="center"/>
          </w:tcPr>
          <w:p w14:paraId="458053B1">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甲醇罐区</w:t>
            </w:r>
          </w:p>
        </w:tc>
        <w:tc>
          <w:tcPr>
            <w:tcW w:w="1386" w:type="pct"/>
            <w:vAlign w:val="center"/>
          </w:tcPr>
          <w:p w14:paraId="67178F1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危险物质贮存罐区</w:t>
            </w:r>
          </w:p>
        </w:tc>
        <w:tc>
          <w:tcPr>
            <w:tcW w:w="662" w:type="pct"/>
            <w:vAlign w:val="center"/>
          </w:tcPr>
          <w:p w14:paraId="0DD8F40B">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1</w:t>
            </w:r>
          </w:p>
        </w:tc>
        <w:tc>
          <w:tcPr>
            <w:tcW w:w="640" w:type="pct"/>
            <w:vAlign w:val="center"/>
          </w:tcPr>
          <w:p w14:paraId="5717148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5</w:t>
            </w:r>
          </w:p>
        </w:tc>
      </w:tr>
      <w:tr w14:paraId="4C25C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60" w:type="pct"/>
            <w:gridSpan w:val="4"/>
            <w:vAlign w:val="center"/>
          </w:tcPr>
          <w:p w14:paraId="2BE5556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项目M值合计</w:t>
            </w:r>
          </w:p>
        </w:tc>
        <w:tc>
          <w:tcPr>
            <w:tcW w:w="640" w:type="pct"/>
            <w:vAlign w:val="center"/>
          </w:tcPr>
          <w:p w14:paraId="1809D464">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15</w:t>
            </w:r>
          </w:p>
        </w:tc>
      </w:tr>
    </w:tbl>
    <w:p w14:paraId="610A6DFE">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由上表可知，项目M=15，为M2。</w:t>
      </w:r>
    </w:p>
    <w:p w14:paraId="682A9684">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3、危险物质及工艺系统危险性（</w:t>
      </w:r>
      <w:r>
        <w:rPr>
          <w:rFonts w:cs="Times New Roman"/>
          <w:color w:val="0D0D0D" w:themeColor="text1" w:themeTint="F2"/>
          <w:szCs w:val="24"/>
          <w14:textFill>
            <w14:solidFill>
              <w14:schemeClr w14:val="tx1">
                <w14:lumMod w14:val="95000"/>
                <w14:lumOff w14:val="5000"/>
              </w14:schemeClr>
            </w14:solidFill>
          </w14:textFill>
        </w:rPr>
        <w:t>P</w:t>
      </w:r>
      <w:r>
        <w:rPr>
          <w:rFonts w:hint="eastAsia" w:cs="Times New Roman"/>
          <w:color w:val="0D0D0D" w:themeColor="text1" w:themeTint="F2"/>
          <w:szCs w:val="24"/>
          <w14:textFill>
            <w14:solidFill>
              <w14:schemeClr w14:val="tx1">
                <w14:lumMod w14:val="95000"/>
                <w14:lumOff w14:val="5000"/>
              </w14:schemeClr>
            </w14:solidFill>
          </w14:textFill>
        </w:rPr>
        <w:t>）分级</w:t>
      </w:r>
    </w:p>
    <w:p w14:paraId="44DD3FB6">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根据《建设项目环境风险评价技术导则》（</w:t>
      </w:r>
      <w:r>
        <w:rPr>
          <w:rFonts w:cs="Times New Roman"/>
          <w:color w:val="0D0D0D" w:themeColor="text1" w:themeTint="F2"/>
          <w:szCs w:val="24"/>
          <w14:textFill>
            <w14:solidFill>
              <w14:schemeClr w14:val="tx1">
                <w14:lumMod w14:val="95000"/>
                <w14:lumOff w14:val="5000"/>
              </w14:schemeClr>
            </w14:solidFill>
          </w14:textFill>
        </w:rPr>
        <w:t>HJ169-2018）中附录C可知：根据危险物质数量与临界量比值（Q）和行业及</w:t>
      </w:r>
      <w:r>
        <w:rPr>
          <w:rFonts w:hint="eastAsia" w:cs="Times New Roman"/>
          <w:color w:val="0D0D0D" w:themeColor="text1" w:themeTint="F2"/>
          <w:szCs w:val="24"/>
          <w14:textFill>
            <w14:solidFill>
              <w14:schemeClr w14:val="tx1">
                <w14:lumMod w14:val="95000"/>
                <w14:lumOff w14:val="5000"/>
              </w14:schemeClr>
            </w14:solidFill>
          </w14:textFill>
        </w:rPr>
        <w:t>生产工艺（</w:t>
      </w:r>
      <w:r>
        <w:rPr>
          <w:rFonts w:cs="Times New Roman"/>
          <w:color w:val="0D0D0D" w:themeColor="text1" w:themeTint="F2"/>
          <w:szCs w:val="24"/>
          <w14:textFill>
            <w14:solidFill>
              <w14:schemeClr w14:val="tx1">
                <w14:lumMod w14:val="95000"/>
                <w14:lumOff w14:val="5000"/>
              </w14:schemeClr>
            </w14:solidFill>
          </w14:textFill>
        </w:rPr>
        <w:t>M），按照下表确定危险物质及工艺系统危险性等级（P），分别以P1、P2、P3、P4表示。</w:t>
      </w:r>
    </w:p>
    <w:p w14:paraId="76E20952">
      <w:pPr>
        <w:pStyle w:val="11"/>
      </w:pPr>
      <w:r>
        <w:rPr>
          <w:rFonts w:hint="eastAsia"/>
        </w:rPr>
        <w:t xml:space="preserve"> 危险物质及工艺系统危险性等级判断（P）</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59"/>
        <w:gridCol w:w="996"/>
        <w:gridCol w:w="994"/>
        <w:gridCol w:w="994"/>
        <w:gridCol w:w="999"/>
      </w:tblGrid>
      <w:tr w14:paraId="3F2F3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5" w:type="pct"/>
            <w:vMerge w:val="restart"/>
            <w:vAlign w:val="center"/>
          </w:tcPr>
          <w:p w14:paraId="588C97AF">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危险物质数量与临界量比值</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Q</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p>
        </w:tc>
        <w:tc>
          <w:tcPr>
            <w:tcW w:w="2155" w:type="pct"/>
            <w:gridSpan w:val="4"/>
            <w:vAlign w:val="center"/>
          </w:tcPr>
          <w:p w14:paraId="24A3E90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行业及生产工艺（M）</w:t>
            </w:r>
          </w:p>
        </w:tc>
      </w:tr>
      <w:tr w14:paraId="048CC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5" w:type="pct"/>
            <w:vMerge w:val="continue"/>
            <w:vAlign w:val="center"/>
          </w:tcPr>
          <w:p w14:paraId="10D737F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539" w:type="pct"/>
            <w:vAlign w:val="center"/>
          </w:tcPr>
          <w:p w14:paraId="2B8B251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M1</w:t>
            </w:r>
          </w:p>
        </w:tc>
        <w:tc>
          <w:tcPr>
            <w:tcW w:w="538" w:type="pct"/>
            <w:vAlign w:val="center"/>
          </w:tcPr>
          <w:p w14:paraId="141A06A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M</w:t>
            </w:r>
            <w:r>
              <w:rPr>
                <w:rFonts w:cs="Times New Roman"/>
                <w:color w:val="0D0D0D" w:themeColor="text1" w:themeTint="F2"/>
                <w:kern w:val="0"/>
                <w:sz w:val="21"/>
                <w:szCs w:val="21"/>
                <w14:textFill>
                  <w14:solidFill>
                    <w14:schemeClr w14:val="tx1">
                      <w14:lumMod w14:val="95000"/>
                      <w14:lumOff w14:val="5000"/>
                    </w14:schemeClr>
                  </w14:solidFill>
                </w14:textFill>
              </w:rPr>
              <w:t>2</w:t>
            </w:r>
          </w:p>
        </w:tc>
        <w:tc>
          <w:tcPr>
            <w:tcW w:w="538" w:type="pct"/>
            <w:vAlign w:val="center"/>
          </w:tcPr>
          <w:p w14:paraId="457EB3E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M</w:t>
            </w:r>
            <w:r>
              <w:rPr>
                <w:rFonts w:cs="Times New Roman"/>
                <w:color w:val="0D0D0D" w:themeColor="text1" w:themeTint="F2"/>
                <w:kern w:val="0"/>
                <w:sz w:val="21"/>
                <w:szCs w:val="21"/>
                <w14:textFill>
                  <w14:solidFill>
                    <w14:schemeClr w14:val="tx1">
                      <w14:lumMod w14:val="95000"/>
                      <w14:lumOff w14:val="5000"/>
                    </w14:schemeClr>
                  </w14:solidFill>
                </w14:textFill>
              </w:rPr>
              <w:t>3</w:t>
            </w:r>
          </w:p>
        </w:tc>
        <w:tc>
          <w:tcPr>
            <w:tcW w:w="538" w:type="pct"/>
            <w:vAlign w:val="center"/>
          </w:tcPr>
          <w:p w14:paraId="28C7657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M</w:t>
            </w:r>
            <w:r>
              <w:rPr>
                <w:rFonts w:cs="Times New Roman"/>
                <w:color w:val="0D0D0D" w:themeColor="text1" w:themeTint="F2"/>
                <w:kern w:val="0"/>
                <w:sz w:val="21"/>
                <w:szCs w:val="21"/>
                <w14:textFill>
                  <w14:solidFill>
                    <w14:schemeClr w14:val="tx1">
                      <w14:lumMod w14:val="95000"/>
                      <w14:lumOff w14:val="5000"/>
                    </w14:schemeClr>
                  </w14:solidFill>
                </w14:textFill>
              </w:rPr>
              <w:t>4</w:t>
            </w:r>
          </w:p>
        </w:tc>
      </w:tr>
      <w:tr w14:paraId="3EE91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5" w:type="pct"/>
            <w:vAlign w:val="center"/>
          </w:tcPr>
          <w:p w14:paraId="290683A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Q≥100</w:t>
            </w:r>
          </w:p>
        </w:tc>
        <w:tc>
          <w:tcPr>
            <w:tcW w:w="539" w:type="pct"/>
            <w:vAlign w:val="center"/>
          </w:tcPr>
          <w:p w14:paraId="79F52C3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P</w:t>
            </w:r>
            <w:r>
              <w:rPr>
                <w:rFonts w:cs="Times New Roman"/>
                <w:color w:val="0D0D0D" w:themeColor="text1" w:themeTint="F2"/>
                <w:kern w:val="0"/>
                <w:sz w:val="21"/>
                <w:szCs w:val="21"/>
                <w14:textFill>
                  <w14:solidFill>
                    <w14:schemeClr w14:val="tx1">
                      <w14:lumMod w14:val="95000"/>
                      <w14:lumOff w14:val="5000"/>
                    </w14:schemeClr>
                  </w14:solidFill>
                </w14:textFill>
              </w:rPr>
              <w:t>1</w:t>
            </w:r>
          </w:p>
        </w:tc>
        <w:tc>
          <w:tcPr>
            <w:tcW w:w="538" w:type="pct"/>
            <w:tcBorders>
              <w:bottom w:val="single" w:color="auto" w:sz="4" w:space="0"/>
            </w:tcBorders>
            <w:vAlign w:val="center"/>
          </w:tcPr>
          <w:p w14:paraId="4DADA9DF">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P</w:t>
            </w:r>
            <w:r>
              <w:rPr>
                <w:rFonts w:cs="Times New Roman"/>
                <w:color w:val="0D0D0D" w:themeColor="text1" w:themeTint="F2"/>
                <w:kern w:val="0"/>
                <w:sz w:val="21"/>
                <w:szCs w:val="21"/>
                <w14:textFill>
                  <w14:solidFill>
                    <w14:schemeClr w14:val="tx1">
                      <w14:lumMod w14:val="95000"/>
                      <w14:lumOff w14:val="5000"/>
                    </w14:schemeClr>
                  </w14:solidFill>
                </w14:textFill>
              </w:rPr>
              <w:t>1</w:t>
            </w:r>
          </w:p>
        </w:tc>
        <w:tc>
          <w:tcPr>
            <w:tcW w:w="538" w:type="pct"/>
            <w:vAlign w:val="center"/>
          </w:tcPr>
          <w:p w14:paraId="1A5AA7E8">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P</w:t>
            </w:r>
            <w:r>
              <w:rPr>
                <w:rFonts w:cs="Times New Roman"/>
                <w:color w:val="0D0D0D" w:themeColor="text1" w:themeTint="F2"/>
                <w:kern w:val="0"/>
                <w:sz w:val="21"/>
                <w:szCs w:val="21"/>
                <w14:textFill>
                  <w14:solidFill>
                    <w14:schemeClr w14:val="tx1">
                      <w14:lumMod w14:val="95000"/>
                      <w14:lumOff w14:val="5000"/>
                    </w14:schemeClr>
                  </w14:solidFill>
                </w14:textFill>
              </w:rPr>
              <w:t>2</w:t>
            </w:r>
          </w:p>
        </w:tc>
        <w:tc>
          <w:tcPr>
            <w:tcW w:w="538" w:type="pct"/>
            <w:vAlign w:val="center"/>
          </w:tcPr>
          <w:p w14:paraId="22E8253B">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P</w:t>
            </w:r>
            <w:r>
              <w:rPr>
                <w:rFonts w:cs="Times New Roman"/>
                <w:color w:val="0D0D0D" w:themeColor="text1" w:themeTint="F2"/>
                <w:kern w:val="0"/>
                <w:sz w:val="21"/>
                <w:szCs w:val="21"/>
                <w14:textFill>
                  <w14:solidFill>
                    <w14:schemeClr w14:val="tx1">
                      <w14:lumMod w14:val="95000"/>
                      <w14:lumOff w14:val="5000"/>
                    </w14:schemeClr>
                  </w14:solidFill>
                </w14:textFill>
              </w:rPr>
              <w:t>3</w:t>
            </w:r>
          </w:p>
        </w:tc>
      </w:tr>
      <w:tr w14:paraId="79BA2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5" w:type="pct"/>
            <w:vAlign w:val="center"/>
          </w:tcPr>
          <w:p w14:paraId="0F92B797">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10≤Q＜100</w:t>
            </w:r>
          </w:p>
        </w:tc>
        <w:tc>
          <w:tcPr>
            <w:tcW w:w="539" w:type="pct"/>
            <w:vAlign w:val="center"/>
          </w:tcPr>
          <w:p w14:paraId="0A99D01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P</w:t>
            </w:r>
            <w:r>
              <w:rPr>
                <w:rFonts w:cs="Times New Roman"/>
                <w:color w:val="0D0D0D" w:themeColor="text1" w:themeTint="F2"/>
                <w:kern w:val="0"/>
                <w:sz w:val="21"/>
                <w:szCs w:val="21"/>
                <w14:textFill>
                  <w14:solidFill>
                    <w14:schemeClr w14:val="tx1">
                      <w14:lumMod w14:val="95000"/>
                      <w14:lumOff w14:val="5000"/>
                    </w14:schemeClr>
                  </w14:solidFill>
                </w14:textFill>
              </w:rPr>
              <w:t>1</w:t>
            </w:r>
          </w:p>
        </w:tc>
        <w:tc>
          <w:tcPr>
            <w:tcW w:w="538" w:type="pct"/>
            <w:shd w:val="clear" w:color="auto" w:fill="D8D8D8" w:themeFill="background1" w:themeFillShade="D9"/>
            <w:vAlign w:val="center"/>
          </w:tcPr>
          <w:p w14:paraId="49D08042">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P</w:t>
            </w:r>
            <w:r>
              <w:rPr>
                <w:rFonts w:cs="Times New Roman"/>
                <w:color w:val="0D0D0D" w:themeColor="text1" w:themeTint="F2"/>
                <w:kern w:val="0"/>
                <w:sz w:val="21"/>
                <w:szCs w:val="21"/>
                <w14:textFill>
                  <w14:solidFill>
                    <w14:schemeClr w14:val="tx1">
                      <w14:lumMod w14:val="95000"/>
                      <w14:lumOff w14:val="5000"/>
                    </w14:schemeClr>
                  </w14:solidFill>
                </w14:textFill>
              </w:rPr>
              <w:t>2</w:t>
            </w:r>
          </w:p>
        </w:tc>
        <w:tc>
          <w:tcPr>
            <w:tcW w:w="538" w:type="pct"/>
            <w:vAlign w:val="center"/>
          </w:tcPr>
          <w:p w14:paraId="5ED53A84">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P</w:t>
            </w:r>
            <w:r>
              <w:rPr>
                <w:rFonts w:cs="Times New Roman"/>
                <w:color w:val="0D0D0D" w:themeColor="text1" w:themeTint="F2"/>
                <w:kern w:val="0"/>
                <w:sz w:val="21"/>
                <w:szCs w:val="21"/>
                <w14:textFill>
                  <w14:solidFill>
                    <w14:schemeClr w14:val="tx1">
                      <w14:lumMod w14:val="95000"/>
                      <w14:lumOff w14:val="5000"/>
                    </w14:schemeClr>
                  </w14:solidFill>
                </w14:textFill>
              </w:rPr>
              <w:t>3</w:t>
            </w:r>
          </w:p>
        </w:tc>
        <w:tc>
          <w:tcPr>
            <w:tcW w:w="538" w:type="pct"/>
            <w:vAlign w:val="center"/>
          </w:tcPr>
          <w:p w14:paraId="3532D24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P</w:t>
            </w:r>
            <w:r>
              <w:rPr>
                <w:rFonts w:cs="Times New Roman"/>
                <w:color w:val="0D0D0D" w:themeColor="text1" w:themeTint="F2"/>
                <w:kern w:val="0"/>
                <w:sz w:val="21"/>
                <w:szCs w:val="21"/>
                <w14:textFill>
                  <w14:solidFill>
                    <w14:schemeClr w14:val="tx1">
                      <w14:lumMod w14:val="95000"/>
                      <w14:lumOff w14:val="5000"/>
                    </w14:schemeClr>
                  </w14:solidFill>
                </w14:textFill>
              </w:rPr>
              <w:t>4</w:t>
            </w:r>
          </w:p>
        </w:tc>
      </w:tr>
      <w:tr w14:paraId="0C933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5" w:type="pct"/>
            <w:vAlign w:val="center"/>
          </w:tcPr>
          <w:p w14:paraId="76C7EFC2">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1≤Q＜10</w:t>
            </w:r>
          </w:p>
        </w:tc>
        <w:tc>
          <w:tcPr>
            <w:tcW w:w="539" w:type="pct"/>
            <w:vAlign w:val="center"/>
          </w:tcPr>
          <w:p w14:paraId="6F45D917">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P</w:t>
            </w:r>
            <w:r>
              <w:rPr>
                <w:rFonts w:cs="Times New Roman"/>
                <w:color w:val="0D0D0D" w:themeColor="text1" w:themeTint="F2"/>
                <w:kern w:val="0"/>
                <w:sz w:val="21"/>
                <w:szCs w:val="21"/>
                <w14:textFill>
                  <w14:solidFill>
                    <w14:schemeClr w14:val="tx1">
                      <w14:lumMod w14:val="95000"/>
                      <w14:lumOff w14:val="5000"/>
                    </w14:schemeClr>
                  </w14:solidFill>
                </w14:textFill>
              </w:rPr>
              <w:t>2</w:t>
            </w:r>
          </w:p>
        </w:tc>
        <w:tc>
          <w:tcPr>
            <w:tcW w:w="538" w:type="pct"/>
            <w:vAlign w:val="center"/>
          </w:tcPr>
          <w:p w14:paraId="65A62BAF">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P</w:t>
            </w:r>
            <w:r>
              <w:rPr>
                <w:rFonts w:cs="Times New Roman"/>
                <w:color w:val="0D0D0D" w:themeColor="text1" w:themeTint="F2"/>
                <w:kern w:val="0"/>
                <w:sz w:val="21"/>
                <w:szCs w:val="21"/>
                <w14:textFill>
                  <w14:solidFill>
                    <w14:schemeClr w14:val="tx1">
                      <w14:lumMod w14:val="95000"/>
                      <w14:lumOff w14:val="5000"/>
                    </w14:schemeClr>
                  </w14:solidFill>
                </w14:textFill>
              </w:rPr>
              <w:t>3</w:t>
            </w:r>
          </w:p>
        </w:tc>
        <w:tc>
          <w:tcPr>
            <w:tcW w:w="538" w:type="pct"/>
            <w:vAlign w:val="center"/>
          </w:tcPr>
          <w:p w14:paraId="32E6BACE">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P</w:t>
            </w:r>
            <w:r>
              <w:rPr>
                <w:rFonts w:cs="Times New Roman"/>
                <w:color w:val="0D0D0D" w:themeColor="text1" w:themeTint="F2"/>
                <w:kern w:val="0"/>
                <w:sz w:val="21"/>
                <w:szCs w:val="21"/>
                <w14:textFill>
                  <w14:solidFill>
                    <w14:schemeClr w14:val="tx1">
                      <w14:lumMod w14:val="95000"/>
                      <w14:lumOff w14:val="5000"/>
                    </w14:schemeClr>
                  </w14:solidFill>
                </w14:textFill>
              </w:rPr>
              <w:t>4</w:t>
            </w:r>
          </w:p>
        </w:tc>
        <w:tc>
          <w:tcPr>
            <w:tcW w:w="538" w:type="pct"/>
            <w:vAlign w:val="center"/>
          </w:tcPr>
          <w:p w14:paraId="58994FB2">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P</w:t>
            </w:r>
            <w:r>
              <w:rPr>
                <w:rFonts w:cs="Times New Roman"/>
                <w:color w:val="0D0D0D" w:themeColor="text1" w:themeTint="F2"/>
                <w:kern w:val="0"/>
                <w:sz w:val="21"/>
                <w:szCs w:val="21"/>
                <w14:textFill>
                  <w14:solidFill>
                    <w14:schemeClr w14:val="tx1">
                      <w14:lumMod w14:val="95000"/>
                      <w14:lumOff w14:val="5000"/>
                    </w14:schemeClr>
                  </w14:solidFill>
                </w14:textFill>
              </w:rPr>
              <w:t>4</w:t>
            </w:r>
          </w:p>
        </w:tc>
      </w:tr>
    </w:tbl>
    <w:p w14:paraId="06D29E62">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由上表可知，项目危险物质及工艺系统危险性为P2。</w:t>
      </w:r>
    </w:p>
    <w:p w14:paraId="7EB5E0B0">
      <w:pPr>
        <w:pStyle w:val="10"/>
      </w:pPr>
      <w:r>
        <w:rPr>
          <w:rFonts w:hint="eastAsia"/>
        </w:rPr>
        <w:t>环境敏感程度（E）的分级</w:t>
      </w:r>
    </w:p>
    <w:p w14:paraId="6BF02A8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按照《建设项目环境风险评价技术导则》（HJ169-2018）附录D分别确定项目的大气、地表水、地下水各要素的环境敏感程度。</w:t>
      </w:r>
    </w:p>
    <w:p w14:paraId="4CDA177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1、大气环境敏感程度分级</w:t>
      </w:r>
    </w:p>
    <w:p w14:paraId="534B8DD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建设项目环境风险评价技术导则》（HJ169-2018）附录D可知：依据环境敏感目标环境敏感性及人口密度划分环境风险受体的敏感性，共分为三种类型，E1为环境高度敏感区，E2为环境中度敏感区，E3为环境低度敏感区，分级原则详见表5.9-8。</w:t>
      </w:r>
    </w:p>
    <w:p w14:paraId="4C92530E">
      <w:pPr>
        <w:pStyle w:val="11"/>
      </w:pPr>
      <w:r>
        <w:rPr>
          <w:rFonts w:hint="eastAsia"/>
        </w:rPr>
        <w:t xml:space="preserve"> 大气环境敏感程度分级</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8521"/>
      </w:tblGrid>
      <w:tr w14:paraId="211DB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Align w:val="center"/>
          </w:tcPr>
          <w:p w14:paraId="0D38B66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分级</w:t>
            </w:r>
          </w:p>
        </w:tc>
        <w:tc>
          <w:tcPr>
            <w:tcW w:w="4610" w:type="pct"/>
            <w:vAlign w:val="center"/>
          </w:tcPr>
          <w:p w14:paraId="53B9FCA2">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大气环境敏感性</w:t>
            </w:r>
          </w:p>
        </w:tc>
      </w:tr>
      <w:tr w14:paraId="5C41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Align w:val="center"/>
          </w:tcPr>
          <w:p w14:paraId="0C42BF4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E1</w:t>
            </w:r>
          </w:p>
        </w:tc>
        <w:tc>
          <w:tcPr>
            <w:tcW w:w="4610" w:type="pct"/>
            <w:vAlign w:val="center"/>
          </w:tcPr>
          <w:p w14:paraId="77B0FF59">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周边</w:t>
            </w:r>
            <w:r>
              <w:rPr>
                <w:rFonts w:cs="Times New Roman"/>
                <w:color w:val="0D0D0D" w:themeColor="text1" w:themeTint="F2"/>
                <w:kern w:val="0"/>
                <w:sz w:val="21"/>
                <w:szCs w:val="21"/>
                <w14:textFill>
                  <w14:solidFill>
                    <w14:schemeClr w14:val="tx1">
                      <w14:lumMod w14:val="95000"/>
                      <w14:lumOff w14:val="5000"/>
                    </w14:schemeClr>
                  </w14:solidFill>
                </w14:textFill>
              </w:rPr>
              <w:t>5km范围内居住区、医疗卫生、文化教育、科研、行政办公等机构人口总数大于5万</w:t>
            </w:r>
            <w:r>
              <w:rPr>
                <w:rFonts w:hint="eastAsia" w:cs="Times New Roman"/>
                <w:color w:val="0D0D0D" w:themeColor="text1" w:themeTint="F2"/>
                <w:kern w:val="0"/>
                <w:sz w:val="21"/>
                <w:szCs w:val="21"/>
                <w14:textFill>
                  <w14:solidFill>
                    <w14:schemeClr w14:val="tx1">
                      <w14:lumMod w14:val="95000"/>
                      <w14:lumOff w14:val="5000"/>
                    </w14:schemeClr>
                  </w14:solidFill>
                </w14:textFill>
              </w:rPr>
              <w:t>人，或其他需要特殊保护区域；或周边</w:t>
            </w:r>
            <w:r>
              <w:rPr>
                <w:rFonts w:cs="Times New Roman"/>
                <w:color w:val="0D0D0D" w:themeColor="text1" w:themeTint="F2"/>
                <w:kern w:val="0"/>
                <w:sz w:val="21"/>
                <w:szCs w:val="21"/>
                <w14:textFill>
                  <w14:solidFill>
                    <w14:schemeClr w14:val="tx1">
                      <w14:lumMod w14:val="95000"/>
                      <w14:lumOff w14:val="5000"/>
                    </w14:schemeClr>
                  </w14:solidFill>
                </w14:textFill>
              </w:rPr>
              <w:t>500m范围内人口总数大于1000人；油气、化学品</w:t>
            </w:r>
            <w:r>
              <w:rPr>
                <w:rFonts w:hint="eastAsia" w:cs="Times New Roman"/>
                <w:color w:val="0D0D0D" w:themeColor="text1" w:themeTint="F2"/>
                <w:kern w:val="0"/>
                <w:sz w:val="21"/>
                <w:szCs w:val="21"/>
                <w14:textFill>
                  <w14:solidFill>
                    <w14:schemeClr w14:val="tx1">
                      <w14:lumMod w14:val="95000"/>
                      <w14:lumOff w14:val="5000"/>
                    </w14:schemeClr>
                  </w14:solidFill>
                </w14:textFill>
              </w:rPr>
              <w:t>输送管线管段周边</w:t>
            </w:r>
            <w:r>
              <w:rPr>
                <w:rFonts w:cs="Times New Roman"/>
                <w:color w:val="0D0D0D" w:themeColor="text1" w:themeTint="F2"/>
                <w:kern w:val="0"/>
                <w:sz w:val="21"/>
                <w:szCs w:val="21"/>
                <w14:textFill>
                  <w14:solidFill>
                    <w14:schemeClr w14:val="tx1">
                      <w14:lumMod w14:val="95000"/>
                      <w14:lumOff w14:val="5000"/>
                    </w14:schemeClr>
                  </w14:solidFill>
                </w14:textFill>
              </w:rPr>
              <w:t>200m范围内，每千米管段人口数大于200人</w:t>
            </w:r>
          </w:p>
        </w:tc>
      </w:tr>
      <w:tr w14:paraId="34F5C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Align w:val="center"/>
          </w:tcPr>
          <w:p w14:paraId="45301D3E">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E2</w:t>
            </w:r>
          </w:p>
        </w:tc>
        <w:tc>
          <w:tcPr>
            <w:tcW w:w="4610" w:type="pct"/>
            <w:vAlign w:val="center"/>
          </w:tcPr>
          <w:p w14:paraId="61DEA1E6">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周边</w:t>
            </w:r>
            <w:r>
              <w:rPr>
                <w:rFonts w:cs="Times New Roman"/>
                <w:color w:val="0D0D0D" w:themeColor="text1" w:themeTint="F2"/>
                <w:kern w:val="0"/>
                <w:sz w:val="21"/>
                <w:szCs w:val="21"/>
                <w14:textFill>
                  <w14:solidFill>
                    <w14:schemeClr w14:val="tx1">
                      <w14:lumMod w14:val="95000"/>
                      <w14:lumOff w14:val="5000"/>
                    </w14:schemeClr>
                  </w14:solidFill>
                </w14:textFill>
              </w:rPr>
              <w:t>5km范围内居住区、医疗卫生、文化教育、科研、行政办公等机构人口总数大于1万</w:t>
            </w:r>
            <w:r>
              <w:rPr>
                <w:rFonts w:hint="eastAsia" w:cs="Times New Roman"/>
                <w:color w:val="0D0D0D" w:themeColor="text1" w:themeTint="F2"/>
                <w:kern w:val="0"/>
                <w:sz w:val="21"/>
                <w:szCs w:val="21"/>
                <w14:textFill>
                  <w14:solidFill>
                    <w14:schemeClr w14:val="tx1">
                      <w14:lumMod w14:val="95000"/>
                      <w14:lumOff w14:val="5000"/>
                    </w14:schemeClr>
                  </w14:solidFill>
                </w14:textFill>
              </w:rPr>
              <w:t>人，小于</w:t>
            </w:r>
            <w:r>
              <w:rPr>
                <w:rFonts w:cs="Times New Roman"/>
                <w:color w:val="0D0D0D" w:themeColor="text1" w:themeTint="F2"/>
                <w:kern w:val="0"/>
                <w:sz w:val="21"/>
                <w:szCs w:val="21"/>
                <w14:textFill>
                  <w14:solidFill>
                    <w14:schemeClr w14:val="tx1">
                      <w14:lumMod w14:val="95000"/>
                      <w14:lumOff w14:val="5000"/>
                    </w14:schemeClr>
                  </w14:solidFill>
                </w14:textFill>
              </w:rPr>
              <w:t>5万人；或周边500m范围内人口总数大于500人，小于1000人；油气、化学品</w:t>
            </w:r>
            <w:r>
              <w:rPr>
                <w:rFonts w:hint="eastAsia" w:cs="Times New Roman"/>
                <w:color w:val="0D0D0D" w:themeColor="text1" w:themeTint="F2"/>
                <w:kern w:val="0"/>
                <w:sz w:val="21"/>
                <w:szCs w:val="21"/>
                <w14:textFill>
                  <w14:solidFill>
                    <w14:schemeClr w14:val="tx1">
                      <w14:lumMod w14:val="95000"/>
                      <w14:lumOff w14:val="5000"/>
                    </w14:schemeClr>
                  </w14:solidFill>
                </w14:textFill>
              </w:rPr>
              <w:t>输送管线管段周边</w:t>
            </w:r>
            <w:r>
              <w:rPr>
                <w:rFonts w:cs="Times New Roman"/>
                <w:color w:val="0D0D0D" w:themeColor="text1" w:themeTint="F2"/>
                <w:kern w:val="0"/>
                <w:sz w:val="21"/>
                <w:szCs w:val="21"/>
                <w14:textFill>
                  <w14:solidFill>
                    <w14:schemeClr w14:val="tx1">
                      <w14:lumMod w14:val="95000"/>
                      <w14:lumOff w14:val="5000"/>
                    </w14:schemeClr>
                  </w14:solidFill>
                </w14:textFill>
              </w:rPr>
              <w:t>200m范围内，每千米管段人口数大于100人，小于200人</w:t>
            </w:r>
          </w:p>
        </w:tc>
      </w:tr>
      <w:tr w14:paraId="3ADF8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Align w:val="center"/>
          </w:tcPr>
          <w:p w14:paraId="54F60A9F">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E3</w:t>
            </w:r>
          </w:p>
        </w:tc>
        <w:tc>
          <w:tcPr>
            <w:tcW w:w="4610" w:type="pct"/>
            <w:vAlign w:val="center"/>
          </w:tcPr>
          <w:p w14:paraId="7E025764">
            <w:pPr>
              <w:autoSpaceDE w:val="0"/>
              <w:autoSpaceDN w:val="0"/>
              <w:adjustRightInd w:val="0"/>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周边5km范围内居住区、医疗卫生、文化教育、科研、行政办公等机构人口总数小于1万人，或其他需要特殊保护区域；或周边500m范围内人口总数小于500人；油气、化学品输送管线管段周边200m范围内，每千米管段人口数小于100人。</w:t>
            </w:r>
          </w:p>
        </w:tc>
      </w:tr>
    </w:tbl>
    <w:p w14:paraId="744F157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项目周边5km范围内居住区、医疗卫生、文化教育、科研、行政办公等机构人口总数为</w:t>
      </w:r>
      <w:r>
        <w:rPr>
          <w:color w:val="0D0D0D" w:themeColor="text1" w:themeTint="F2"/>
          <w14:textFill>
            <w14:solidFill>
              <w14:schemeClr w14:val="tx1">
                <w14:lumMod w14:val="95000"/>
                <w14:lumOff w14:val="5000"/>
              </w14:schemeClr>
            </w14:solidFill>
          </w14:textFill>
        </w:rPr>
        <w:t>13420</w:t>
      </w:r>
      <w:r>
        <w:rPr>
          <w:rFonts w:hint="eastAsia"/>
          <w:color w:val="0D0D0D" w:themeColor="text1" w:themeTint="F2"/>
          <w14:textFill>
            <w14:solidFill>
              <w14:schemeClr w14:val="tx1">
                <w14:lumMod w14:val="95000"/>
                <w14:lumOff w14:val="5000"/>
              </w14:schemeClr>
            </w14:solidFill>
          </w14:textFill>
        </w:rPr>
        <w:t>人，属于大于1万人，小于5万人，周边500m范围人数为0。因此，本项目大气环境敏感程度为E2。</w:t>
      </w:r>
    </w:p>
    <w:p w14:paraId="1DECD09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2、地表水环境敏感程度分级</w:t>
      </w:r>
    </w:p>
    <w:p w14:paraId="07A6D73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建设项目环境风险评价技术导则》（HJ169-2018）附录D，依据事故情况下危险物质泄漏到水体的排放点受纳地表水体功能敏感性，与下游环境敏感目标情况，共分为三种类型，E1为环境高度敏感区，E2为环境中度敏感区，E3为环境低度敏感区。</w:t>
      </w:r>
    </w:p>
    <w:p w14:paraId="1B8D4AED">
      <w:pPr>
        <w:pStyle w:val="11"/>
      </w:pPr>
      <w:r>
        <w:rPr>
          <w:rFonts w:hint="eastAsia"/>
        </w:rPr>
        <w:t xml:space="preserve"> 地表水环境敏感程度分级</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44"/>
        <w:gridCol w:w="1732"/>
        <w:gridCol w:w="1732"/>
        <w:gridCol w:w="1734"/>
      </w:tblGrid>
      <w:tr w14:paraId="706FC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8" w:type="pct"/>
            <w:vMerge w:val="restart"/>
            <w:vAlign w:val="center"/>
          </w:tcPr>
          <w:p w14:paraId="731278CB">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环境敏感目标</w:t>
            </w:r>
          </w:p>
        </w:tc>
        <w:tc>
          <w:tcPr>
            <w:tcW w:w="2812" w:type="pct"/>
            <w:gridSpan w:val="3"/>
            <w:vAlign w:val="center"/>
          </w:tcPr>
          <w:p w14:paraId="26B1073F">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地表水功能敏感性</w:t>
            </w:r>
          </w:p>
        </w:tc>
      </w:tr>
      <w:tr w14:paraId="6E20C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8" w:type="pct"/>
            <w:vMerge w:val="continue"/>
            <w:vAlign w:val="center"/>
          </w:tcPr>
          <w:p w14:paraId="0C2520BB">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937" w:type="pct"/>
            <w:vAlign w:val="center"/>
          </w:tcPr>
          <w:p w14:paraId="07655A5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F1</w:t>
            </w:r>
          </w:p>
        </w:tc>
        <w:tc>
          <w:tcPr>
            <w:tcW w:w="937" w:type="pct"/>
            <w:vAlign w:val="center"/>
          </w:tcPr>
          <w:p w14:paraId="5646614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F2</w:t>
            </w:r>
          </w:p>
        </w:tc>
        <w:tc>
          <w:tcPr>
            <w:tcW w:w="937" w:type="pct"/>
            <w:vAlign w:val="center"/>
          </w:tcPr>
          <w:p w14:paraId="650E3C0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F3</w:t>
            </w:r>
          </w:p>
        </w:tc>
      </w:tr>
      <w:tr w14:paraId="7AA9F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8" w:type="pct"/>
            <w:vAlign w:val="center"/>
          </w:tcPr>
          <w:p w14:paraId="7A35A4D8">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S</w:t>
            </w:r>
            <w:r>
              <w:rPr>
                <w:rFonts w:cs="Times New Roman"/>
                <w:color w:val="0D0D0D" w:themeColor="text1" w:themeTint="F2"/>
                <w:kern w:val="0"/>
                <w:sz w:val="21"/>
                <w:szCs w:val="21"/>
                <w14:textFill>
                  <w14:solidFill>
                    <w14:schemeClr w14:val="tx1">
                      <w14:lumMod w14:val="95000"/>
                      <w14:lumOff w14:val="5000"/>
                    </w14:schemeClr>
                  </w14:solidFill>
                </w14:textFill>
              </w:rPr>
              <w:t>1</w:t>
            </w:r>
          </w:p>
        </w:tc>
        <w:tc>
          <w:tcPr>
            <w:tcW w:w="937" w:type="pct"/>
            <w:vAlign w:val="center"/>
          </w:tcPr>
          <w:p w14:paraId="7701FA2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E1</w:t>
            </w:r>
          </w:p>
        </w:tc>
        <w:tc>
          <w:tcPr>
            <w:tcW w:w="937" w:type="pct"/>
            <w:vAlign w:val="center"/>
          </w:tcPr>
          <w:p w14:paraId="21E6F54D">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E1</w:t>
            </w:r>
          </w:p>
        </w:tc>
        <w:tc>
          <w:tcPr>
            <w:tcW w:w="937" w:type="pct"/>
            <w:vAlign w:val="center"/>
          </w:tcPr>
          <w:p w14:paraId="345D4EEF">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E2</w:t>
            </w:r>
          </w:p>
        </w:tc>
      </w:tr>
      <w:tr w14:paraId="6A8C0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8" w:type="pct"/>
            <w:vAlign w:val="center"/>
          </w:tcPr>
          <w:p w14:paraId="65757C1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S</w:t>
            </w:r>
            <w:r>
              <w:rPr>
                <w:rFonts w:cs="Times New Roman"/>
                <w:color w:val="0D0D0D" w:themeColor="text1" w:themeTint="F2"/>
                <w:kern w:val="0"/>
                <w:sz w:val="21"/>
                <w:szCs w:val="21"/>
                <w14:textFill>
                  <w14:solidFill>
                    <w14:schemeClr w14:val="tx1">
                      <w14:lumMod w14:val="95000"/>
                      <w14:lumOff w14:val="5000"/>
                    </w14:schemeClr>
                  </w14:solidFill>
                </w14:textFill>
              </w:rPr>
              <w:t>2</w:t>
            </w:r>
          </w:p>
        </w:tc>
        <w:tc>
          <w:tcPr>
            <w:tcW w:w="937" w:type="pct"/>
            <w:vAlign w:val="center"/>
          </w:tcPr>
          <w:p w14:paraId="67273887">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E1</w:t>
            </w:r>
          </w:p>
        </w:tc>
        <w:tc>
          <w:tcPr>
            <w:tcW w:w="937" w:type="pct"/>
            <w:vAlign w:val="center"/>
          </w:tcPr>
          <w:p w14:paraId="66B084A2">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E2</w:t>
            </w:r>
          </w:p>
        </w:tc>
        <w:tc>
          <w:tcPr>
            <w:tcW w:w="937" w:type="pct"/>
            <w:vAlign w:val="center"/>
          </w:tcPr>
          <w:p w14:paraId="1CDD22C8">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E3</w:t>
            </w:r>
          </w:p>
        </w:tc>
      </w:tr>
      <w:tr w14:paraId="4D6B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8" w:type="pct"/>
            <w:vAlign w:val="center"/>
          </w:tcPr>
          <w:p w14:paraId="18753C4B">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S</w:t>
            </w:r>
            <w:r>
              <w:rPr>
                <w:rFonts w:cs="Times New Roman"/>
                <w:color w:val="0D0D0D" w:themeColor="text1" w:themeTint="F2"/>
                <w:kern w:val="0"/>
                <w:sz w:val="21"/>
                <w:szCs w:val="21"/>
                <w14:textFill>
                  <w14:solidFill>
                    <w14:schemeClr w14:val="tx1">
                      <w14:lumMod w14:val="95000"/>
                      <w14:lumOff w14:val="5000"/>
                    </w14:schemeClr>
                  </w14:solidFill>
                </w14:textFill>
              </w:rPr>
              <w:t>3</w:t>
            </w:r>
          </w:p>
        </w:tc>
        <w:tc>
          <w:tcPr>
            <w:tcW w:w="937" w:type="pct"/>
            <w:vAlign w:val="center"/>
          </w:tcPr>
          <w:p w14:paraId="6496D12D">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E1</w:t>
            </w:r>
          </w:p>
        </w:tc>
        <w:tc>
          <w:tcPr>
            <w:tcW w:w="937" w:type="pct"/>
            <w:vAlign w:val="center"/>
          </w:tcPr>
          <w:p w14:paraId="08E39394">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E2</w:t>
            </w:r>
          </w:p>
        </w:tc>
        <w:tc>
          <w:tcPr>
            <w:tcW w:w="937" w:type="pct"/>
            <w:vAlign w:val="center"/>
          </w:tcPr>
          <w:p w14:paraId="1DA13B48">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E3</w:t>
            </w:r>
          </w:p>
        </w:tc>
      </w:tr>
    </w:tbl>
    <w:p w14:paraId="55C44FDF">
      <w:pPr>
        <w:pStyle w:val="2"/>
        <w:ind w:firstLine="240"/>
        <w:rPr>
          <w:rFonts w:cstheme="majorBidi"/>
          <w:color w:val="0D0D0D" w:themeColor="text1" w:themeTint="F2"/>
          <w:sz w:val="21"/>
          <w:szCs w:val="21"/>
          <w14:textFill>
            <w14:solidFill>
              <w14:schemeClr w14:val="tx1">
                <w14:lumMod w14:val="95000"/>
                <w14:lumOff w14:val="5000"/>
              </w14:schemeClr>
            </w14:solidFill>
          </w14:textFill>
        </w:rPr>
      </w:pPr>
      <w:r>
        <w:br w:type="page"/>
      </w:r>
    </w:p>
    <w:p w14:paraId="3D141B27">
      <w:pPr>
        <w:pStyle w:val="11"/>
      </w:pPr>
      <w:r>
        <w:rPr>
          <w:rFonts w:hint="eastAsia"/>
        </w:rPr>
        <w:t xml:space="preserve"> 地表水功能敏感性分析</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8375"/>
      </w:tblGrid>
      <w:tr w14:paraId="06767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69" w:type="pct"/>
            <w:vAlign w:val="center"/>
          </w:tcPr>
          <w:p w14:paraId="648D9501">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分级</w:t>
            </w:r>
          </w:p>
        </w:tc>
        <w:tc>
          <w:tcPr>
            <w:tcW w:w="4531" w:type="pct"/>
            <w:vAlign w:val="center"/>
          </w:tcPr>
          <w:p w14:paraId="269A3F2E">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地表水环境敏感特征</w:t>
            </w:r>
          </w:p>
        </w:tc>
      </w:tr>
      <w:tr w14:paraId="2271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9" w:type="pct"/>
            <w:vAlign w:val="center"/>
          </w:tcPr>
          <w:p w14:paraId="0A9FEF4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F</w:t>
            </w:r>
            <w:r>
              <w:rPr>
                <w:rFonts w:cs="Times New Roman"/>
                <w:color w:val="0D0D0D" w:themeColor="text1" w:themeTint="F2"/>
                <w:kern w:val="0"/>
                <w:sz w:val="21"/>
                <w:szCs w:val="21"/>
                <w14:textFill>
                  <w14:solidFill>
                    <w14:schemeClr w14:val="tx1">
                      <w14:lumMod w14:val="95000"/>
                      <w14:lumOff w14:val="5000"/>
                    </w14:schemeClr>
                  </w14:solidFill>
                </w14:textFill>
              </w:rPr>
              <w:t>1</w:t>
            </w:r>
          </w:p>
        </w:tc>
        <w:tc>
          <w:tcPr>
            <w:tcW w:w="4531" w:type="pct"/>
            <w:vAlign w:val="center"/>
          </w:tcPr>
          <w:p w14:paraId="34AACF28">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排放点进入地表水水域环境功能为Ⅱ类及以上，或海水水质分类第一类；</w:t>
            </w:r>
          </w:p>
          <w:p w14:paraId="17DA0800">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或以发生事故时，危险物质泄漏到水体的排放点算起，排放进入受纳河流最大流速时，24h流经范围内跨国界的</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p>
        </w:tc>
      </w:tr>
      <w:tr w14:paraId="322D5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9" w:type="pct"/>
            <w:vAlign w:val="center"/>
          </w:tcPr>
          <w:p w14:paraId="7EED0061">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F</w:t>
            </w:r>
            <w:r>
              <w:rPr>
                <w:rFonts w:cs="Times New Roman"/>
                <w:color w:val="0D0D0D" w:themeColor="text1" w:themeTint="F2"/>
                <w:kern w:val="0"/>
                <w:sz w:val="21"/>
                <w:szCs w:val="21"/>
                <w14:textFill>
                  <w14:solidFill>
                    <w14:schemeClr w14:val="tx1">
                      <w14:lumMod w14:val="95000"/>
                      <w14:lumOff w14:val="5000"/>
                    </w14:schemeClr>
                  </w14:solidFill>
                </w14:textFill>
              </w:rPr>
              <w:t>2</w:t>
            </w:r>
          </w:p>
        </w:tc>
        <w:tc>
          <w:tcPr>
            <w:tcW w:w="4531" w:type="pct"/>
            <w:vAlign w:val="center"/>
          </w:tcPr>
          <w:p w14:paraId="65349354">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排放点进入地表水水域环境功能为Ⅲ类，或海水水质分类第二类；</w:t>
            </w:r>
          </w:p>
          <w:p w14:paraId="2D04F4BA">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或以发生事故时，危险物质泄漏到水体的排放点算起，排放进入受纳河流最大流速时，24h流经范围内涉跨省界的</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p>
        </w:tc>
      </w:tr>
      <w:tr w14:paraId="1B17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9" w:type="pct"/>
            <w:vAlign w:val="center"/>
          </w:tcPr>
          <w:p w14:paraId="1156F777">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F</w:t>
            </w:r>
            <w:r>
              <w:rPr>
                <w:rFonts w:cs="Times New Roman"/>
                <w:color w:val="0D0D0D" w:themeColor="text1" w:themeTint="F2"/>
                <w:kern w:val="0"/>
                <w:sz w:val="21"/>
                <w:szCs w:val="21"/>
                <w14:textFill>
                  <w14:solidFill>
                    <w14:schemeClr w14:val="tx1">
                      <w14:lumMod w14:val="95000"/>
                      <w14:lumOff w14:val="5000"/>
                    </w14:schemeClr>
                  </w14:solidFill>
                </w14:textFill>
              </w:rPr>
              <w:t>3</w:t>
            </w:r>
          </w:p>
        </w:tc>
        <w:tc>
          <w:tcPr>
            <w:tcW w:w="4531" w:type="pct"/>
            <w:vAlign w:val="center"/>
          </w:tcPr>
          <w:p w14:paraId="506057DC">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上述地区之外的其他地区。</w:t>
            </w:r>
          </w:p>
        </w:tc>
      </w:tr>
    </w:tbl>
    <w:p w14:paraId="2580E37E">
      <w:pPr>
        <w:pStyle w:val="11"/>
      </w:pPr>
      <w:r>
        <w:rPr>
          <w:rFonts w:hint="eastAsia"/>
        </w:rPr>
        <w:t xml:space="preserve"> 环境敏感目标分级</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8521"/>
      </w:tblGrid>
      <w:tr w14:paraId="31E8E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Align w:val="center"/>
          </w:tcPr>
          <w:p w14:paraId="0AEDEDA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分级</w:t>
            </w:r>
          </w:p>
        </w:tc>
        <w:tc>
          <w:tcPr>
            <w:tcW w:w="4610" w:type="pct"/>
            <w:vAlign w:val="center"/>
          </w:tcPr>
          <w:p w14:paraId="64C342D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环境敏感目标</w:t>
            </w:r>
          </w:p>
        </w:tc>
      </w:tr>
      <w:tr w14:paraId="503C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Align w:val="center"/>
          </w:tcPr>
          <w:p w14:paraId="4E6460E7">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S1</w:t>
            </w:r>
          </w:p>
        </w:tc>
        <w:tc>
          <w:tcPr>
            <w:tcW w:w="4610" w:type="pct"/>
            <w:vAlign w:val="center"/>
          </w:tcPr>
          <w:p w14:paraId="7BE661A5">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发生事故时，危险物质泄漏到内陆水体的排放点下游（顺水流向）</w:t>
            </w:r>
            <w:r>
              <w:rPr>
                <w:rFonts w:cs="Times New Roman"/>
                <w:color w:val="0D0D0D" w:themeColor="text1" w:themeTint="F2"/>
                <w:kern w:val="0"/>
                <w:sz w:val="21"/>
                <w:szCs w:val="21"/>
                <w14:textFill>
                  <w14:solidFill>
                    <w14:schemeClr w14:val="tx1">
                      <w14:lumMod w14:val="95000"/>
                      <w14:lumOff w14:val="5000"/>
                    </w14:schemeClr>
                  </w14:solidFill>
                </w14:textFill>
              </w:rPr>
              <w:t>10km范围内、近岸</w:t>
            </w:r>
            <w:r>
              <w:rPr>
                <w:rFonts w:hint="eastAsia" w:cs="Times New Roman"/>
                <w:color w:val="0D0D0D" w:themeColor="text1" w:themeTint="F2"/>
                <w:kern w:val="0"/>
                <w:sz w:val="21"/>
                <w:szCs w:val="21"/>
                <w14:textFill>
                  <w14:solidFill>
                    <w14:schemeClr w14:val="tx1">
                      <w14:lumMod w14:val="95000"/>
                      <w14:lumOff w14:val="5000"/>
                    </w14:schemeClr>
                  </w14:solidFill>
                </w14:textFill>
              </w:rPr>
              <w:t>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14:paraId="456C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Align w:val="center"/>
          </w:tcPr>
          <w:p w14:paraId="4C8647E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S2</w:t>
            </w:r>
          </w:p>
        </w:tc>
        <w:tc>
          <w:tcPr>
            <w:tcW w:w="4610" w:type="pct"/>
            <w:vAlign w:val="center"/>
          </w:tcPr>
          <w:p w14:paraId="56819CE5">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发生事故时，危险物质泄漏到内陆水体的排放点下游（顺水流向）</w:t>
            </w:r>
            <w:r>
              <w:rPr>
                <w:rFonts w:cs="Times New Roman"/>
                <w:color w:val="0D0D0D" w:themeColor="text1" w:themeTint="F2"/>
                <w:kern w:val="0"/>
                <w:sz w:val="21"/>
                <w:szCs w:val="21"/>
                <w14:textFill>
                  <w14:solidFill>
                    <w14:schemeClr w14:val="tx1">
                      <w14:lumMod w14:val="95000"/>
                      <w14:lumOff w14:val="5000"/>
                    </w14:schemeClr>
                  </w14:solidFill>
                </w14:textFill>
              </w:rPr>
              <w:t>10km范围内、近岸</w:t>
            </w:r>
            <w:r>
              <w:rPr>
                <w:rFonts w:hint="eastAsia" w:cs="Times New Roman"/>
                <w:color w:val="0D0D0D" w:themeColor="text1" w:themeTint="F2"/>
                <w:kern w:val="0"/>
                <w:sz w:val="21"/>
                <w:szCs w:val="21"/>
                <w14:textFill>
                  <w14:solidFill>
                    <w14:schemeClr w14:val="tx1">
                      <w14:lumMod w14:val="95000"/>
                      <w14:lumOff w14:val="5000"/>
                    </w14:schemeClr>
                  </w14:solidFill>
                </w14:textFill>
              </w:rPr>
              <w:t>海域一个潮周期水质点可能达到的最大水平距离的两倍范围内，有如下一类或多类环境风险受体的；水产养殖区；天然渔场；森林公园；地质公园；海滨风景游览区；具有重要经济价值的海洋生物生存区域。</w:t>
            </w:r>
          </w:p>
        </w:tc>
      </w:tr>
      <w:tr w14:paraId="50CBE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Align w:val="center"/>
          </w:tcPr>
          <w:p w14:paraId="7D3CCBA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S3</w:t>
            </w:r>
          </w:p>
        </w:tc>
        <w:tc>
          <w:tcPr>
            <w:tcW w:w="4610" w:type="pct"/>
            <w:vAlign w:val="center"/>
          </w:tcPr>
          <w:p w14:paraId="205DFD52">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排放点下游（顺水流向）</w:t>
            </w:r>
            <w:r>
              <w:rPr>
                <w:rFonts w:cs="Times New Roman"/>
                <w:color w:val="0D0D0D" w:themeColor="text1" w:themeTint="F2"/>
                <w:kern w:val="0"/>
                <w:sz w:val="21"/>
                <w:szCs w:val="21"/>
                <w14:textFill>
                  <w14:solidFill>
                    <w14:schemeClr w14:val="tx1">
                      <w14:lumMod w14:val="95000"/>
                      <w14:lumOff w14:val="5000"/>
                    </w14:schemeClr>
                  </w14:solidFill>
                </w14:textFill>
              </w:rPr>
              <w:t>10km范围内、近岸海域一个潮周期水质点可能达到的最大水</w:t>
            </w:r>
            <w:r>
              <w:rPr>
                <w:rFonts w:hint="eastAsia" w:cs="Times New Roman"/>
                <w:color w:val="0D0D0D" w:themeColor="text1" w:themeTint="F2"/>
                <w:kern w:val="0"/>
                <w:sz w:val="21"/>
                <w:szCs w:val="21"/>
                <w14:textFill>
                  <w14:solidFill>
                    <w14:schemeClr w14:val="tx1">
                      <w14:lumMod w14:val="95000"/>
                      <w14:lumOff w14:val="5000"/>
                    </w14:schemeClr>
                  </w14:solidFill>
                </w14:textFill>
              </w:rPr>
              <w:t>平距离的两倍范围内无上述类型</w:t>
            </w:r>
            <w:r>
              <w:rPr>
                <w:rFonts w:cs="Times New Roman"/>
                <w:color w:val="0D0D0D" w:themeColor="text1" w:themeTint="F2"/>
                <w:kern w:val="0"/>
                <w:sz w:val="21"/>
                <w:szCs w:val="21"/>
                <w14:textFill>
                  <w14:solidFill>
                    <w14:schemeClr w14:val="tx1">
                      <w14:lumMod w14:val="95000"/>
                      <w14:lumOff w14:val="5000"/>
                    </w14:schemeClr>
                  </w14:solidFill>
                </w14:textFill>
              </w:rPr>
              <w:t>1和类型2包括的敏感保护目标</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p>
        </w:tc>
      </w:tr>
    </w:tbl>
    <w:p w14:paraId="1E2031C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废水在厂内处理达标后排入市政污水管网，输送至钦州胜科水务有限公司污水处理厂进一步处理，事故状态下，厂区设有事故应急池，储罐区设置围堰，可保证事故状态下废水不外排，因此，地表水功能敏感性分区为F3，环境敏感目标分级为S3，地表水环境敏感程度为E3（环境低度敏感区）。</w:t>
      </w:r>
    </w:p>
    <w:p w14:paraId="4FD1D6D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3、地下水环境敏感程度分级</w:t>
      </w:r>
    </w:p>
    <w:p w14:paraId="4EA8BCA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建设项目环境风险评价技术导则》（HJ169-2018）附录D，依据地下水功能敏感性与包气带防污性能，共分为三种类型，E1为环境高度敏感区，E2为环境中度敏感区，E3为环境低度敏感区，分级原则详见表5.9-13。其中地下水功能敏感性分区和包气带防污性能分级分别详见表5.9-14和表5.9-15。当同一建设项目涉及两个G分区或D分级及以上时，取相对高值。</w:t>
      </w:r>
    </w:p>
    <w:p w14:paraId="1B257581">
      <w:pPr>
        <w:pStyle w:val="2"/>
        <w:ind w:firstLine="240"/>
      </w:pPr>
      <w:r>
        <w:br w:type="page"/>
      </w:r>
    </w:p>
    <w:p w14:paraId="5244E2FB">
      <w:pPr>
        <w:pStyle w:val="11"/>
      </w:pPr>
      <w:r>
        <w:rPr>
          <w:rFonts w:hint="eastAsia"/>
        </w:rPr>
        <w:t xml:space="preserve"> 地下水环境敏感程度分级</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44"/>
        <w:gridCol w:w="1732"/>
        <w:gridCol w:w="1732"/>
        <w:gridCol w:w="1734"/>
      </w:tblGrid>
      <w:tr w14:paraId="5220E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8" w:type="pct"/>
            <w:vMerge w:val="restart"/>
            <w:vAlign w:val="center"/>
          </w:tcPr>
          <w:p w14:paraId="2B0C8D7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环境敏感目标</w:t>
            </w:r>
          </w:p>
        </w:tc>
        <w:tc>
          <w:tcPr>
            <w:tcW w:w="2812" w:type="pct"/>
            <w:gridSpan w:val="3"/>
            <w:vAlign w:val="center"/>
          </w:tcPr>
          <w:p w14:paraId="1B9C316D">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地下水功能敏感性</w:t>
            </w:r>
          </w:p>
        </w:tc>
      </w:tr>
      <w:tr w14:paraId="24502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8" w:type="pct"/>
            <w:vMerge w:val="continue"/>
            <w:vAlign w:val="center"/>
          </w:tcPr>
          <w:p w14:paraId="5447FFF7">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937" w:type="pct"/>
            <w:vAlign w:val="center"/>
          </w:tcPr>
          <w:p w14:paraId="69338A7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G1</w:t>
            </w:r>
          </w:p>
        </w:tc>
        <w:tc>
          <w:tcPr>
            <w:tcW w:w="937" w:type="pct"/>
            <w:vAlign w:val="center"/>
          </w:tcPr>
          <w:p w14:paraId="7953A1A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G2</w:t>
            </w:r>
          </w:p>
        </w:tc>
        <w:tc>
          <w:tcPr>
            <w:tcW w:w="937" w:type="pct"/>
            <w:vAlign w:val="center"/>
          </w:tcPr>
          <w:p w14:paraId="186CE314">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G3</w:t>
            </w:r>
          </w:p>
        </w:tc>
      </w:tr>
      <w:tr w14:paraId="44F8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8" w:type="pct"/>
            <w:vAlign w:val="center"/>
          </w:tcPr>
          <w:p w14:paraId="324CF07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D1</w:t>
            </w:r>
          </w:p>
        </w:tc>
        <w:tc>
          <w:tcPr>
            <w:tcW w:w="937" w:type="pct"/>
            <w:vAlign w:val="center"/>
          </w:tcPr>
          <w:p w14:paraId="4CB21DB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E1</w:t>
            </w:r>
          </w:p>
        </w:tc>
        <w:tc>
          <w:tcPr>
            <w:tcW w:w="937" w:type="pct"/>
            <w:vAlign w:val="center"/>
          </w:tcPr>
          <w:p w14:paraId="682A9B18">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E1</w:t>
            </w:r>
          </w:p>
        </w:tc>
        <w:tc>
          <w:tcPr>
            <w:tcW w:w="937" w:type="pct"/>
            <w:vAlign w:val="center"/>
          </w:tcPr>
          <w:p w14:paraId="458CC89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E2</w:t>
            </w:r>
          </w:p>
        </w:tc>
      </w:tr>
      <w:tr w14:paraId="08BF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8" w:type="pct"/>
            <w:vAlign w:val="center"/>
          </w:tcPr>
          <w:p w14:paraId="0ECAFAE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D2</w:t>
            </w:r>
          </w:p>
        </w:tc>
        <w:tc>
          <w:tcPr>
            <w:tcW w:w="937" w:type="pct"/>
            <w:vAlign w:val="center"/>
          </w:tcPr>
          <w:p w14:paraId="1C072E7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E1</w:t>
            </w:r>
          </w:p>
        </w:tc>
        <w:tc>
          <w:tcPr>
            <w:tcW w:w="937" w:type="pct"/>
            <w:vAlign w:val="center"/>
          </w:tcPr>
          <w:p w14:paraId="5A8DF221">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E2</w:t>
            </w:r>
          </w:p>
        </w:tc>
        <w:tc>
          <w:tcPr>
            <w:tcW w:w="937" w:type="pct"/>
            <w:vAlign w:val="center"/>
          </w:tcPr>
          <w:p w14:paraId="128EBB9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E3</w:t>
            </w:r>
          </w:p>
        </w:tc>
      </w:tr>
      <w:tr w14:paraId="5BE0D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8" w:type="pct"/>
            <w:vAlign w:val="center"/>
          </w:tcPr>
          <w:p w14:paraId="3C78ADE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D3</w:t>
            </w:r>
          </w:p>
        </w:tc>
        <w:tc>
          <w:tcPr>
            <w:tcW w:w="937" w:type="pct"/>
            <w:vAlign w:val="center"/>
          </w:tcPr>
          <w:p w14:paraId="7CB4885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E1</w:t>
            </w:r>
          </w:p>
        </w:tc>
        <w:tc>
          <w:tcPr>
            <w:tcW w:w="937" w:type="pct"/>
            <w:vAlign w:val="center"/>
          </w:tcPr>
          <w:p w14:paraId="34DFD431">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E2</w:t>
            </w:r>
          </w:p>
        </w:tc>
        <w:tc>
          <w:tcPr>
            <w:tcW w:w="937" w:type="pct"/>
            <w:vAlign w:val="center"/>
          </w:tcPr>
          <w:p w14:paraId="09DC1A12">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E3</w:t>
            </w:r>
          </w:p>
        </w:tc>
      </w:tr>
    </w:tbl>
    <w:p w14:paraId="0BA03D7C">
      <w:pPr>
        <w:pStyle w:val="11"/>
      </w:pPr>
      <w:r>
        <w:rPr>
          <w:rFonts w:hint="eastAsia"/>
        </w:rPr>
        <w:t xml:space="preserve"> 地下水功能敏感性分析</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9"/>
        <w:gridCol w:w="7793"/>
      </w:tblGrid>
      <w:tr w14:paraId="0519E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vAlign w:val="center"/>
          </w:tcPr>
          <w:p w14:paraId="1907BBED">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分级</w:t>
            </w:r>
          </w:p>
        </w:tc>
        <w:tc>
          <w:tcPr>
            <w:tcW w:w="4216" w:type="pct"/>
            <w:vAlign w:val="center"/>
          </w:tcPr>
          <w:p w14:paraId="58C1279F">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地下水环境敏感特征</w:t>
            </w:r>
          </w:p>
        </w:tc>
      </w:tr>
      <w:tr w14:paraId="0D35B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vAlign w:val="center"/>
          </w:tcPr>
          <w:p w14:paraId="4D7D27C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敏感G</w:t>
            </w:r>
            <w:r>
              <w:rPr>
                <w:rFonts w:cs="Times New Roman"/>
                <w:color w:val="0D0D0D" w:themeColor="text1" w:themeTint="F2"/>
                <w:kern w:val="0"/>
                <w:sz w:val="21"/>
                <w:szCs w:val="21"/>
                <w14:textFill>
                  <w14:solidFill>
                    <w14:schemeClr w14:val="tx1">
                      <w14:lumMod w14:val="95000"/>
                      <w14:lumOff w14:val="5000"/>
                    </w14:schemeClr>
                  </w14:solidFill>
                </w14:textFill>
              </w:rPr>
              <w:t>1</w:t>
            </w:r>
          </w:p>
        </w:tc>
        <w:tc>
          <w:tcPr>
            <w:tcW w:w="4216" w:type="pct"/>
            <w:vAlign w:val="center"/>
          </w:tcPr>
          <w:p w14:paraId="556B374F">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集中式饮用水水源（包括已建成的在用、备用、应急水源，在建和规划的饮用水源）准保护区；除集中式饮用水水源以外的国家或地方政府设定的与地下水环境相关的其他保护区，如热水、矿泉水、温泉等特殊地下水资源保护区。</w:t>
            </w:r>
          </w:p>
        </w:tc>
      </w:tr>
      <w:tr w14:paraId="2C0B2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vAlign w:val="center"/>
          </w:tcPr>
          <w:p w14:paraId="610247C8">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较敏感G</w:t>
            </w:r>
            <w:r>
              <w:rPr>
                <w:rFonts w:cs="Times New Roman"/>
                <w:color w:val="0D0D0D" w:themeColor="text1" w:themeTint="F2"/>
                <w:kern w:val="0"/>
                <w:sz w:val="21"/>
                <w:szCs w:val="21"/>
                <w14:textFill>
                  <w14:solidFill>
                    <w14:schemeClr w14:val="tx1">
                      <w14:lumMod w14:val="95000"/>
                      <w14:lumOff w14:val="5000"/>
                    </w14:schemeClr>
                  </w14:solidFill>
                </w14:textFill>
              </w:rPr>
              <w:t>2</w:t>
            </w:r>
          </w:p>
        </w:tc>
        <w:tc>
          <w:tcPr>
            <w:tcW w:w="4216" w:type="pct"/>
            <w:vAlign w:val="center"/>
          </w:tcPr>
          <w:p w14:paraId="2F88BEC4">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集中式饮用水水源（包括已建成的在用、备用、应急水源，在建和规划的饮用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Pr>
                <w:rFonts w:cs="Times New Roman"/>
                <w:color w:val="0D0D0D" w:themeColor="text1" w:themeTint="F2"/>
                <w:kern w:val="0"/>
                <w:sz w:val="21"/>
                <w:szCs w:val="21"/>
                <w:vertAlign w:val="superscript"/>
                <w14:textFill>
                  <w14:solidFill>
                    <w14:schemeClr w14:val="tx1">
                      <w14:lumMod w14:val="95000"/>
                      <w14:lumOff w14:val="5000"/>
                    </w14:schemeClr>
                  </w14:solidFill>
                </w14:textFill>
              </w:rPr>
              <w:t>a</w:t>
            </w:r>
          </w:p>
        </w:tc>
      </w:tr>
      <w:tr w14:paraId="3C908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vAlign w:val="center"/>
          </w:tcPr>
          <w:p w14:paraId="433FA00B">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不敏感G</w:t>
            </w:r>
            <w:r>
              <w:rPr>
                <w:rFonts w:cs="Times New Roman"/>
                <w:color w:val="0D0D0D" w:themeColor="text1" w:themeTint="F2"/>
                <w:kern w:val="0"/>
                <w:sz w:val="21"/>
                <w:szCs w:val="21"/>
                <w14:textFill>
                  <w14:solidFill>
                    <w14:schemeClr w14:val="tx1">
                      <w14:lumMod w14:val="95000"/>
                      <w14:lumOff w14:val="5000"/>
                    </w14:schemeClr>
                  </w14:solidFill>
                </w14:textFill>
              </w:rPr>
              <w:t>3</w:t>
            </w:r>
          </w:p>
        </w:tc>
        <w:tc>
          <w:tcPr>
            <w:tcW w:w="4216" w:type="pct"/>
            <w:vAlign w:val="center"/>
          </w:tcPr>
          <w:p w14:paraId="7AEBA11B">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上述地区之外的其他地区</w:t>
            </w:r>
          </w:p>
        </w:tc>
      </w:tr>
      <w:tr w14:paraId="4F1C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2"/>
            <w:vAlign w:val="center"/>
          </w:tcPr>
          <w:p w14:paraId="0F2D121E">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a“环境敏感区”是指《建设项目环境影响评价分类管理名录》中所界定的涉及地下水的环境敏感区</w:t>
            </w:r>
          </w:p>
        </w:tc>
      </w:tr>
    </w:tbl>
    <w:p w14:paraId="0A409C47">
      <w:pPr>
        <w:pStyle w:val="11"/>
      </w:pPr>
      <w:r>
        <w:rPr>
          <w:rFonts w:hint="eastAsia"/>
        </w:rPr>
        <w:t xml:space="preserve"> 包气带防污性能分级</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8327"/>
      </w:tblGrid>
      <w:tr w14:paraId="299A9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5" w:type="pct"/>
            <w:vAlign w:val="center"/>
          </w:tcPr>
          <w:p w14:paraId="4A7E0CED">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分级</w:t>
            </w:r>
          </w:p>
        </w:tc>
        <w:tc>
          <w:tcPr>
            <w:tcW w:w="4505" w:type="pct"/>
            <w:vAlign w:val="center"/>
          </w:tcPr>
          <w:p w14:paraId="60C2BB5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环境敏感目标</w:t>
            </w:r>
          </w:p>
        </w:tc>
      </w:tr>
      <w:tr w14:paraId="2C0DA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5" w:type="pct"/>
            <w:vAlign w:val="center"/>
          </w:tcPr>
          <w:p w14:paraId="2B48963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D3</w:t>
            </w:r>
          </w:p>
        </w:tc>
        <w:tc>
          <w:tcPr>
            <w:tcW w:w="4505" w:type="pct"/>
            <w:vAlign w:val="center"/>
          </w:tcPr>
          <w:p w14:paraId="1AB85125">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Mb≥1.0m，K≤1.0×10</w:t>
            </w:r>
            <w:r>
              <w:rPr>
                <w:rFonts w:cs="Times New Roman"/>
                <w:color w:val="0D0D0D" w:themeColor="text1" w:themeTint="F2"/>
                <w:kern w:val="0"/>
                <w:sz w:val="21"/>
                <w:szCs w:val="21"/>
                <w:vertAlign w:val="superscript"/>
                <w14:textFill>
                  <w14:solidFill>
                    <w14:schemeClr w14:val="tx1">
                      <w14:lumMod w14:val="95000"/>
                      <w14:lumOff w14:val="5000"/>
                    </w14:schemeClr>
                  </w14:solidFill>
                </w14:textFill>
              </w:rPr>
              <w:t>-6</w:t>
            </w:r>
            <w:r>
              <w:rPr>
                <w:rFonts w:cs="Times New Roman"/>
                <w:color w:val="0D0D0D" w:themeColor="text1" w:themeTint="F2"/>
                <w:kern w:val="0"/>
                <w:sz w:val="21"/>
                <w:szCs w:val="21"/>
                <w14:textFill>
                  <w14:solidFill>
                    <w14:schemeClr w14:val="tx1">
                      <w14:lumMod w14:val="95000"/>
                      <w14:lumOff w14:val="5000"/>
                    </w14:schemeClr>
                  </w14:solidFill>
                </w14:textFill>
              </w:rPr>
              <w:t>cm/s，且分布连续、稳定</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p>
        </w:tc>
      </w:tr>
      <w:tr w14:paraId="18B94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5" w:type="pct"/>
            <w:vAlign w:val="center"/>
          </w:tcPr>
          <w:p w14:paraId="22E54F6B">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D2</w:t>
            </w:r>
          </w:p>
        </w:tc>
        <w:tc>
          <w:tcPr>
            <w:tcW w:w="4505" w:type="pct"/>
            <w:vAlign w:val="center"/>
          </w:tcPr>
          <w:p w14:paraId="5224739E">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0.5m≤Mb＜1.0m，K≤1.0×10</w:t>
            </w:r>
            <w:r>
              <w:rPr>
                <w:rFonts w:cs="Times New Roman"/>
                <w:color w:val="0D0D0D" w:themeColor="text1" w:themeTint="F2"/>
                <w:kern w:val="0"/>
                <w:sz w:val="21"/>
                <w:szCs w:val="21"/>
                <w:vertAlign w:val="superscript"/>
                <w14:textFill>
                  <w14:solidFill>
                    <w14:schemeClr w14:val="tx1">
                      <w14:lumMod w14:val="95000"/>
                      <w14:lumOff w14:val="5000"/>
                    </w14:schemeClr>
                  </w14:solidFill>
                </w14:textFill>
              </w:rPr>
              <w:t>-6</w:t>
            </w:r>
            <w:r>
              <w:rPr>
                <w:rFonts w:cs="Times New Roman"/>
                <w:color w:val="0D0D0D" w:themeColor="text1" w:themeTint="F2"/>
                <w:kern w:val="0"/>
                <w:sz w:val="21"/>
                <w:szCs w:val="21"/>
                <w14:textFill>
                  <w14:solidFill>
                    <w14:schemeClr w14:val="tx1">
                      <w14:lumMod w14:val="95000"/>
                      <w14:lumOff w14:val="5000"/>
                    </w14:schemeClr>
                  </w14:solidFill>
                </w14:textFill>
              </w:rPr>
              <w:t>cm/s，且分布连续、稳定</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p>
          <w:p w14:paraId="5B7453A2">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Mb≥1.0m，1.0×10</w:t>
            </w:r>
            <w:r>
              <w:rPr>
                <w:rFonts w:cs="Times New Roman"/>
                <w:color w:val="0D0D0D" w:themeColor="text1" w:themeTint="F2"/>
                <w:kern w:val="0"/>
                <w:sz w:val="21"/>
                <w:szCs w:val="21"/>
                <w:vertAlign w:val="superscript"/>
                <w14:textFill>
                  <w14:solidFill>
                    <w14:schemeClr w14:val="tx1">
                      <w14:lumMod w14:val="95000"/>
                      <w14:lumOff w14:val="5000"/>
                    </w14:schemeClr>
                  </w14:solidFill>
                </w14:textFill>
              </w:rPr>
              <w:t>-6</w:t>
            </w:r>
            <w:r>
              <w:rPr>
                <w:rFonts w:cs="Times New Roman"/>
                <w:color w:val="0D0D0D" w:themeColor="text1" w:themeTint="F2"/>
                <w:kern w:val="0"/>
                <w:sz w:val="21"/>
                <w:szCs w:val="21"/>
                <w14:textFill>
                  <w14:solidFill>
                    <w14:schemeClr w14:val="tx1">
                      <w14:lumMod w14:val="95000"/>
                      <w14:lumOff w14:val="5000"/>
                    </w14:schemeClr>
                  </w14:solidFill>
                </w14:textFill>
              </w:rPr>
              <w:t>cm/s≤K≤1.0×10</w:t>
            </w:r>
            <w:r>
              <w:rPr>
                <w:rFonts w:cs="Times New Roman"/>
                <w:color w:val="0D0D0D" w:themeColor="text1" w:themeTint="F2"/>
                <w:kern w:val="0"/>
                <w:sz w:val="21"/>
                <w:szCs w:val="21"/>
                <w:vertAlign w:val="superscript"/>
                <w14:textFill>
                  <w14:solidFill>
                    <w14:schemeClr w14:val="tx1">
                      <w14:lumMod w14:val="95000"/>
                      <w14:lumOff w14:val="5000"/>
                    </w14:schemeClr>
                  </w14:solidFill>
                </w14:textFill>
              </w:rPr>
              <w:t>-4</w:t>
            </w:r>
            <w:r>
              <w:rPr>
                <w:rFonts w:cs="Times New Roman"/>
                <w:color w:val="0D0D0D" w:themeColor="text1" w:themeTint="F2"/>
                <w:kern w:val="0"/>
                <w:sz w:val="21"/>
                <w:szCs w:val="21"/>
                <w14:textFill>
                  <w14:solidFill>
                    <w14:schemeClr w14:val="tx1">
                      <w14:lumMod w14:val="95000"/>
                      <w14:lumOff w14:val="5000"/>
                    </w14:schemeClr>
                  </w14:solidFill>
                </w14:textFill>
              </w:rPr>
              <w:t>cm/s，且分布连续、稳定</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p>
        </w:tc>
      </w:tr>
      <w:tr w14:paraId="111F4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5" w:type="pct"/>
            <w:vAlign w:val="center"/>
          </w:tcPr>
          <w:p w14:paraId="1639CBE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D1</w:t>
            </w:r>
          </w:p>
        </w:tc>
        <w:tc>
          <w:tcPr>
            <w:tcW w:w="4505" w:type="pct"/>
            <w:vAlign w:val="center"/>
          </w:tcPr>
          <w:p w14:paraId="424FF964">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岩（土）层不满足上述“</w:t>
            </w:r>
            <w:r>
              <w:rPr>
                <w:rFonts w:cs="Times New Roman"/>
                <w:color w:val="0D0D0D" w:themeColor="text1" w:themeTint="F2"/>
                <w:kern w:val="0"/>
                <w:sz w:val="21"/>
                <w:szCs w:val="21"/>
                <w14:textFill>
                  <w14:solidFill>
                    <w14:schemeClr w14:val="tx1">
                      <w14:lumMod w14:val="95000"/>
                      <w14:lumOff w14:val="5000"/>
                    </w14:schemeClr>
                  </w14:solidFill>
                </w14:textFill>
              </w:rPr>
              <w:t>D2</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和</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D3</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条件</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p>
        </w:tc>
      </w:tr>
      <w:tr w14:paraId="79474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2"/>
            <w:vAlign w:val="center"/>
          </w:tcPr>
          <w:p w14:paraId="78B600BD">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Mb</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岩土层单层厚度</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K：渗透系数</w:t>
            </w:r>
          </w:p>
        </w:tc>
      </w:tr>
    </w:tbl>
    <w:p w14:paraId="3361E70A">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位于石化园区内，周边企业、村庄饮用水均采用市政自来水供水，不涉及集中式饮用水水源准保护区、分散式饮用水源源地、特殊地下水资源等保护区，西北面390m处为独山红树林斑块，因此，地下水功能敏感（G1）。</w:t>
      </w:r>
    </w:p>
    <w:p w14:paraId="0C9F7AF5">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项目场区包气带结构自上而下为素填土层（Q</w:t>
      </w:r>
      <w:r>
        <w:rPr>
          <w:rFonts w:hint="eastAsia"/>
          <w:color w:val="0D0D0D" w:themeColor="text1" w:themeTint="F2"/>
          <w:u w:val="single"/>
          <w:vertAlign w:val="subscript"/>
          <w14:textFill>
            <w14:solidFill>
              <w14:schemeClr w14:val="tx1">
                <w14:lumMod w14:val="95000"/>
                <w14:lumOff w14:val="5000"/>
              </w14:schemeClr>
            </w14:solidFill>
          </w14:textFill>
        </w:rPr>
        <w:t>4</w:t>
      </w:r>
      <w:r>
        <w:rPr>
          <w:rFonts w:hint="eastAsia"/>
          <w:color w:val="0D0D0D" w:themeColor="text1" w:themeTint="F2"/>
          <w:u w:val="single"/>
          <w:vertAlign w:val="superscript"/>
          <w14:textFill>
            <w14:solidFill>
              <w14:schemeClr w14:val="tx1">
                <w14:lumMod w14:val="95000"/>
                <w14:lumOff w14:val="5000"/>
              </w14:schemeClr>
            </w14:solidFill>
          </w14:textFill>
        </w:rPr>
        <w:t>ml</w:t>
      </w:r>
      <w:r>
        <w:rPr>
          <w:rFonts w:hint="eastAsia"/>
          <w:color w:val="0D0D0D" w:themeColor="text1" w:themeTint="F2"/>
          <w:u w:val="single"/>
          <w14:textFill>
            <w14:solidFill>
              <w14:schemeClr w14:val="tx1">
                <w14:lumMod w14:val="95000"/>
                <w14:lumOff w14:val="5000"/>
              </w14:schemeClr>
            </w14:solidFill>
          </w14:textFill>
        </w:rPr>
        <w:t>）、淤泥层（Q</w:t>
      </w:r>
      <w:r>
        <w:rPr>
          <w:rFonts w:hint="eastAsia"/>
          <w:color w:val="0D0D0D" w:themeColor="text1" w:themeTint="F2"/>
          <w:u w:val="single"/>
          <w:vertAlign w:val="subscript"/>
          <w14:textFill>
            <w14:solidFill>
              <w14:schemeClr w14:val="tx1">
                <w14:lumMod w14:val="95000"/>
                <w14:lumOff w14:val="5000"/>
              </w14:schemeClr>
            </w14:solidFill>
          </w14:textFill>
        </w:rPr>
        <w:t>4</w:t>
      </w:r>
      <w:r>
        <w:rPr>
          <w:rFonts w:hint="eastAsia"/>
          <w:color w:val="0D0D0D" w:themeColor="text1" w:themeTint="F2"/>
          <w:u w:val="single"/>
          <w:vertAlign w:val="superscript"/>
          <w14:textFill>
            <w14:solidFill>
              <w14:schemeClr w14:val="tx1">
                <w14:lumMod w14:val="95000"/>
                <w14:lumOff w14:val="5000"/>
              </w14:schemeClr>
            </w14:solidFill>
          </w14:textFill>
        </w:rPr>
        <w:t>al+pl</w:t>
      </w:r>
      <w:r>
        <w:rPr>
          <w:rFonts w:hint="eastAsia"/>
          <w:color w:val="0D0D0D" w:themeColor="text1" w:themeTint="F2"/>
          <w:u w:val="single"/>
          <w14:textFill>
            <w14:solidFill>
              <w14:schemeClr w14:val="tx1">
                <w14:lumMod w14:val="95000"/>
                <w14:lumOff w14:val="5000"/>
              </w14:schemeClr>
            </w14:solidFill>
          </w14:textFill>
        </w:rPr>
        <w:t>）和强风化泥质粉砂岩（</w:t>
      </w:r>
      <w:r>
        <w:rPr>
          <w:color w:val="0D0D0D" w:themeColor="text1" w:themeTint="F2"/>
          <w:u w:val="single"/>
          <w14:textFill>
            <w14:solidFill>
              <w14:schemeClr w14:val="tx1">
                <w14:lumMod w14:val="95000"/>
                <w14:lumOff w14:val="5000"/>
              </w14:schemeClr>
            </w14:solidFill>
          </w14:textFill>
        </w:rPr>
        <w:t>S</w:t>
      </w:r>
      <w:r>
        <w:rPr>
          <w:rFonts w:hint="eastAsia"/>
          <w:color w:val="0D0D0D" w:themeColor="text1" w:themeTint="F2"/>
          <w:u w:val="single"/>
          <w14:textFill>
            <w14:solidFill>
              <w14:schemeClr w14:val="tx1">
                <w14:lumMod w14:val="95000"/>
                <w14:lumOff w14:val="5000"/>
              </w14:schemeClr>
            </w14:solidFill>
          </w14:textFill>
        </w:rPr>
        <w:t>），其中素填土层厚度</w:t>
      </w:r>
      <w:r>
        <w:rPr>
          <w:color w:val="0D0D0D" w:themeColor="text1" w:themeTint="F2"/>
          <w:u w:val="single"/>
          <w14:textFill>
            <w14:solidFill>
              <w14:schemeClr w14:val="tx1">
                <w14:lumMod w14:val="95000"/>
                <w14:lumOff w14:val="5000"/>
              </w14:schemeClr>
            </w14:solidFill>
          </w14:textFill>
        </w:rPr>
        <w:t>2.51</w:t>
      </w:r>
      <w:r>
        <w:rPr>
          <w:rFonts w:hint="eastAsia"/>
          <w:color w:val="0D0D0D" w:themeColor="text1" w:themeTint="F2"/>
          <w:u w:val="single"/>
          <w14:textFill>
            <w14:solidFill>
              <w14:schemeClr w14:val="tx1">
                <w14:lumMod w14:val="95000"/>
                <w14:lumOff w14:val="5000"/>
              </w14:schemeClr>
            </w14:solidFill>
          </w14:textFill>
        </w:rPr>
        <w:t>～</w:t>
      </w:r>
      <w:r>
        <w:rPr>
          <w:color w:val="0D0D0D" w:themeColor="text1" w:themeTint="F2"/>
          <w:u w:val="single"/>
          <w14:textFill>
            <w14:solidFill>
              <w14:schemeClr w14:val="tx1">
                <w14:lumMod w14:val="95000"/>
                <w14:lumOff w14:val="5000"/>
              </w14:schemeClr>
            </w14:solidFill>
          </w14:textFill>
        </w:rPr>
        <w:t>11.00</w:t>
      </w:r>
      <w:r>
        <w:rPr>
          <w:rFonts w:hint="eastAsia"/>
          <w:color w:val="0D0D0D" w:themeColor="text1" w:themeTint="F2"/>
          <w:u w:val="single"/>
          <w14:textFill>
            <w14:solidFill>
              <w14:schemeClr w14:val="tx1">
                <w14:lumMod w14:val="95000"/>
                <w14:lumOff w14:val="5000"/>
              </w14:schemeClr>
            </w14:solidFill>
          </w14:textFill>
        </w:rPr>
        <w:t>米，平均</w:t>
      </w:r>
      <w:r>
        <w:rPr>
          <w:color w:val="0D0D0D" w:themeColor="text1" w:themeTint="F2"/>
          <w:u w:val="single"/>
          <w14:textFill>
            <w14:solidFill>
              <w14:schemeClr w14:val="tx1">
                <w14:lumMod w14:val="95000"/>
                <w14:lumOff w14:val="5000"/>
              </w14:schemeClr>
            </w14:solidFill>
          </w14:textFill>
        </w:rPr>
        <w:t>7.53</w:t>
      </w:r>
      <w:r>
        <w:rPr>
          <w:rFonts w:hint="eastAsia"/>
          <w:color w:val="0D0D0D" w:themeColor="text1" w:themeTint="F2"/>
          <w:u w:val="single"/>
          <w14:textFill>
            <w14:solidFill>
              <w14:schemeClr w14:val="tx1">
                <w14:lumMod w14:val="95000"/>
                <w14:lumOff w14:val="5000"/>
              </w14:schemeClr>
            </w14:solidFill>
          </w14:textFill>
        </w:rPr>
        <w:t>米，渗透系数</w:t>
      </w:r>
      <w:r>
        <w:rPr>
          <w:color w:val="0D0D0D" w:themeColor="text1" w:themeTint="F2"/>
          <w:u w:val="single"/>
          <w14:textFill>
            <w14:solidFill>
              <w14:schemeClr w14:val="tx1">
                <w14:lumMod w14:val="95000"/>
                <w14:lumOff w14:val="5000"/>
              </w14:schemeClr>
            </w14:solidFill>
          </w14:textFill>
        </w:rPr>
        <w:t>K=5×10</w:t>
      </w:r>
      <w:r>
        <w:rPr>
          <w:color w:val="0D0D0D" w:themeColor="text1" w:themeTint="F2"/>
          <w:u w:val="single"/>
          <w:vertAlign w:val="superscript"/>
          <w14:textFill>
            <w14:solidFill>
              <w14:schemeClr w14:val="tx1">
                <w14:lumMod w14:val="95000"/>
                <w14:lumOff w14:val="5000"/>
              </w14:schemeClr>
            </w14:solidFill>
          </w14:textFill>
        </w:rPr>
        <w:t>−1</w:t>
      </w:r>
      <w:r>
        <w:rPr>
          <w:rFonts w:hint="eastAsia"/>
          <w:color w:val="0D0D0D" w:themeColor="text1" w:themeTint="F2"/>
          <w:u w:val="single"/>
          <w14:textFill>
            <w14:solidFill>
              <w14:schemeClr w14:val="tx1">
                <w14:lumMod w14:val="95000"/>
                <w14:lumOff w14:val="5000"/>
              </w14:schemeClr>
            </w14:solidFill>
          </w14:textFill>
        </w:rPr>
        <w:t>cm/s，属强透水性；淤泥层厚度</w:t>
      </w:r>
      <w:r>
        <w:rPr>
          <w:color w:val="0D0D0D" w:themeColor="text1" w:themeTint="F2"/>
          <w:u w:val="single"/>
          <w14:textFill>
            <w14:solidFill>
              <w14:schemeClr w14:val="tx1">
                <w14:lumMod w14:val="95000"/>
                <w14:lumOff w14:val="5000"/>
              </w14:schemeClr>
            </w14:solidFill>
          </w14:textFill>
        </w:rPr>
        <w:t>1.59</w:t>
      </w:r>
      <w:r>
        <w:rPr>
          <w:rFonts w:hint="eastAsia"/>
          <w:color w:val="0D0D0D" w:themeColor="text1" w:themeTint="F2"/>
          <w:u w:val="single"/>
          <w14:textFill>
            <w14:solidFill>
              <w14:schemeClr w14:val="tx1">
                <w14:lumMod w14:val="95000"/>
                <w14:lumOff w14:val="5000"/>
              </w14:schemeClr>
            </w14:solidFill>
          </w14:textFill>
        </w:rPr>
        <w:t>～</w:t>
      </w:r>
      <w:r>
        <w:rPr>
          <w:color w:val="0D0D0D" w:themeColor="text1" w:themeTint="F2"/>
          <w:u w:val="single"/>
          <w14:textFill>
            <w14:solidFill>
              <w14:schemeClr w14:val="tx1">
                <w14:lumMod w14:val="95000"/>
                <w14:lumOff w14:val="5000"/>
              </w14:schemeClr>
            </w14:solidFill>
          </w14:textFill>
        </w:rPr>
        <w:t>6.00</w:t>
      </w:r>
      <w:r>
        <w:rPr>
          <w:rFonts w:hint="eastAsia"/>
          <w:color w:val="0D0D0D" w:themeColor="text1" w:themeTint="F2"/>
          <w:u w:val="single"/>
          <w14:textFill>
            <w14:solidFill>
              <w14:schemeClr w14:val="tx1">
                <w14:lumMod w14:val="95000"/>
                <w14:lumOff w14:val="5000"/>
              </w14:schemeClr>
            </w14:solidFill>
          </w14:textFill>
        </w:rPr>
        <w:t>米，平均</w:t>
      </w:r>
      <w:r>
        <w:rPr>
          <w:color w:val="0D0D0D" w:themeColor="text1" w:themeTint="F2"/>
          <w:u w:val="single"/>
          <w14:textFill>
            <w14:solidFill>
              <w14:schemeClr w14:val="tx1">
                <w14:lumMod w14:val="95000"/>
                <w14:lumOff w14:val="5000"/>
              </w14:schemeClr>
            </w14:solidFill>
          </w14:textFill>
        </w:rPr>
        <w:t>4.12</w:t>
      </w:r>
      <w:r>
        <w:rPr>
          <w:rFonts w:hint="eastAsia"/>
          <w:color w:val="0D0D0D" w:themeColor="text1" w:themeTint="F2"/>
          <w:u w:val="single"/>
          <w14:textFill>
            <w14:solidFill>
              <w14:schemeClr w14:val="tx1">
                <w14:lumMod w14:val="95000"/>
                <w14:lumOff w14:val="5000"/>
              </w14:schemeClr>
            </w14:solidFill>
          </w14:textFill>
        </w:rPr>
        <w:t>米，渗透系数</w:t>
      </w:r>
      <w:r>
        <w:rPr>
          <w:color w:val="0D0D0D" w:themeColor="text1" w:themeTint="F2"/>
          <w:u w:val="single"/>
          <w14:textFill>
            <w14:solidFill>
              <w14:schemeClr w14:val="tx1">
                <w14:lumMod w14:val="95000"/>
                <w14:lumOff w14:val="5000"/>
              </w14:schemeClr>
            </w14:solidFill>
          </w14:textFill>
        </w:rPr>
        <w:t>K=6×10</w:t>
      </w:r>
      <w:r>
        <w:rPr>
          <w:color w:val="0D0D0D" w:themeColor="text1" w:themeTint="F2"/>
          <w:u w:val="single"/>
          <w:vertAlign w:val="superscript"/>
          <w14:textFill>
            <w14:solidFill>
              <w14:schemeClr w14:val="tx1">
                <w14:lumMod w14:val="95000"/>
                <w14:lumOff w14:val="5000"/>
              </w14:schemeClr>
            </w14:solidFill>
          </w14:textFill>
        </w:rPr>
        <w:t>−5</w:t>
      </w:r>
      <w:r>
        <w:rPr>
          <w:rFonts w:hint="eastAsia"/>
          <w:color w:val="0D0D0D" w:themeColor="text1" w:themeTint="F2"/>
          <w:u w:val="single"/>
          <w14:textFill>
            <w14:solidFill>
              <w14:schemeClr w14:val="tx1">
                <w14:lumMod w14:val="95000"/>
                <w14:lumOff w14:val="5000"/>
              </w14:schemeClr>
            </w14:solidFill>
          </w14:textFill>
        </w:rPr>
        <w:t>cm/s，属微透水性；强风化泥质粉砂岩厚度</w:t>
      </w:r>
      <w:r>
        <w:rPr>
          <w:color w:val="0D0D0D" w:themeColor="text1" w:themeTint="F2"/>
          <w:u w:val="single"/>
          <w14:textFill>
            <w14:solidFill>
              <w14:schemeClr w14:val="tx1">
                <w14:lumMod w14:val="95000"/>
                <w14:lumOff w14:val="5000"/>
              </w14:schemeClr>
            </w14:solidFill>
          </w14:textFill>
        </w:rPr>
        <w:t>4.80</w:t>
      </w:r>
      <w:r>
        <w:rPr>
          <w:rFonts w:hint="eastAsia"/>
          <w:color w:val="0D0D0D" w:themeColor="text1" w:themeTint="F2"/>
          <w:u w:val="single"/>
          <w14:textFill>
            <w14:solidFill>
              <w14:schemeClr w14:val="tx1">
                <w14:lumMod w14:val="95000"/>
                <w14:lumOff w14:val="5000"/>
              </w14:schemeClr>
            </w14:solidFill>
          </w14:textFill>
        </w:rPr>
        <w:t>～</w:t>
      </w:r>
      <w:r>
        <w:rPr>
          <w:color w:val="0D0D0D" w:themeColor="text1" w:themeTint="F2"/>
          <w:u w:val="single"/>
          <w14:textFill>
            <w14:solidFill>
              <w14:schemeClr w14:val="tx1">
                <w14:lumMod w14:val="95000"/>
                <w14:lumOff w14:val="5000"/>
              </w14:schemeClr>
            </w14:solidFill>
          </w14:textFill>
        </w:rPr>
        <w:t>9.60</w:t>
      </w:r>
      <w:r>
        <w:rPr>
          <w:rFonts w:hint="eastAsia"/>
          <w:color w:val="0D0D0D" w:themeColor="text1" w:themeTint="F2"/>
          <w:u w:val="single"/>
          <w14:textFill>
            <w14:solidFill>
              <w14:schemeClr w14:val="tx1">
                <w14:lumMod w14:val="95000"/>
                <w14:lumOff w14:val="5000"/>
              </w14:schemeClr>
            </w14:solidFill>
          </w14:textFill>
        </w:rPr>
        <w:t>米，平均</w:t>
      </w:r>
      <w:r>
        <w:rPr>
          <w:color w:val="0D0D0D" w:themeColor="text1" w:themeTint="F2"/>
          <w:u w:val="single"/>
          <w14:textFill>
            <w14:solidFill>
              <w14:schemeClr w14:val="tx1">
                <w14:lumMod w14:val="95000"/>
                <w14:lumOff w14:val="5000"/>
              </w14:schemeClr>
            </w14:solidFill>
          </w14:textFill>
        </w:rPr>
        <w:t>6.70</w:t>
      </w:r>
      <w:r>
        <w:rPr>
          <w:rFonts w:hint="eastAsia"/>
          <w:color w:val="0D0D0D" w:themeColor="text1" w:themeTint="F2"/>
          <w:u w:val="single"/>
          <w14:textFill>
            <w14:solidFill>
              <w14:schemeClr w14:val="tx1">
                <w14:lumMod w14:val="95000"/>
                <w14:lumOff w14:val="5000"/>
              </w14:schemeClr>
            </w14:solidFill>
          </w14:textFill>
        </w:rPr>
        <w:t>米，渗透系数</w:t>
      </w:r>
      <w:r>
        <w:rPr>
          <w:color w:val="0D0D0D" w:themeColor="text1" w:themeTint="F2"/>
          <w:u w:val="single"/>
          <w14:textFill>
            <w14:solidFill>
              <w14:schemeClr w14:val="tx1">
                <w14:lumMod w14:val="95000"/>
                <w14:lumOff w14:val="5000"/>
              </w14:schemeClr>
            </w14:solidFill>
          </w14:textFill>
        </w:rPr>
        <w:t>K=3×10</w:t>
      </w:r>
      <w:r>
        <w:rPr>
          <w:color w:val="0D0D0D" w:themeColor="text1" w:themeTint="F2"/>
          <w:u w:val="single"/>
          <w:vertAlign w:val="superscript"/>
          <w14:textFill>
            <w14:solidFill>
              <w14:schemeClr w14:val="tx1">
                <w14:lumMod w14:val="95000"/>
                <w14:lumOff w14:val="5000"/>
              </w14:schemeClr>
            </w14:solidFill>
          </w14:textFill>
        </w:rPr>
        <w:t>−6</w:t>
      </w:r>
      <w:r>
        <w:rPr>
          <w:rFonts w:hint="eastAsia"/>
          <w:color w:val="0D0D0D" w:themeColor="text1" w:themeTint="F2"/>
          <w:u w:val="single"/>
          <w14:textFill>
            <w14:solidFill>
              <w14:schemeClr w14:val="tx1">
                <w14:lumMod w14:val="95000"/>
                <w14:lumOff w14:val="5000"/>
              </w14:schemeClr>
            </w14:solidFill>
          </w14:textFill>
        </w:rPr>
        <w:t>cm/s，弱透水性，包气带防污性能为D1。</w:t>
      </w:r>
    </w:p>
    <w:p w14:paraId="0FAF853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综上，项目地下水环境敏感程度为E1。</w:t>
      </w:r>
    </w:p>
    <w:p w14:paraId="45514D63">
      <w:pPr>
        <w:pStyle w:val="10"/>
      </w:pPr>
      <w:r>
        <w:rPr>
          <w:rFonts w:hint="eastAsia"/>
        </w:rPr>
        <w:t>建设项目环境风险潜势判断</w:t>
      </w:r>
    </w:p>
    <w:p w14:paraId="08D8FA6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建设项目环境风险评价技术导则》（HJ169-2018）可知，建设项目环境风险潜势划分为Ⅰ、Ⅱ、Ⅲ、Ⅳ/Ⅳ+级。根据建设项目涉及的物质和工艺系统的危险性及其所在地的环境敏感程度，结合事故情形下环境影响途径，对建设项目潜在环境危害程度进行概化分析，按照下表确定环境风险潜势。</w:t>
      </w:r>
    </w:p>
    <w:p w14:paraId="583CE746">
      <w:pPr>
        <w:pStyle w:val="11"/>
      </w:pPr>
      <w:r>
        <w:rPr>
          <w:rFonts w:hint="eastAsia"/>
        </w:rPr>
        <w:t xml:space="preserve"> 建设项目环境风险潜势划分</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2"/>
        <w:gridCol w:w="1695"/>
        <w:gridCol w:w="1695"/>
        <w:gridCol w:w="1695"/>
        <w:gridCol w:w="1695"/>
      </w:tblGrid>
      <w:tr w14:paraId="3625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2" w:type="pct"/>
            <w:vMerge w:val="restart"/>
            <w:vAlign w:val="center"/>
          </w:tcPr>
          <w:p w14:paraId="35B62C3E">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环境敏感程度（E）</w:t>
            </w:r>
          </w:p>
        </w:tc>
        <w:tc>
          <w:tcPr>
            <w:tcW w:w="3668" w:type="pct"/>
            <w:gridSpan w:val="4"/>
            <w:vAlign w:val="center"/>
          </w:tcPr>
          <w:p w14:paraId="28CC0697">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危险物质及工艺系统危险性（</w:t>
            </w:r>
            <w:r>
              <w:rPr>
                <w:rFonts w:cs="Times New Roman"/>
                <w:color w:val="0D0D0D" w:themeColor="text1" w:themeTint="F2"/>
                <w:kern w:val="0"/>
                <w:sz w:val="21"/>
                <w:szCs w:val="21"/>
                <w14:textFill>
                  <w14:solidFill>
                    <w14:schemeClr w14:val="tx1">
                      <w14:lumMod w14:val="95000"/>
                      <w14:lumOff w14:val="5000"/>
                    </w14:schemeClr>
                  </w14:solidFill>
                </w14:textFill>
              </w:rPr>
              <w:t>P）</w:t>
            </w:r>
          </w:p>
        </w:tc>
      </w:tr>
      <w:tr w14:paraId="671B2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2" w:type="pct"/>
            <w:vMerge w:val="continue"/>
            <w:vAlign w:val="center"/>
          </w:tcPr>
          <w:p w14:paraId="59C35481">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917" w:type="pct"/>
            <w:vAlign w:val="center"/>
          </w:tcPr>
          <w:p w14:paraId="358DBFA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极高危害（</w:t>
            </w:r>
            <w:r>
              <w:rPr>
                <w:rFonts w:cs="Times New Roman"/>
                <w:color w:val="0D0D0D" w:themeColor="text1" w:themeTint="F2"/>
                <w:kern w:val="0"/>
                <w:sz w:val="21"/>
                <w:szCs w:val="21"/>
                <w14:textFill>
                  <w14:solidFill>
                    <w14:schemeClr w14:val="tx1">
                      <w14:lumMod w14:val="95000"/>
                      <w14:lumOff w14:val="5000"/>
                    </w14:schemeClr>
                  </w14:solidFill>
                </w14:textFill>
              </w:rPr>
              <w:t>P1</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p>
        </w:tc>
        <w:tc>
          <w:tcPr>
            <w:tcW w:w="917" w:type="pct"/>
            <w:vAlign w:val="center"/>
          </w:tcPr>
          <w:p w14:paraId="19FEBEB1">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高度危害（</w:t>
            </w:r>
            <w:r>
              <w:rPr>
                <w:rFonts w:cs="Times New Roman"/>
                <w:color w:val="0D0D0D" w:themeColor="text1" w:themeTint="F2"/>
                <w:kern w:val="0"/>
                <w:sz w:val="21"/>
                <w:szCs w:val="21"/>
                <w14:textFill>
                  <w14:solidFill>
                    <w14:schemeClr w14:val="tx1">
                      <w14:lumMod w14:val="95000"/>
                      <w14:lumOff w14:val="5000"/>
                    </w14:schemeClr>
                  </w14:solidFill>
                </w14:textFill>
              </w:rPr>
              <w:t>P2</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p>
        </w:tc>
        <w:tc>
          <w:tcPr>
            <w:tcW w:w="917" w:type="pct"/>
            <w:vAlign w:val="center"/>
          </w:tcPr>
          <w:p w14:paraId="5CE64F4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中度危害（</w:t>
            </w:r>
            <w:r>
              <w:rPr>
                <w:rFonts w:cs="Times New Roman"/>
                <w:color w:val="0D0D0D" w:themeColor="text1" w:themeTint="F2"/>
                <w:kern w:val="0"/>
                <w:sz w:val="21"/>
                <w:szCs w:val="21"/>
                <w14:textFill>
                  <w14:solidFill>
                    <w14:schemeClr w14:val="tx1">
                      <w14:lumMod w14:val="95000"/>
                      <w14:lumOff w14:val="5000"/>
                    </w14:schemeClr>
                  </w14:solidFill>
                </w14:textFill>
              </w:rPr>
              <w:t>P3</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p>
        </w:tc>
        <w:tc>
          <w:tcPr>
            <w:tcW w:w="917" w:type="pct"/>
            <w:vAlign w:val="center"/>
          </w:tcPr>
          <w:p w14:paraId="0A7C8C3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轻度危害（</w:t>
            </w:r>
            <w:r>
              <w:rPr>
                <w:rFonts w:cs="Times New Roman"/>
                <w:color w:val="0D0D0D" w:themeColor="text1" w:themeTint="F2"/>
                <w:kern w:val="0"/>
                <w:sz w:val="21"/>
                <w:szCs w:val="21"/>
                <w14:textFill>
                  <w14:solidFill>
                    <w14:schemeClr w14:val="tx1">
                      <w14:lumMod w14:val="95000"/>
                      <w14:lumOff w14:val="5000"/>
                    </w14:schemeClr>
                  </w14:solidFill>
                </w14:textFill>
              </w:rPr>
              <w:t>P4</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p>
        </w:tc>
      </w:tr>
      <w:tr w14:paraId="073C0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32" w:type="pct"/>
            <w:vAlign w:val="center"/>
          </w:tcPr>
          <w:p w14:paraId="1839CC7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环境高度敏感区（E</w:t>
            </w:r>
            <w:r>
              <w:rPr>
                <w:rFonts w:cs="Times New Roman"/>
                <w:color w:val="0D0D0D" w:themeColor="text1" w:themeTint="F2"/>
                <w:kern w:val="0"/>
                <w:sz w:val="21"/>
                <w:szCs w:val="21"/>
                <w14:textFill>
                  <w14:solidFill>
                    <w14:schemeClr w14:val="tx1">
                      <w14:lumMod w14:val="95000"/>
                      <w14:lumOff w14:val="5000"/>
                    </w14:schemeClr>
                  </w14:solidFill>
                </w14:textFill>
              </w:rPr>
              <w:t>1</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p>
        </w:tc>
        <w:tc>
          <w:tcPr>
            <w:tcW w:w="917" w:type="pct"/>
            <w:vAlign w:val="center"/>
          </w:tcPr>
          <w:p w14:paraId="7C65968B">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Ⅳ</w:t>
            </w:r>
            <w:r>
              <w:rPr>
                <w:rFonts w:cs="Times New Roman"/>
                <w:color w:val="0D0D0D" w:themeColor="text1" w:themeTint="F2"/>
                <w:sz w:val="21"/>
                <w:szCs w:val="21"/>
                <w:vertAlign w:val="superscript"/>
                <w14:textFill>
                  <w14:solidFill>
                    <w14:schemeClr w14:val="tx1">
                      <w14:lumMod w14:val="95000"/>
                      <w14:lumOff w14:val="5000"/>
                    </w14:schemeClr>
                  </w14:solidFill>
                </w14:textFill>
              </w:rPr>
              <w:t>+</w:t>
            </w:r>
          </w:p>
        </w:tc>
        <w:tc>
          <w:tcPr>
            <w:tcW w:w="917" w:type="pct"/>
            <w:vAlign w:val="center"/>
          </w:tcPr>
          <w:p w14:paraId="604D3DDE">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Ⅳ</w:t>
            </w:r>
          </w:p>
        </w:tc>
        <w:tc>
          <w:tcPr>
            <w:tcW w:w="917" w:type="pct"/>
            <w:vAlign w:val="center"/>
          </w:tcPr>
          <w:p w14:paraId="0E4B52BB">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Ⅲ</w:t>
            </w:r>
          </w:p>
        </w:tc>
        <w:tc>
          <w:tcPr>
            <w:tcW w:w="917" w:type="pct"/>
            <w:vAlign w:val="center"/>
          </w:tcPr>
          <w:p w14:paraId="7AB184AE">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Ⅲ</w:t>
            </w:r>
          </w:p>
        </w:tc>
      </w:tr>
      <w:tr w14:paraId="7BFE1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32" w:type="pct"/>
            <w:vAlign w:val="center"/>
          </w:tcPr>
          <w:p w14:paraId="243D478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环境中度敏感区（E</w:t>
            </w:r>
            <w:r>
              <w:rPr>
                <w:rFonts w:cs="Times New Roman"/>
                <w:color w:val="0D0D0D" w:themeColor="text1" w:themeTint="F2"/>
                <w:kern w:val="0"/>
                <w:sz w:val="21"/>
                <w:szCs w:val="21"/>
                <w14:textFill>
                  <w14:solidFill>
                    <w14:schemeClr w14:val="tx1">
                      <w14:lumMod w14:val="95000"/>
                      <w14:lumOff w14:val="5000"/>
                    </w14:schemeClr>
                  </w14:solidFill>
                </w14:textFill>
              </w:rPr>
              <w:t>2</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p>
        </w:tc>
        <w:tc>
          <w:tcPr>
            <w:tcW w:w="917" w:type="pct"/>
            <w:vAlign w:val="center"/>
          </w:tcPr>
          <w:p w14:paraId="5DEE07F8">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Ⅳ</w:t>
            </w:r>
          </w:p>
        </w:tc>
        <w:tc>
          <w:tcPr>
            <w:tcW w:w="917" w:type="pct"/>
            <w:vAlign w:val="center"/>
          </w:tcPr>
          <w:p w14:paraId="0FB48D9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Ⅲ</w:t>
            </w:r>
          </w:p>
        </w:tc>
        <w:tc>
          <w:tcPr>
            <w:tcW w:w="917" w:type="pct"/>
            <w:vAlign w:val="center"/>
          </w:tcPr>
          <w:p w14:paraId="1CA87AD4">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Ⅲ</w:t>
            </w:r>
          </w:p>
        </w:tc>
        <w:tc>
          <w:tcPr>
            <w:tcW w:w="917" w:type="pct"/>
            <w:vAlign w:val="center"/>
          </w:tcPr>
          <w:p w14:paraId="067CC78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Ⅱ</w:t>
            </w:r>
          </w:p>
        </w:tc>
      </w:tr>
      <w:tr w14:paraId="1DDA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32" w:type="pct"/>
            <w:vAlign w:val="center"/>
          </w:tcPr>
          <w:p w14:paraId="5E50042D">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环境低度敏感区（E</w:t>
            </w:r>
            <w:r>
              <w:rPr>
                <w:rFonts w:cs="Times New Roman"/>
                <w:color w:val="0D0D0D" w:themeColor="text1" w:themeTint="F2"/>
                <w:kern w:val="0"/>
                <w:sz w:val="21"/>
                <w:szCs w:val="21"/>
                <w14:textFill>
                  <w14:solidFill>
                    <w14:schemeClr w14:val="tx1">
                      <w14:lumMod w14:val="95000"/>
                      <w14:lumOff w14:val="5000"/>
                    </w14:schemeClr>
                  </w14:solidFill>
                </w14:textFill>
              </w:rPr>
              <w:t>3</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p>
        </w:tc>
        <w:tc>
          <w:tcPr>
            <w:tcW w:w="917" w:type="pct"/>
            <w:vAlign w:val="center"/>
          </w:tcPr>
          <w:p w14:paraId="3EBD1807">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Ⅲ</w:t>
            </w:r>
          </w:p>
        </w:tc>
        <w:tc>
          <w:tcPr>
            <w:tcW w:w="917" w:type="pct"/>
            <w:vAlign w:val="center"/>
          </w:tcPr>
          <w:p w14:paraId="774F8AA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Ⅲ</w:t>
            </w:r>
          </w:p>
        </w:tc>
        <w:tc>
          <w:tcPr>
            <w:tcW w:w="917" w:type="pct"/>
            <w:vAlign w:val="center"/>
          </w:tcPr>
          <w:p w14:paraId="4187E94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Ⅱ</w:t>
            </w:r>
          </w:p>
        </w:tc>
        <w:tc>
          <w:tcPr>
            <w:tcW w:w="917" w:type="pct"/>
            <w:vAlign w:val="center"/>
          </w:tcPr>
          <w:p w14:paraId="160D78A7">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Ⅰ</w:t>
            </w:r>
          </w:p>
        </w:tc>
      </w:tr>
      <w:tr w14:paraId="753B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5"/>
            <w:vAlign w:val="center"/>
          </w:tcPr>
          <w:p w14:paraId="5D57328D">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注：</w:t>
            </w:r>
            <w:r>
              <w:rPr>
                <w:rFonts w:cs="Times New Roman"/>
                <w:color w:val="0D0D0D" w:themeColor="text1" w:themeTint="F2"/>
                <w:sz w:val="21"/>
                <w:szCs w:val="21"/>
                <w14:textFill>
                  <w14:solidFill>
                    <w14:schemeClr w14:val="tx1">
                      <w14:lumMod w14:val="95000"/>
                      <w14:lumOff w14:val="5000"/>
                    </w14:schemeClr>
                  </w14:solidFill>
                </w14:textFill>
              </w:rPr>
              <w:t>Ⅳ</w:t>
            </w:r>
            <w:r>
              <w:rPr>
                <w:rFonts w:cs="Times New Roman"/>
                <w:color w:val="0D0D0D" w:themeColor="text1" w:themeTint="F2"/>
                <w:sz w:val="21"/>
                <w:szCs w:val="21"/>
                <w:vertAlign w:val="superscript"/>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为极高环境风险。</w:t>
            </w:r>
          </w:p>
        </w:tc>
      </w:tr>
    </w:tbl>
    <w:p w14:paraId="514CF846">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大气环境风险潜势：大气环境风险受体敏感程度（E2），项目危险物质及工艺系统危险性等级为P2，</w:t>
      </w:r>
      <w:bookmarkStart w:id="193" w:name="_Hlk192472949"/>
      <w:r>
        <w:rPr>
          <w:rFonts w:hint="eastAsia"/>
          <w:color w:val="0D0D0D" w:themeColor="text1" w:themeTint="F2"/>
          <w:u w:val="single"/>
          <w14:textFill>
            <w14:solidFill>
              <w14:schemeClr w14:val="tx1">
                <w14:lumMod w14:val="95000"/>
                <w14:lumOff w14:val="5000"/>
              </w14:schemeClr>
            </w14:solidFill>
          </w14:textFill>
        </w:rPr>
        <w:t>因此，</w:t>
      </w:r>
      <w:bookmarkEnd w:id="193"/>
      <w:r>
        <w:rPr>
          <w:rFonts w:hint="eastAsia"/>
          <w:color w:val="0D0D0D" w:themeColor="text1" w:themeTint="F2"/>
          <w:u w:val="single"/>
          <w14:textFill>
            <w14:solidFill>
              <w14:schemeClr w14:val="tx1">
                <w14:lumMod w14:val="95000"/>
                <w14:lumOff w14:val="5000"/>
              </w14:schemeClr>
            </w14:solidFill>
          </w14:textFill>
        </w:rPr>
        <w:t>大气环境风险潜势为Ⅲ。</w:t>
      </w:r>
    </w:p>
    <w:p w14:paraId="10DD6F9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地表水环境风险潜势：地表水环境风险受体敏感程度（E3），项目危险物质及工艺系统危险性等级为P2，因此，地表水环境风险潜势为Ⅲ。</w:t>
      </w:r>
    </w:p>
    <w:p w14:paraId="1A0DFB39">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地下水环境风险潜势：地下水环境风险受体敏感程度（E1），项目危险物质及工艺系统危险性等级为P2，因此，地下水环境风险潜势为Ⅳ。</w:t>
      </w:r>
    </w:p>
    <w:p w14:paraId="1D0E388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建设项目环境风险潜势综合等级取各要素等级的相对高值。根据以上各环境要素风险潜势，项目环境风险潜势综合等级为Ⅳ。</w:t>
      </w:r>
    </w:p>
    <w:p w14:paraId="056A5D9A">
      <w:pPr>
        <w:pStyle w:val="10"/>
      </w:pPr>
      <w:r>
        <w:rPr>
          <w:rFonts w:hint="eastAsia"/>
        </w:rPr>
        <w:t>评价工作级别</w:t>
      </w:r>
    </w:p>
    <w:p w14:paraId="1D0BB3A0">
      <w:pPr>
        <w:ind w:firstLine="480" w:firstLineChars="200"/>
        <w:rPr>
          <w:rFonts w:cs="Times New Roman"/>
          <w:color w:val="0D0D0D" w:themeColor="text1" w:themeTint="F2"/>
          <w:szCs w:val="24"/>
          <w14:textFill>
            <w14:solidFill>
              <w14:schemeClr w14:val="tx1">
                <w14:lumMod w14:val="95000"/>
                <w14:lumOff w14:val="5000"/>
              </w14:schemeClr>
            </w14:solidFill>
          </w14:textFill>
        </w:rPr>
      </w:pPr>
      <w:r>
        <w:rPr>
          <w:rFonts w:cs="Times New Roman"/>
          <w:color w:val="0D0D0D" w:themeColor="text1" w:themeTint="F2"/>
          <w:szCs w:val="24"/>
          <w14:textFill>
            <w14:solidFill>
              <w14:schemeClr w14:val="tx1">
                <w14:lumMod w14:val="95000"/>
                <w14:lumOff w14:val="5000"/>
              </w14:schemeClr>
            </w14:solidFill>
          </w14:textFill>
        </w:rPr>
        <w:t>环境风险评价工作等级划分为一级、二级、三级。根据建设项目涉及的物质及工艺系统危险性和所在地的环境敏感性确定环境风险潜势，按照下表确定评价工作等级。风险潜势为Ⅳ及以上，进行一级评价；风险潜势为Ⅲ，进行二级评价；风险潜势为Ⅱ，进行三级评价；风险潜势为Ⅰ，可开展简单分析。</w:t>
      </w:r>
    </w:p>
    <w:p w14:paraId="64F6C6A8">
      <w:pPr>
        <w:pStyle w:val="11"/>
      </w:pPr>
      <w:r>
        <w:rPr>
          <w:rFonts w:hint="eastAsia"/>
        </w:rPr>
        <w:t xml:space="preserve"> </w:t>
      </w:r>
      <w:r>
        <w:t>评价工作等级划分</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3"/>
        <w:gridCol w:w="2085"/>
        <w:gridCol w:w="900"/>
        <w:gridCol w:w="900"/>
        <w:gridCol w:w="2234"/>
      </w:tblGrid>
      <w:tr w14:paraId="6532B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9" w:type="pct"/>
            <w:vAlign w:val="center"/>
          </w:tcPr>
          <w:p w14:paraId="6A300A7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环境风险潜势</w:t>
            </w:r>
          </w:p>
        </w:tc>
        <w:tc>
          <w:tcPr>
            <w:tcW w:w="1128" w:type="pct"/>
            <w:vAlign w:val="center"/>
          </w:tcPr>
          <w:p w14:paraId="500DBB7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Ⅳ、Ⅳ+</w:t>
            </w:r>
          </w:p>
        </w:tc>
        <w:tc>
          <w:tcPr>
            <w:tcW w:w="487" w:type="pct"/>
            <w:vAlign w:val="center"/>
          </w:tcPr>
          <w:p w14:paraId="39DC937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Ⅲ</w:t>
            </w:r>
          </w:p>
        </w:tc>
        <w:tc>
          <w:tcPr>
            <w:tcW w:w="487" w:type="pct"/>
            <w:vAlign w:val="center"/>
          </w:tcPr>
          <w:p w14:paraId="5E12765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Ⅱ</w:t>
            </w:r>
          </w:p>
        </w:tc>
        <w:tc>
          <w:tcPr>
            <w:tcW w:w="1208" w:type="pct"/>
            <w:vAlign w:val="center"/>
          </w:tcPr>
          <w:p w14:paraId="05533C08">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Ⅰ</w:t>
            </w:r>
          </w:p>
        </w:tc>
      </w:tr>
      <w:tr w14:paraId="6CDFB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9" w:type="pct"/>
            <w:vAlign w:val="center"/>
          </w:tcPr>
          <w:p w14:paraId="64AA4E81">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评价工作等级</w:t>
            </w:r>
          </w:p>
        </w:tc>
        <w:tc>
          <w:tcPr>
            <w:tcW w:w="1128" w:type="pct"/>
            <w:vAlign w:val="center"/>
          </w:tcPr>
          <w:p w14:paraId="74929E8D">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一</w:t>
            </w:r>
          </w:p>
        </w:tc>
        <w:tc>
          <w:tcPr>
            <w:tcW w:w="487" w:type="pct"/>
            <w:vAlign w:val="center"/>
          </w:tcPr>
          <w:p w14:paraId="37D97272">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二</w:t>
            </w:r>
          </w:p>
        </w:tc>
        <w:tc>
          <w:tcPr>
            <w:tcW w:w="487" w:type="pct"/>
            <w:vAlign w:val="center"/>
          </w:tcPr>
          <w:p w14:paraId="2C08568F">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三</w:t>
            </w:r>
          </w:p>
        </w:tc>
        <w:tc>
          <w:tcPr>
            <w:tcW w:w="1208" w:type="pct"/>
            <w:vAlign w:val="center"/>
          </w:tcPr>
          <w:p w14:paraId="56ED68F1">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简单分析</w:t>
            </w:r>
          </w:p>
        </w:tc>
      </w:tr>
    </w:tbl>
    <w:p w14:paraId="5DE97A92">
      <w:pPr>
        <w:ind w:firstLine="480" w:firstLineChars="200"/>
        <w:rPr>
          <w:rFonts w:cs="Times New Roman"/>
          <w:color w:val="0D0D0D" w:themeColor="text1" w:themeTint="F2"/>
          <w:szCs w:val="24"/>
          <w:highlight w:val="yellow"/>
          <w:u w:val="single"/>
          <w14:textFill>
            <w14:solidFill>
              <w14:schemeClr w14:val="tx1">
                <w14:lumMod w14:val="95000"/>
                <w14:lumOff w14:val="5000"/>
              </w14:schemeClr>
            </w14:solidFill>
          </w14:textFill>
        </w:rPr>
      </w:pPr>
      <w:r>
        <w:rPr>
          <w:rFonts w:hint="eastAsia" w:cs="Times New Roman"/>
          <w:color w:val="0D0D0D" w:themeColor="text1" w:themeTint="F2"/>
          <w:szCs w:val="24"/>
          <w:u w:val="single"/>
          <w14:textFill>
            <w14:solidFill>
              <w14:schemeClr w14:val="tx1">
                <w14:lumMod w14:val="95000"/>
                <w14:lumOff w14:val="5000"/>
              </w14:schemeClr>
            </w14:solidFill>
          </w14:textFill>
        </w:rPr>
        <w:t>项目环境风险潜势综合等级为Ⅳ</w:t>
      </w:r>
      <w:r>
        <w:rPr>
          <w:rFonts w:cs="Times New Roman"/>
          <w:color w:val="0D0D0D" w:themeColor="text1" w:themeTint="F2"/>
          <w:szCs w:val="24"/>
          <w:u w:val="single"/>
          <w14:textFill>
            <w14:solidFill>
              <w14:schemeClr w14:val="tx1">
                <w14:lumMod w14:val="95000"/>
                <w14:lumOff w14:val="5000"/>
              </w14:schemeClr>
            </w14:solidFill>
          </w14:textFill>
        </w:rPr>
        <w:t>，因此，项目风险评价等级为</w:t>
      </w:r>
      <w:r>
        <w:rPr>
          <w:rFonts w:hint="eastAsia" w:cs="Times New Roman"/>
          <w:color w:val="0D0D0D" w:themeColor="text1" w:themeTint="F2"/>
          <w:szCs w:val="24"/>
          <w:u w:val="single"/>
          <w14:textFill>
            <w14:solidFill>
              <w14:schemeClr w14:val="tx1">
                <w14:lumMod w14:val="95000"/>
                <w14:lumOff w14:val="5000"/>
              </w14:schemeClr>
            </w14:solidFill>
          </w14:textFill>
        </w:rPr>
        <w:t>一</w:t>
      </w:r>
      <w:r>
        <w:rPr>
          <w:rFonts w:cs="Times New Roman"/>
          <w:color w:val="0D0D0D" w:themeColor="text1" w:themeTint="F2"/>
          <w:szCs w:val="24"/>
          <w:u w:val="single"/>
          <w14:textFill>
            <w14:solidFill>
              <w14:schemeClr w14:val="tx1">
                <w14:lumMod w14:val="95000"/>
                <w14:lumOff w14:val="5000"/>
              </w14:schemeClr>
            </w14:solidFill>
          </w14:textFill>
        </w:rPr>
        <w:t>级。其中，</w:t>
      </w:r>
      <w:r>
        <w:rPr>
          <w:rFonts w:hint="eastAsia" w:cs="Times New Roman"/>
          <w:color w:val="0D0D0D" w:themeColor="text1" w:themeTint="F2"/>
          <w:szCs w:val="24"/>
          <w:u w:val="single"/>
          <w14:textFill>
            <w14:solidFill>
              <w14:schemeClr w14:val="tx1">
                <w14:lumMod w14:val="95000"/>
                <w14:lumOff w14:val="5000"/>
              </w14:schemeClr>
            </w14:solidFill>
          </w14:textFill>
        </w:rPr>
        <w:t>大气环境风险潜势为Ⅲ</w:t>
      </w:r>
      <w:r>
        <w:rPr>
          <w:rFonts w:cs="Times New Roman"/>
          <w:color w:val="0D0D0D" w:themeColor="text1" w:themeTint="F2"/>
          <w:szCs w:val="24"/>
          <w:u w:val="single"/>
          <w14:textFill>
            <w14:solidFill>
              <w14:schemeClr w14:val="tx1">
                <w14:lumMod w14:val="95000"/>
                <w14:lumOff w14:val="5000"/>
              </w14:schemeClr>
            </w14:solidFill>
          </w14:textFill>
        </w:rPr>
        <w:t>，大气环境风险评价等级为</w:t>
      </w:r>
      <w:r>
        <w:rPr>
          <w:rFonts w:hint="eastAsia" w:cs="Times New Roman"/>
          <w:color w:val="0D0D0D" w:themeColor="text1" w:themeTint="F2"/>
          <w:szCs w:val="24"/>
          <w:u w:val="single"/>
          <w14:textFill>
            <w14:solidFill>
              <w14:schemeClr w14:val="tx1">
                <w14:lumMod w14:val="95000"/>
                <w14:lumOff w14:val="5000"/>
              </w14:schemeClr>
            </w14:solidFill>
          </w14:textFill>
        </w:rPr>
        <w:t>二</w:t>
      </w:r>
      <w:r>
        <w:rPr>
          <w:rFonts w:cs="Times New Roman"/>
          <w:color w:val="0D0D0D" w:themeColor="text1" w:themeTint="F2"/>
          <w:szCs w:val="24"/>
          <w:u w:val="single"/>
          <w14:textFill>
            <w14:solidFill>
              <w14:schemeClr w14:val="tx1">
                <w14:lumMod w14:val="95000"/>
                <w14:lumOff w14:val="5000"/>
              </w14:schemeClr>
            </w14:solidFill>
          </w14:textFill>
        </w:rPr>
        <w:t>级；地表水环境风险潜势为Ⅲ，地</w:t>
      </w:r>
      <w:r>
        <w:rPr>
          <w:rFonts w:hint="eastAsia" w:cs="Times New Roman"/>
          <w:color w:val="0D0D0D" w:themeColor="text1" w:themeTint="F2"/>
          <w:szCs w:val="24"/>
          <w:u w:val="single"/>
          <w14:textFill>
            <w14:solidFill>
              <w14:schemeClr w14:val="tx1">
                <w14:lumMod w14:val="95000"/>
                <w14:lumOff w14:val="5000"/>
              </w14:schemeClr>
            </w14:solidFill>
          </w14:textFill>
        </w:rPr>
        <w:t>表水风险评价等级为二级；地下水环境风险潜势为Ⅳ，地下水风险评价等级为一级。</w:t>
      </w:r>
    </w:p>
    <w:p w14:paraId="735BF3AD">
      <w:pPr>
        <w:pStyle w:val="10"/>
      </w:pPr>
      <w:r>
        <w:rPr>
          <w:rFonts w:hint="eastAsia"/>
        </w:rPr>
        <w:t>风险评价范围</w:t>
      </w:r>
    </w:p>
    <w:p w14:paraId="78D7A4B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根据《建设项目环境风险评价技术导则》（HJ169-2018），项目的风险评价范围为：大气环境为项目厂界外5km；地下水环境为项目所在的约7.04km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水文地质单元。</w:t>
      </w:r>
    </w:p>
    <w:p w14:paraId="740BFFE9">
      <w:pPr>
        <w:pStyle w:val="9"/>
      </w:pPr>
      <w:bookmarkStart w:id="194" w:name="_Toc204062655"/>
      <w:r>
        <w:rPr>
          <w:rFonts w:hint="eastAsia"/>
        </w:rPr>
        <w:t>环境风险识别</w:t>
      </w:r>
      <w:bookmarkEnd w:id="194"/>
    </w:p>
    <w:p w14:paraId="2844DAEE">
      <w:pPr>
        <w:pStyle w:val="10"/>
      </w:pPr>
      <w:r>
        <w:rPr>
          <w:rFonts w:hint="eastAsia"/>
        </w:rPr>
        <w:t>物质危险性识别</w:t>
      </w:r>
    </w:p>
    <w:p w14:paraId="7BF4B33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根据项目使用的原辅材料、燃料、污染物、火灾和爆炸伴生/次生物的分析，项目涉及的突发环境事件风险物质包括生物柴油、甲醇、导热油、废机油和柴油。</w:t>
      </w:r>
    </w:p>
    <w:p w14:paraId="4F0E3E7C">
      <w:pPr>
        <w:pStyle w:val="10"/>
      </w:pPr>
      <w:r>
        <w:rPr>
          <w:rFonts w:hint="eastAsia"/>
        </w:rPr>
        <w:t>生产系统的危险性识别</w:t>
      </w:r>
    </w:p>
    <w:p w14:paraId="58CD30E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风险因素主要为管道破损后发生泄漏。输送管道以及输送泵可能因材料质量或施工质量原因发生破损泄漏，包括：</w:t>
      </w:r>
    </w:p>
    <w:p w14:paraId="52DAD5E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（1）管道和配件本身质量原因产生的裂痕、砂眼所产生的泄漏。</w:t>
      </w:r>
    </w:p>
    <w:p w14:paraId="304BF42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（2）管道连接安装操作不规范、技术不熟练造成的泄漏。</w:t>
      </w:r>
    </w:p>
    <w:p w14:paraId="77D70E4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（3）管道预留孔穿越建筑楼面所引起的泄漏。</w:t>
      </w:r>
    </w:p>
    <w:p w14:paraId="36FC9537">
      <w:pPr>
        <w:pStyle w:val="10"/>
      </w:pPr>
      <w:r>
        <w:rPr>
          <w:rFonts w:hint="eastAsia"/>
        </w:rPr>
        <w:t>风险物质向环境转移的途径</w:t>
      </w:r>
    </w:p>
    <w:p w14:paraId="2155B72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（1）环境风险类型</w:t>
      </w:r>
    </w:p>
    <w:p w14:paraId="408CAE9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项目环境风险类型主要为工艺系统存在的危险物质发生泄漏，以及危险物质引发的火灾导致的伴生/次生污染物排放。</w:t>
      </w:r>
    </w:p>
    <w:p w14:paraId="7011FDC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（2）危险物质向环境转移的途径和影响方式</w:t>
      </w:r>
    </w:p>
    <w:p w14:paraId="770F6FB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危险物质中的导热油存在于导热油炉中，不易发生泄漏，且物质本身不易燃不易爆，因此，不易发生环境风险事故，但甲醇、柴油、废机油和生物柴油属于液体且均为易燃品，容易发生泄漏和火灾爆炸等事故，且甲醇极易挥发，发生泄漏时经过大气扩散可能污染大气环境；危险物质经过溢流和渗透可能污染地下水环境；引发火灾、爆炸时，伴生污染物CO经过大气扩散可能污染大气环境，消防废水经过溢流和渗透可能污染土壤、地下水、地表水环境。</w:t>
      </w:r>
    </w:p>
    <w:p w14:paraId="26C4425F">
      <w:pPr>
        <w:pStyle w:val="11"/>
      </w:pPr>
      <w:r>
        <w:rPr>
          <w:rFonts w:hint="eastAsia"/>
        </w:rPr>
        <w:t xml:space="preserve"> 项目风险物质向环境转移的途径一览表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980"/>
        <w:gridCol w:w="2286"/>
        <w:gridCol w:w="4436"/>
      </w:tblGrid>
      <w:tr w14:paraId="68747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2" w:type="pct"/>
            <w:vAlign w:val="center"/>
          </w:tcPr>
          <w:p w14:paraId="453E965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序号</w:t>
            </w:r>
          </w:p>
        </w:tc>
        <w:tc>
          <w:tcPr>
            <w:tcW w:w="1071" w:type="pct"/>
            <w:vAlign w:val="center"/>
          </w:tcPr>
          <w:p w14:paraId="0D1AE49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事故类型</w:t>
            </w:r>
          </w:p>
        </w:tc>
        <w:tc>
          <w:tcPr>
            <w:tcW w:w="1237" w:type="pct"/>
            <w:vAlign w:val="center"/>
          </w:tcPr>
          <w:p w14:paraId="5BBF81C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风险物质</w:t>
            </w:r>
          </w:p>
        </w:tc>
        <w:tc>
          <w:tcPr>
            <w:tcW w:w="2400" w:type="pct"/>
            <w:vAlign w:val="center"/>
          </w:tcPr>
          <w:p w14:paraId="5CE2160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转移途径</w:t>
            </w:r>
          </w:p>
        </w:tc>
      </w:tr>
      <w:tr w14:paraId="2789F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2" w:type="pct"/>
            <w:vAlign w:val="center"/>
          </w:tcPr>
          <w:p w14:paraId="56D2FA8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w:t>
            </w:r>
          </w:p>
        </w:tc>
        <w:tc>
          <w:tcPr>
            <w:tcW w:w="1071" w:type="pct"/>
            <w:vAlign w:val="center"/>
          </w:tcPr>
          <w:p w14:paraId="76E141D0">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设备、管线泄漏/操作失误等</w:t>
            </w:r>
          </w:p>
        </w:tc>
        <w:tc>
          <w:tcPr>
            <w:tcW w:w="1237" w:type="pct"/>
            <w:vAlign w:val="center"/>
          </w:tcPr>
          <w:p w14:paraId="3AA6BAAE">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甲醇、导热油、柴油、废机油和生物柴油</w:t>
            </w:r>
          </w:p>
        </w:tc>
        <w:tc>
          <w:tcPr>
            <w:tcW w:w="2400" w:type="pct"/>
            <w:vAlign w:val="center"/>
          </w:tcPr>
          <w:p w14:paraId="5D0AA182">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（1）甲醇直接挥发进入大气；</w:t>
            </w:r>
          </w:p>
          <w:p w14:paraId="48036373">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（2）甲醇、导热油、柴油、废机油和生物柴油渗入地下污染地下水；</w:t>
            </w:r>
          </w:p>
          <w:p w14:paraId="29547144">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（3）甲醇、导热油、柴油、废机油和生物柴油泄漏后通过厂区雨水排放口进入外环境。</w:t>
            </w:r>
          </w:p>
        </w:tc>
      </w:tr>
      <w:tr w14:paraId="4324E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2" w:type="pct"/>
            <w:vAlign w:val="center"/>
          </w:tcPr>
          <w:p w14:paraId="740FCB3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w:t>
            </w:r>
          </w:p>
        </w:tc>
        <w:tc>
          <w:tcPr>
            <w:tcW w:w="1071" w:type="pct"/>
            <w:vAlign w:val="center"/>
          </w:tcPr>
          <w:p w14:paraId="1CF3398C">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操作失误、管理不当导致发生火灾</w:t>
            </w:r>
          </w:p>
        </w:tc>
        <w:tc>
          <w:tcPr>
            <w:tcW w:w="1237" w:type="pct"/>
            <w:vAlign w:val="center"/>
          </w:tcPr>
          <w:p w14:paraId="39F3776B">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甲醇、柴油、废机油和生物柴油</w:t>
            </w:r>
          </w:p>
        </w:tc>
        <w:tc>
          <w:tcPr>
            <w:tcW w:w="2400" w:type="pct"/>
            <w:vAlign w:val="center"/>
          </w:tcPr>
          <w:p w14:paraId="0C545AFD">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（1）燃烧过程产生的大量CO进入环境空气；</w:t>
            </w:r>
          </w:p>
          <w:p w14:paraId="4C390941">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（2）处置火灾事故产生的消防废水通过雨水排放口进入地表水</w:t>
            </w:r>
          </w:p>
        </w:tc>
      </w:tr>
    </w:tbl>
    <w:p w14:paraId="531F02A5">
      <w:pPr>
        <w:pStyle w:val="9"/>
      </w:pPr>
      <w:bookmarkStart w:id="195" w:name="_Toc204062656"/>
      <w:r>
        <w:rPr>
          <w:rFonts w:hint="eastAsia"/>
        </w:rPr>
        <w:t>风险事故情形</w:t>
      </w:r>
      <w:bookmarkEnd w:id="195"/>
    </w:p>
    <w:p w14:paraId="48379ACF">
      <w:pPr>
        <w:pStyle w:val="10"/>
      </w:pPr>
      <w:r>
        <w:rPr>
          <w:rFonts w:hint="eastAsia"/>
        </w:rPr>
        <w:t>风险事故情形设定</w:t>
      </w:r>
    </w:p>
    <w:p w14:paraId="79659F2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根据《建设项目环境风险评价技术导则》（HJ169-2018）要求，选择对环境影响较大并具有代表性的事故类型，设定风险事故情形。根据项目危险物质的危险特性，具体情形设定详见表5.9-19。</w:t>
      </w:r>
    </w:p>
    <w:p w14:paraId="3B3517F1">
      <w:pPr>
        <w:pStyle w:val="11"/>
      </w:pPr>
      <w:r>
        <w:rPr>
          <w:rFonts w:hint="eastAsia"/>
        </w:rPr>
        <w:t xml:space="preserve"> 环境风险识别表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693"/>
        <w:gridCol w:w="2009"/>
        <w:gridCol w:w="1309"/>
        <w:gridCol w:w="3050"/>
        <w:gridCol w:w="1691"/>
      </w:tblGrid>
      <w:tr w14:paraId="3938C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 w:type="pct"/>
            <w:vAlign w:val="center"/>
          </w:tcPr>
          <w:p w14:paraId="6C9F6C9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序号</w:t>
            </w:r>
          </w:p>
        </w:tc>
        <w:tc>
          <w:tcPr>
            <w:tcW w:w="375" w:type="pct"/>
            <w:vAlign w:val="center"/>
          </w:tcPr>
          <w:p w14:paraId="3B1625A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工艺单元</w:t>
            </w:r>
          </w:p>
        </w:tc>
        <w:tc>
          <w:tcPr>
            <w:tcW w:w="1087" w:type="pct"/>
            <w:vAlign w:val="center"/>
          </w:tcPr>
          <w:p w14:paraId="5BAFBCC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危险物质</w:t>
            </w:r>
          </w:p>
        </w:tc>
        <w:tc>
          <w:tcPr>
            <w:tcW w:w="708" w:type="pct"/>
            <w:vAlign w:val="center"/>
          </w:tcPr>
          <w:p w14:paraId="7FEB00B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风险事故类型</w:t>
            </w:r>
          </w:p>
        </w:tc>
        <w:tc>
          <w:tcPr>
            <w:tcW w:w="1650" w:type="pct"/>
            <w:vAlign w:val="center"/>
          </w:tcPr>
          <w:p w14:paraId="7586D95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事故影响途径</w:t>
            </w:r>
          </w:p>
        </w:tc>
        <w:tc>
          <w:tcPr>
            <w:tcW w:w="915" w:type="pct"/>
            <w:vAlign w:val="center"/>
          </w:tcPr>
          <w:p w14:paraId="514E059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影响目标</w:t>
            </w:r>
          </w:p>
        </w:tc>
      </w:tr>
      <w:tr w14:paraId="15DA9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 w:type="pct"/>
            <w:vAlign w:val="center"/>
          </w:tcPr>
          <w:p w14:paraId="51316E2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w:t>
            </w:r>
          </w:p>
        </w:tc>
        <w:tc>
          <w:tcPr>
            <w:tcW w:w="375" w:type="pct"/>
            <w:vAlign w:val="center"/>
          </w:tcPr>
          <w:p w14:paraId="705B353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生产系统</w:t>
            </w:r>
          </w:p>
        </w:tc>
        <w:tc>
          <w:tcPr>
            <w:tcW w:w="1087" w:type="pct"/>
            <w:vAlign w:val="center"/>
          </w:tcPr>
          <w:p w14:paraId="76156C8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导热油、柴油、废机油和生物柴油</w:t>
            </w:r>
          </w:p>
        </w:tc>
        <w:tc>
          <w:tcPr>
            <w:tcW w:w="708" w:type="pct"/>
            <w:vAlign w:val="center"/>
          </w:tcPr>
          <w:p w14:paraId="2EF1401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泄漏</w:t>
            </w:r>
          </w:p>
        </w:tc>
        <w:tc>
          <w:tcPr>
            <w:tcW w:w="1650" w:type="pct"/>
            <w:vAlign w:val="center"/>
          </w:tcPr>
          <w:p w14:paraId="7834DCD0">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操作失误、设备腐蚀泄漏、材质缺陷物料泄漏通过雨水管网泄漏至地表水体，垂直入渗进入地下水。</w:t>
            </w:r>
          </w:p>
        </w:tc>
        <w:tc>
          <w:tcPr>
            <w:tcW w:w="915" w:type="pct"/>
            <w:vAlign w:val="center"/>
          </w:tcPr>
          <w:p w14:paraId="1F0820AF">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引起地表水污染、地下水污染</w:t>
            </w:r>
          </w:p>
        </w:tc>
      </w:tr>
      <w:tr w14:paraId="388E6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 w:type="pct"/>
            <w:vAlign w:val="center"/>
          </w:tcPr>
          <w:p w14:paraId="7EB7E27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w:t>
            </w:r>
          </w:p>
        </w:tc>
        <w:tc>
          <w:tcPr>
            <w:tcW w:w="375" w:type="pct"/>
            <w:vAlign w:val="center"/>
          </w:tcPr>
          <w:p w14:paraId="6F78EE5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生产系统</w:t>
            </w:r>
          </w:p>
        </w:tc>
        <w:tc>
          <w:tcPr>
            <w:tcW w:w="1087" w:type="pct"/>
            <w:vAlign w:val="center"/>
          </w:tcPr>
          <w:p w14:paraId="0D5C4F1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甲醇、柴油、废机油和生物柴油</w:t>
            </w:r>
          </w:p>
        </w:tc>
        <w:tc>
          <w:tcPr>
            <w:tcW w:w="708" w:type="pct"/>
            <w:vAlign w:val="center"/>
          </w:tcPr>
          <w:p w14:paraId="29538E0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泄漏、火灾</w:t>
            </w:r>
          </w:p>
        </w:tc>
        <w:tc>
          <w:tcPr>
            <w:tcW w:w="1650" w:type="pct"/>
            <w:vAlign w:val="center"/>
          </w:tcPr>
          <w:p w14:paraId="057BBC58">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操作失误、设备腐蚀泄漏、材质缺陷物料泄漏通过雨水管网泄漏至地表水体，垂直入渗进入地下水；遇火源发生火灾通过环境空气扩散至保护目标。</w:t>
            </w:r>
          </w:p>
        </w:tc>
        <w:tc>
          <w:tcPr>
            <w:tcW w:w="915" w:type="pct"/>
            <w:vAlign w:val="center"/>
          </w:tcPr>
          <w:p w14:paraId="76F538BC">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引起地表水污染、地下水污染、环境空气污染</w:t>
            </w:r>
          </w:p>
        </w:tc>
      </w:tr>
      <w:tr w14:paraId="2E109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 w:type="pct"/>
            <w:vAlign w:val="center"/>
          </w:tcPr>
          <w:p w14:paraId="4A8741F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w:t>
            </w:r>
          </w:p>
        </w:tc>
        <w:tc>
          <w:tcPr>
            <w:tcW w:w="375" w:type="pct"/>
            <w:vAlign w:val="center"/>
          </w:tcPr>
          <w:p w14:paraId="41FAD1B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次生污染物</w:t>
            </w:r>
          </w:p>
        </w:tc>
        <w:tc>
          <w:tcPr>
            <w:tcW w:w="1087" w:type="pct"/>
            <w:vAlign w:val="center"/>
          </w:tcPr>
          <w:p w14:paraId="4E4C0E4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CO</w:t>
            </w:r>
          </w:p>
        </w:tc>
        <w:tc>
          <w:tcPr>
            <w:tcW w:w="708" w:type="pct"/>
            <w:vAlign w:val="center"/>
          </w:tcPr>
          <w:p w14:paraId="56CDA25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CO中毒</w:t>
            </w:r>
          </w:p>
        </w:tc>
        <w:tc>
          <w:tcPr>
            <w:tcW w:w="1650" w:type="pct"/>
            <w:vAlign w:val="center"/>
          </w:tcPr>
          <w:p w14:paraId="29DA0C45">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火灾事故燃烧产生次生CO污染环境空气</w:t>
            </w:r>
          </w:p>
        </w:tc>
        <w:tc>
          <w:tcPr>
            <w:tcW w:w="915" w:type="pct"/>
            <w:vAlign w:val="center"/>
          </w:tcPr>
          <w:p w14:paraId="2D158809">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环境空气以及人群健康</w:t>
            </w:r>
          </w:p>
        </w:tc>
      </w:tr>
      <w:tr w14:paraId="3828B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 w:type="pct"/>
            <w:vAlign w:val="center"/>
          </w:tcPr>
          <w:p w14:paraId="3D25C13B">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w:t>
            </w:r>
          </w:p>
        </w:tc>
        <w:tc>
          <w:tcPr>
            <w:tcW w:w="375" w:type="pct"/>
            <w:vAlign w:val="center"/>
          </w:tcPr>
          <w:p w14:paraId="6C72BA4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次生污染物</w:t>
            </w:r>
          </w:p>
        </w:tc>
        <w:tc>
          <w:tcPr>
            <w:tcW w:w="1087" w:type="pct"/>
            <w:vAlign w:val="center"/>
          </w:tcPr>
          <w:p w14:paraId="0862179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消防废水</w:t>
            </w:r>
          </w:p>
        </w:tc>
        <w:tc>
          <w:tcPr>
            <w:tcW w:w="708" w:type="pct"/>
            <w:vAlign w:val="center"/>
          </w:tcPr>
          <w:p w14:paraId="3630640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事故排放</w:t>
            </w:r>
          </w:p>
        </w:tc>
        <w:tc>
          <w:tcPr>
            <w:tcW w:w="1650" w:type="pct"/>
            <w:vAlign w:val="center"/>
          </w:tcPr>
          <w:p w14:paraId="797B699D">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通过雨水管网泄漏至地表水体，垂直入渗进入地下水。</w:t>
            </w:r>
          </w:p>
        </w:tc>
        <w:tc>
          <w:tcPr>
            <w:tcW w:w="915" w:type="pct"/>
            <w:vAlign w:val="center"/>
          </w:tcPr>
          <w:p w14:paraId="0E8FA7E5">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引起地表水污染、地下水污染</w:t>
            </w:r>
          </w:p>
        </w:tc>
      </w:tr>
      <w:tr w14:paraId="5C8D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 w:type="pct"/>
            <w:vAlign w:val="center"/>
          </w:tcPr>
          <w:p w14:paraId="4DFE942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5</w:t>
            </w:r>
          </w:p>
        </w:tc>
        <w:tc>
          <w:tcPr>
            <w:tcW w:w="375" w:type="pct"/>
            <w:vAlign w:val="center"/>
          </w:tcPr>
          <w:p w14:paraId="3A85DEF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废水处理系统</w:t>
            </w:r>
          </w:p>
        </w:tc>
        <w:tc>
          <w:tcPr>
            <w:tcW w:w="1087" w:type="pct"/>
            <w:vAlign w:val="center"/>
          </w:tcPr>
          <w:p w14:paraId="3CC7011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综合废水</w:t>
            </w:r>
          </w:p>
        </w:tc>
        <w:tc>
          <w:tcPr>
            <w:tcW w:w="708" w:type="pct"/>
            <w:vAlign w:val="center"/>
          </w:tcPr>
          <w:p w14:paraId="3982CAD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事故排放</w:t>
            </w:r>
          </w:p>
        </w:tc>
        <w:tc>
          <w:tcPr>
            <w:tcW w:w="1650" w:type="pct"/>
            <w:vAlign w:val="center"/>
          </w:tcPr>
          <w:p w14:paraId="69AD80DC">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事故导致废水未经处理直接排出厂外。</w:t>
            </w:r>
          </w:p>
        </w:tc>
        <w:tc>
          <w:tcPr>
            <w:tcW w:w="915" w:type="pct"/>
            <w:vAlign w:val="center"/>
          </w:tcPr>
          <w:p w14:paraId="40356C7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周边海域</w:t>
            </w:r>
          </w:p>
        </w:tc>
      </w:tr>
      <w:tr w14:paraId="378A4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 w:type="pct"/>
            <w:vAlign w:val="center"/>
          </w:tcPr>
          <w:p w14:paraId="4676F70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6</w:t>
            </w:r>
          </w:p>
        </w:tc>
        <w:tc>
          <w:tcPr>
            <w:tcW w:w="375" w:type="pct"/>
            <w:vAlign w:val="center"/>
          </w:tcPr>
          <w:p w14:paraId="5CF0B49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废气处理系统</w:t>
            </w:r>
          </w:p>
        </w:tc>
        <w:tc>
          <w:tcPr>
            <w:tcW w:w="1087" w:type="pct"/>
            <w:vAlign w:val="center"/>
          </w:tcPr>
          <w:p w14:paraId="194D034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废气（VOCs、氨、硫化氢）</w:t>
            </w:r>
          </w:p>
        </w:tc>
        <w:tc>
          <w:tcPr>
            <w:tcW w:w="708" w:type="pct"/>
            <w:vAlign w:val="center"/>
          </w:tcPr>
          <w:p w14:paraId="3A82E53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事故排放</w:t>
            </w:r>
          </w:p>
        </w:tc>
        <w:tc>
          <w:tcPr>
            <w:tcW w:w="1650" w:type="pct"/>
            <w:vAlign w:val="center"/>
          </w:tcPr>
          <w:p w14:paraId="4AA0AB46">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废气处理设施故障导致废气未经处理超标排放至环境空气中扩散至环境空气保护目标。</w:t>
            </w:r>
          </w:p>
        </w:tc>
        <w:tc>
          <w:tcPr>
            <w:tcW w:w="915" w:type="pct"/>
            <w:vAlign w:val="center"/>
          </w:tcPr>
          <w:p w14:paraId="10D78808">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周边的居民区等环境空气保护目标</w:t>
            </w:r>
          </w:p>
        </w:tc>
      </w:tr>
    </w:tbl>
    <w:p w14:paraId="7958641B">
      <w:pPr>
        <w:pStyle w:val="10"/>
      </w:pPr>
      <w:r>
        <w:rPr>
          <w:rFonts w:hint="eastAsia"/>
        </w:rPr>
        <w:t>最大可信事故</w:t>
      </w:r>
    </w:p>
    <w:p w14:paraId="397E85DA">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根据项目风险因素识别和风险事故调查分析，结合项目生产特点以及采取的安全防范措施，项目最大可行事故确定为甲醇、生物柴油等泄漏事故，危险因子为甲醇、生物柴油等，重大事故类型为中毒、大气污染、火灾和爆炸事故。</w:t>
      </w:r>
    </w:p>
    <w:p w14:paraId="178EB2C9">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根据《建设项目环境风险评价技术导则》（H</w:t>
      </w:r>
      <w:r>
        <w:rPr>
          <w:rFonts w:cs="Times New Roman"/>
          <w:color w:val="0D0D0D" w:themeColor="text1" w:themeTint="F2"/>
          <w:kern w:val="0"/>
          <w:szCs w:val="24"/>
          <w14:textFill>
            <w14:solidFill>
              <w14:schemeClr w14:val="tx1">
                <w14:lumMod w14:val="95000"/>
                <w14:lumOff w14:val="5000"/>
              </w14:schemeClr>
            </w14:solidFill>
          </w14:textFill>
        </w:rPr>
        <w:t>J169-2018</w:t>
      </w:r>
      <w:r>
        <w:rPr>
          <w:rFonts w:hint="eastAsia" w:cs="Times New Roman"/>
          <w:color w:val="0D0D0D" w:themeColor="text1" w:themeTint="F2"/>
          <w:kern w:val="0"/>
          <w:szCs w:val="24"/>
          <w14:textFill>
            <w14:solidFill>
              <w14:schemeClr w14:val="tx1">
                <w14:lumMod w14:val="95000"/>
                <w14:lumOff w14:val="5000"/>
              </w14:schemeClr>
            </w14:solidFill>
          </w14:textFill>
        </w:rPr>
        <w:t>）附录</w:t>
      </w:r>
      <w:r>
        <w:rPr>
          <w:rFonts w:cs="Times New Roman"/>
          <w:color w:val="0D0D0D" w:themeColor="text1" w:themeTint="F2"/>
          <w:kern w:val="0"/>
          <w:szCs w:val="24"/>
          <w14:textFill>
            <w14:solidFill>
              <w14:schemeClr w14:val="tx1">
                <w14:lumMod w14:val="95000"/>
                <w14:lumOff w14:val="5000"/>
              </w14:schemeClr>
            </w14:solidFill>
          </w14:textFill>
        </w:rPr>
        <w:t>E</w:t>
      </w:r>
      <w:r>
        <w:rPr>
          <w:rFonts w:hint="eastAsia" w:cs="Times New Roman"/>
          <w:color w:val="0D0D0D" w:themeColor="text1" w:themeTint="F2"/>
          <w:kern w:val="0"/>
          <w:szCs w:val="24"/>
          <w14:textFill>
            <w14:solidFill>
              <w14:schemeClr w14:val="tx1">
                <w14:lumMod w14:val="95000"/>
                <w14:lumOff w14:val="5000"/>
              </w14:schemeClr>
            </w14:solidFill>
          </w14:textFill>
        </w:rPr>
        <w:t>中的泄漏频率表，项目各项泄漏频率见表5.9-20。</w:t>
      </w:r>
    </w:p>
    <w:p w14:paraId="586D77C6">
      <w:pPr>
        <w:pStyle w:val="11"/>
      </w:pPr>
      <w:r>
        <w:rPr>
          <w:rFonts w:hint="eastAsia"/>
        </w:rPr>
        <w:t xml:space="preserve"> 项目各项泄</w:t>
      </w:r>
      <w:bookmarkStart w:id="196" w:name="_Hlk85622991"/>
      <w:r>
        <w:rPr>
          <w:rFonts w:hint="eastAsia"/>
        </w:rPr>
        <w:t>漏</w:t>
      </w:r>
      <w:bookmarkEnd w:id="196"/>
      <w:r>
        <w:rPr>
          <w:rFonts w:hint="eastAsia"/>
        </w:rPr>
        <w:t>频率一览表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30"/>
        <w:gridCol w:w="3080"/>
        <w:gridCol w:w="2032"/>
      </w:tblGrid>
      <w:tr w14:paraId="749E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34" w:type="pct"/>
            <w:vAlign w:val="center"/>
          </w:tcPr>
          <w:p w14:paraId="7A98CDF4">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部件类型</w:t>
            </w:r>
          </w:p>
        </w:tc>
        <w:tc>
          <w:tcPr>
            <w:tcW w:w="1666" w:type="pct"/>
            <w:vAlign w:val="center"/>
          </w:tcPr>
          <w:p w14:paraId="5322007A">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泄漏模式</w:t>
            </w:r>
          </w:p>
        </w:tc>
        <w:tc>
          <w:tcPr>
            <w:tcW w:w="1099" w:type="pct"/>
            <w:vAlign w:val="center"/>
          </w:tcPr>
          <w:p w14:paraId="5A792574">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泄漏概率</w:t>
            </w:r>
          </w:p>
        </w:tc>
      </w:tr>
      <w:tr w14:paraId="23EB3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34" w:type="pct"/>
            <w:vAlign w:val="center"/>
          </w:tcPr>
          <w:p w14:paraId="0AD9D742">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反应器/工艺储罐/气体储罐/塔器</w:t>
            </w:r>
          </w:p>
        </w:tc>
        <w:tc>
          <w:tcPr>
            <w:tcW w:w="1666" w:type="pct"/>
            <w:vAlign w:val="center"/>
          </w:tcPr>
          <w:p w14:paraId="6223B765">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bookmarkStart w:id="197" w:name="_Hlk85623367"/>
            <w:r>
              <w:rPr>
                <w:rFonts w:hint="eastAsia" w:cs="Times New Roman"/>
                <w:color w:val="0D0D0D" w:themeColor="text1" w:themeTint="F2"/>
                <w:sz w:val="21"/>
                <w:szCs w:val="21"/>
                <w14:textFill>
                  <w14:solidFill>
                    <w14:schemeClr w14:val="tx1">
                      <w14:lumMod w14:val="95000"/>
                      <w14:lumOff w14:val="5000"/>
                    </w14:schemeClr>
                  </w14:solidFill>
                </w14:textFill>
              </w:rPr>
              <w:t>泄漏孔径为</w:t>
            </w:r>
            <w:r>
              <w:rPr>
                <w:rFonts w:cs="Times New Roman"/>
                <w:color w:val="0D0D0D" w:themeColor="text1" w:themeTint="F2"/>
                <w:sz w:val="21"/>
                <w:szCs w:val="21"/>
                <w14:textFill>
                  <w14:solidFill>
                    <w14:schemeClr w14:val="tx1">
                      <w14:lumMod w14:val="95000"/>
                      <w14:lumOff w14:val="5000"/>
                    </w14:schemeClr>
                  </w14:solidFill>
                </w14:textFill>
              </w:rPr>
              <w:t>10mm孔径</w:t>
            </w:r>
          </w:p>
          <w:bookmarkEnd w:id="197"/>
          <w:p w14:paraId="0F3F9548">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10min内储罐泄漏完</w:t>
            </w:r>
          </w:p>
          <w:p w14:paraId="154E9ABD">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储罐全破裂</w:t>
            </w:r>
          </w:p>
        </w:tc>
        <w:tc>
          <w:tcPr>
            <w:tcW w:w="1099" w:type="pct"/>
            <w:vAlign w:val="center"/>
          </w:tcPr>
          <w:p w14:paraId="03930541">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bookmarkStart w:id="198" w:name="_Hlk85623348"/>
            <w:r>
              <w:rPr>
                <w:rFonts w:cs="Times New Roman"/>
                <w:color w:val="0D0D0D" w:themeColor="text1" w:themeTint="F2"/>
                <w:sz w:val="21"/>
                <w:szCs w:val="21"/>
                <w14:textFill>
                  <w14:solidFill>
                    <w14:schemeClr w14:val="tx1">
                      <w14:lumMod w14:val="95000"/>
                      <w14:lumOff w14:val="5000"/>
                    </w14:schemeClr>
                  </w14:solidFill>
                </w14:textFill>
              </w:rPr>
              <w:t>1.00×10</w:t>
            </w:r>
            <w:r>
              <w:rPr>
                <w:rFonts w:cs="Times New Roman"/>
                <w:color w:val="0D0D0D" w:themeColor="text1" w:themeTint="F2"/>
                <w:sz w:val="21"/>
                <w:szCs w:val="21"/>
                <w:vertAlign w:val="superscript"/>
                <w14:textFill>
                  <w14:solidFill>
                    <w14:schemeClr w14:val="tx1">
                      <w14:lumMod w14:val="95000"/>
                      <w14:lumOff w14:val="5000"/>
                    </w14:schemeClr>
                  </w14:solidFill>
                </w14:textFill>
              </w:rPr>
              <w:t>-4</w:t>
            </w:r>
            <w:r>
              <w:rPr>
                <w:rFonts w:cs="Times New Roman"/>
                <w:color w:val="0D0D0D" w:themeColor="text1" w:themeTint="F2"/>
                <w:sz w:val="21"/>
                <w:szCs w:val="21"/>
                <w14:textFill>
                  <w14:solidFill>
                    <w14:schemeClr w14:val="tx1">
                      <w14:lumMod w14:val="95000"/>
                      <w14:lumOff w14:val="5000"/>
                    </w14:schemeClr>
                  </w14:solidFill>
                </w14:textFill>
              </w:rPr>
              <w:t>/年</w:t>
            </w:r>
          </w:p>
          <w:bookmarkEnd w:id="198"/>
          <w:p w14:paraId="3A3D31C1">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5.00×10</w:t>
            </w:r>
            <w:r>
              <w:rPr>
                <w:rFonts w:cs="Times New Roman"/>
                <w:color w:val="0D0D0D" w:themeColor="text1" w:themeTint="F2"/>
                <w:sz w:val="21"/>
                <w:szCs w:val="21"/>
                <w:vertAlign w:val="superscript"/>
                <w14:textFill>
                  <w14:solidFill>
                    <w14:schemeClr w14:val="tx1">
                      <w14:lumMod w14:val="95000"/>
                      <w14:lumOff w14:val="5000"/>
                    </w14:schemeClr>
                  </w14:solidFill>
                </w14:textFill>
              </w:rPr>
              <w:t>-6</w:t>
            </w:r>
            <w:r>
              <w:rPr>
                <w:rFonts w:cs="Times New Roman"/>
                <w:color w:val="0D0D0D" w:themeColor="text1" w:themeTint="F2"/>
                <w:sz w:val="21"/>
                <w:szCs w:val="21"/>
                <w14:textFill>
                  <w14:solidFill>
                    <w14:schemeClr w14:val="tx1">
                      <w14:lumMod w14:val="95000"/>
                      <w14:lumOff w14:val="5000"/>
                    </w14:schemeClr>
                  </w14:solidFill>
                </w14:textFill>
              </w:rPr>
              <w:t>/年</w:t>
            </w:r>
          </w:p>
          <w:p w14:paraId="58AA9A38">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5.00×10</w:t>
            </w:r>
            <w:r>
              <w:rPr>
                <w:rFonts w:cs="Times New Roman"/>
                <w:color w:val="0D0D0D" w:themeColor="text1" w:themeTint="F2"/>
                <w:sz w:val="21"/>
                <w:szCs w:val="21"/>
                <w:vertAlign w:val="superscript"/>
                <w14:textFill>
                  <w14:solidFill>
                    <w14:schemeClr w14:val="tx1">
                      <w14:lumMod w14:val="95000"/>
                      <w14:lumOff w14:val="5000"/>
                    </w14:schemeClr>
                  </w14:solidFill>
                </w14:textFill>
              </w:rPr>
              <w:t>-6</w:t>
            </w:r>
            <w:r>
              <w:rPr>
                <w:rFonts w:cs="Times New Roman"/>
                <w:color w:val="0D0D0D" w:themeColor="text1" w:themeTint="F2"/>
                <w:sz w:val="21"/>
                <w:szCs w:val="21"/>
                <w14:textFill>
                  <w14:solidFill>
                    <w14:schemeClr w14:val="tx1">
                      <w14:lumMod w14:val="95000"/>
                      <w14:lumOff w14:val="5000"/>
                    </w14:schemeClr>
                  </w14:solidFill>
                </w14:textFill>
              </w:rPr>
              <w:t>/年</w:t>
            </w:r>
          </w:p>
        </w:tc>
      </w:tr>
      <w:tr w14:paraId="0EFA4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34" w:type="pct"/>
            <w:vAlign w:val="center"/>
          </w:tcPr>
          <w:p w14:paraId="12FA31D9">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常压单包容储罐</w:t>
            </w:r>
          </w:p>
        </w:tc>
        <w:tc>
          <w:tcPr>
            <w:tcW w:w="1666" w:type="pct"/>
            <w:vAlign w:val="center"/>
          </w:tcPr>
          <w:p w14:paraId="23571E09">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泄漏孔径为</w:t>
            </w:r>
            <w:r>
              <w:rPr>
                <w:rFonts w:cs="Times New Roman"/>
                <w:color w:val="0D0D0D" w:themeColor="text1" w:themeTint="F2"/>
                <w:sz w:val="21"/>
                <w:szCs w:val="21"/>
                <w14:textFill>
                  <w14:solidFill>
                    <w14:schemeClr w14:val="tx1">
                      <w14:lumMod w14:val="95000"/>
                      <w14:lumOff w14:val="5000"/>
                    </w14:schemeClr>
                  </w14:solidFill>
                </w14:textFill>
              </w:rPr>
              <w:t>10mm孔径</w:t>
            </w:r>
          </w:p>
          <w:p w14:paraId="60280EB1">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10min内储罐泄漏完</w:t>
            </w:r>
          </w:p>
          <w:p w14:paraId="7BC88AD1">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储罐全破裂</w:t>
            </w:r>
          </w:p>
        </w:tc>
        <w:tc>
          <w:tcPr>
            <w:tcW w:w="1099" w:type="pct"/>
            <w:vAlign w:val="center"/>
          </w:tcPr>
          <w:p w14:paraId="5782710E">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1.00×10</w:t>
            </w:r>
            <w:r>
              <w:rPr>
                <w:rFonts w:cs="Times New Roman"/>
                <w:color w:val="0D0D0D" w:themeColor="text1" w:themeTint="F2"/>
                <w:sz w:val="21"/>
                <w:szCs w:val="21"/>
                <w:vertAlign w:val="superscript"/>
                <w14:textFill>
                  <w14:solidFill>
                    <w14:schemeClr w14:val="tx1">
                      <w14:lumMod w14:val="95000"/>
                      <w14:lumOff w14:val="5000"/>
                    </w14:schemeClr>
                  </w14:solidFill>
                </w14:textFill>
              </w:rPr>
              <w:t>-4</w:t>
            </w:r>
            <w:r>
              <w:rPr>
                <w:rFonts w:cs="Times New Roman"/>
                <w:color w:val="0D0D0D" w:themeColor="text1" w:themeTint="F2"/>
                <w:sz w:val="21"/>
                <w:szCs w:val="21"/>
                <w14:textFill>
                  <w14:solidFill>
                    <w14:schemeClr w14:val="tx1">
                      <w14:lumMod w14:val="95000"/>
                      <w14:lumOff w14:val="5000"/>
                    </w14:schemeClr>
                  </w14:solidFill>
                </w14:textFill>
              </w:rPr>
              <w:t>/年</w:t>
            </w:r>
          </w:p>
          <w:p w14:paraId="42380D1D">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5.00×10</w:t>
            </w:r>
            <w:r>
              <w:rPr>
                <w:rFonts w:cs="Times New Roman"/>
                <w:color w:val="0D0D0D" w:themeColor="text1" w:themeTint="F2"/>
                <w:sz w:val="21"/>
                <w:szCs w:val="21"/>
                <w:vertAlign w:val="superscript"/>
                <w14:textFill>
                  <w14:solidFill>
                    <w14:schemeClr w14:val="tx1">
                      <w14:lumMod w14:val="95000"/>
                      <w14:lumOff w14:val="5000"/>
                    </w14:schemeClr>
                  </w14:solidFill>
                </w14:textFill>
              </w:rPr>
              <w:t>-6</w:t>
            </w:r>
            <w:r>
              <w:rPr>
                <w:rFonts w:cs="Times New Roman"/>
                <w:color w:val="0D0D0D" w:themeColor="text1" w:themeTint="F2"/>
                <w:sz w:val="21"/>
                <w:szCs w:val="21"/>
                <w14:textFill>
                  <w14:solidFill>
                    <w14:schemeClr w14:val="tx1">
                      <w14:lumMod w14:val="95000"/>
                      <w14:lumOff w14:val="5000"/>
                    </w14:schemeClr>
                  </w14:solidFill>
                </w14:textFill>
              </w:rPr>
              <w:t>/年</w:t>
            </w:r>
          </w:p>
          <w:p w14:paraId="7B5BE201">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5.00×10</w:t>
            </w:r>
            <w:r>
              <w:rPr>
                <w:rFonts w:cs="Times New Roman"/>
                <w:color w:val="0D0D0D" w:themeColor="text1" w:themeTint="F2"/>
                <w:sz w:val="21"/>
                <w:szCs w:val="21"/>
                <w:vertAlign w:val="superscript"/>
                <w14:textFill>
                  <w14:solidFill>
                    <w14:schemeClr w14:val="tx1">
                      <w14:lumMod w14:val="95000"/>
                      <w14:lumOff w14:val="5000"/>
                    </w14:schemeClr>
                  </w14:solidFill>
                </w14:textFill>
              </w:rPr>
              <w:t>-6</w:t>
            </w:r>
            <w:r>
              <w:rPr>
                <w:rFonts w:cs="Times New Roman"/>
                <w:color w:val="0D0D0D" w:themeColor="text1" w:themeTint="F2"/>
                <w:sz w:val="21"/>
                <w:szCs w:val="21"/>
                <w14:textFill>
                  <w14:solidFill>
                    <w14:schemeClr w14:val="tx1">
                      <w14:lumMod w14:val="95000"/>
                      <w14:lumOff w14:val="5000"/>
                    </w14:schemeClr>
                  </w14:solidFill>
                </w14:textFill>
              </w:rPr>
              <w:t>/年</w:t>
            </w:r>
          </w:p>
        </w:tc>
      </w:tr>
      <w:tr w14:paraId="76225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34" w:type="pct"/>
            <w:vAlign w:val="center"/>
          </w:tcPr>
          <w:p w14:paraId="320486FE">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75mm＜内径≤150mm的管道</w:t>
            </w:r>
          </w:p>
        </w:tc>
        <w:tc>
          <w:tcPr>
            <w:tcW w:w="1666" w:type="pct"/>
            <w:vAlign w:val="center"/>
          </w:tcPr>
          <w:p w14:paraId="72BB8AFF">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泄漏孔径为</w:t>
            </w:r>
            <w:r>
              <w:rPr>
                <w:rFonts w:cs="Times New Roman"/>
                <w:color w:val="0D0D0D" w:themeColor="text1" w:themeTint="F2"/>
                <w:sz w:val="21"/>
                <w:szCs w:val="21"/>
                <w14:textFill>
                  <w14:solidFill>
                    <w14:schemeClr w14:val="tx1">
                      <w14:lumMod w14:val="95000"/>
                      <w14:lumOff w14:val="5000"/>
                    </w14:schemeClr>
                  </w14:solidFill>
                </w14:textFill>
              </w:rPr>
              <w:t>10%孔径</w:t>
            </w:r>
          </w:p>
          <w:p w14:paraId="1FD058D7">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全管径泄漏</w:t>
            </w:r>
          </w:p>
        </w:tc>
        <w:tc>
          <w:tcPr>
            <w:tcW w:w="1099" w:type="pct"/>
            <w:vAlign w:val="center"/>
          </w:tcPr>
          <w:p w14:paraId="16ED01DB">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5.00×10</w:t>
            </w:r>
            <w:r>
              <w:rPr>
                <w:rFonts w:cs="Times New Roman"/>
                <w:color w:val="0D0D0D" w:themeColor="text1" w:themeTint="F2"/>
                <w:sz w:val="21"/>
                <w:szCs w:val="21"/>
                <w:vertAlign w:val="superscript"/>
                <w14:textFill>
                  <w14:solidFill>
                    <w14:schemeClr w14:val="tx1">
                      <w14:lumMod w14:val="95000"/>
                      <w14:lumOff w14:val="5000"/>
                    </w14:schemeClr>
                  </w14:solidFill>
                </w14:textFill>
              </w:rPr>
              <w:t>-6</w:t>
            </w:r>
            <w:r>
              <w:rPr>
                <w:rFonts w:cs="Times New Roman"/>
                <w:color w:val="0D0D0D" w:themeColor="text1" w:themeTint="F2"/>
                <w:sz w:val="21"/>
                <w:szCs w:val="21"/>
                <w14:textFill>
                  <w14:solidFill>
                    <w14:schemeClr w14:val="tx1">
                      <w14:lumMod w14:val="95000"/>
                      <w14:lumOff w14:val="5000"/>
                    </w14:schemeClr>
                  </w14:solidFill>
                </w14:textFill>
              </w:rPr>
              <w:t>/</w:t>
            </w:r>
            <w:r>
              <w:rPr>
                <w:rFonts w:hint="eastAsia" w:cs="Times New Roman"/>
                <w:color w:val="0D0D0D" w:themeColor="text1" w:themeTint="F2"/>
                <w:sz w:val="21"/>
                <w:szCs w:val="21"/>
                <w14:textFill>
                  <w14:solidFill>
                    <w14:schemeClr w14:val="tx1">
                      <w14:lumMod w14:val="95000"/>
                      <w14:lumOff w14:val="5000"/>
                    </w14:schemeClr>
                  </w14:solidFill>
                </w14:textFill>
              </w:rPr>
              <w:t>（</w:t>
            </w:r>
            <w:r>
              <w:rPr>
                <w:rFonts w:cs="Times New Roman"/>
                <w:color w:val="0D0D0D" w:themeColor="text1" w:themeTint="F2"/>
                <w:sz w:val="21"/>
                <w:szCs w:val="21"/>
                <w14:textFill>
                  <w14:solidFill>
                    <w14:schemeClr w14:val="tx1">
                      <w14:lumMod w14:val="95000"/>
                      <w14:lumOff w14:val="5000"/>
                    </w14:schemeClr>
                  </w14:solidFill>
                </w14:textFill>
              </w:rPr>
              <w:t>m.a</w:t>
            </w:r>
            <w:r>
              <w:rPr>
                <w:rFonts w:hint="eastAsia" w:cs="Times New Roman"/>
                <w:color w:val="0D0D0D" w:themeColor="text1" w:themeTint="F2"/>
                <w:sz w:val="21"/>
                <w:szCs w:val="21"/>
                <w14:textFill>
                  <w14:solidFill>
                    <w14:schemeClr w14:val="tx1">
                      <w14:lumMod w14:val="95000"/>
                      <w14:lumOff w14:val="5000"/>
                    </w14:schemeClr>
                  </w14:solidFill>
                </w14:textFill>
              </w:rPr>
              <w:t>）</w:t>
            </w:r>
          </w:p>
          <w:p w14:paraId="1D6CE88E">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1.00×10</w:t>
            </w:r>
            <w:r>
              <w:rPr>
                <w:rFonts w:cs="Times New Roman"/>
                <w:color w:val="0D0D0D" w:themeColor="text1" w:themeTint="F2"/>
                <w:sz w:val="21"/>
                <w:szCs w:val="21"/>
                <w:vertAlign w:val="superscript"/>
                <w14:textFill>
                  <w14:solidFill>
                    <w14:schemeClr w14:val="tx1">
                      <w14:lumMod w14:val="95000"/>
                      <w14:lumOff w14:val="5000"/>
                    </w14:schemeClr>
                  </w14:solidFill>
                </w14:textFill>
              </w:rPr>
              <w:t>-6</w:t>
            </w:r>
            <w:r>
              <w:rPr>
                <w:rFonts w:cs="Times New Roman"/>
                <w:color w:val="0D0D0D" w:themeColor="text1" w:themeTint="F2"/>
                <w:sz w:val="21"/>
                <w:szCs w:val="21"/>
                <w14:textFill>
                  <w14:solidFill>
                    <w14:schemeClr w14:val="tx1">
                      <w14:lumMod w14:val="95000"/>
                      <w14:lumOff w14:val="5000"/>
                    </w14:schemeClr>
                  </w14:solidFill>
                </w14:textFill>
              </w:rPr>
              <w:t>/</w:t>
            </w:r>
            <w:r>
              <w:rPr>
                <w:rFonts w:hint="eastAsia" w:cs="Times New Roman"/>
                <w:color w:val="0D0D0D" w:themeColor="text1" w:themeTint="F2"/>
                <w:sz w:val="21"/>
                <w:szCs w:val="21"/>
                <w14:textFill>
                  <w14:solidFill>
                    <w14:schemeClr w14:val="tx1">
                      <w14:lumMod w14:val="95000"/>
                      <w14:lumOff w14:val="5000"/>
                    </w14:schemeClr>
                  </w14:solidFill>
                </w14:textFill>
              </w:rPr>
              <w:t>（</w:t>
            </w:r>
            <w:r>
              <w:rPr>
                <w:rFonts w:cs="Times New Roman"/>
                <w:color w:val="0D0D0D" w:themeColor="text1" w:themeTint="F2"/>
                <w:sz w:val="21"/>
                <w:szCs w:val="21"/>
                <w14:textFill>
                  <w14:solidFill>
                    <w14:schemeClr w14:val="tx1">
                      <w14:lumMod w14:val="95000"/>
                      <w14:lumOff w14:val="5000"/>
                    </w14:schemeClr>
                  </w14:solidFill>
                </w14:textFill>
              </w:rPr>
              <w:t>m.a</w:t>
            </w:r>
            <w:r>
              <w:rPr>
                <w:rFonts w:hint="eastAsia" w:cs="Times New Roman"/>
                <w:color w:val="0D0D0D" w:themeColor="text1" w:themeTint="F2"/>
                <w:sz w:val="21"/>
                <w:szCs w:val="21"/>
                <w14:textFill>
                  <w14:solidFill>
                    <w14:schemeClr w14:val="tx1">
                      <w14:lumMod w14:val="95000"/>
                      <w14:lumOff w14:val="5000"/>
                    </w14:schemeClr>
                  </w14:solidFill>
                </w14:textFill>
              </w:rPr>
              <w:t>）</w:t>
            </w:r>
          </w:p>
        </w:tc>
      </w:tr>
    </w:tbl>
    <w:p w14:paraId="1ED7A76E">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根据上表以及项目储罐区装置情况，项目最大可信事故为甲醇储罐及生物柴油储罐泄漏，概率为</w:t>
      </w:r>
      <w:r>
        <w:rPr>
          <w:rFonts w:cs="Times New Roman"/>
          <w:color w:val="0D0D0D" w:themeColor="text1" w:themeTint="F2"/>
          <w:kern w:val="0"/>
          <w:szCs w:val="24"/>
          <w14:textFill>
            <w14:solidFill>
              <w14:schemeClr w14:val="tx1">
                <w14:lumMod w14:val="95000"/>
                <w14:lumOff w14:val="5000"/>
              </w14:schemeClr>
            </w14:solidFill>
          </w14:textFill>
        </w:rPr>
        <w:t>1.00×10</w:t>
      </w:r>
      <w:r>
        <w:rPr>
          <w:rFonts w:cs="Times New Roman"/>
          <w:color w:val="0D0D0D" w:themeColor="text1" w:themeTint="F2"/>
          <w:kern w:val="0"/>
          <w:szCs w:val="24"/>
          <w:vertAlign w:val="superscript"/>
          <w14:textFill>
            <w14:solidFill>
              <w14:schemeClr w14:val="tx1">
                <w14:lumMod w14:val="95000"/>
                <w14:lumOff w14:val="5000"/>
              </w14:schemeClr>
            </w14:solidFill>
          </w14:textFill>
        </w:rPr>
        <w:t>-4</w:t>
      </w:r>
      <w:r>
        <w:rPr>
          <w:rFonts w:cs="Times New Roman"/>
          <w:color w:val="0D0D0D" w:themeColor="text1" w:themeTint="F2"/>
          <w:kern w:val="0"/>
          <w:szCs w:val="24"/>
          <w14:textFill>
            <w14:solidFill>
              <w14:schemeClr w14:val="tx1">
                <w14:lumMod w14:val="95000"/>
                <w14:lumOff w14:val="5000"/>
              </w14:schemeClr>
            </w14:solidFill>
          </w14:textFill>
        </w:rPr>
        <w:t>/年</w:t>
      </w:r>
      <w:r>
        <w:rPr>
          <w:rFonts w:hint="eastAsia" w:cs="Times New Roman"/>
          <w:color w:val="0D0D0D" w:themeColor="text1" w:themeTint="F2"/>
          <w:kern w:val="0"/>
          <w:szCs w:val="24"/>
          <w14:textFill>
            <w14:solidFill>
              <w14:schemeClr w14:val="tx1">
                <w14:lumMod w14:val="95000"/>
                <w14:lumOff w14:val="5000"/>
              </w14:schemeClr>
            </w14:solidFill>
          </w14:textFill>
        </w:rPr>
        <w:t>（泄漏孔径为</w:t>
      </w:r>
      <w:r>
        <w:rPr>
          <w:rFonts w:cs="Times New Roman"/>
          <w:color w:val="0D0D0D" w:themeColor="text1" w:themeTint="F2"/>
          <w:kern w:val="0"/>
          <w:szCs w:val="24"/>
          <w14:textFill>
            <w14:solidFill>
              <w14:schemeClr w14:val="tx1">
                <w14:lumMod w14:val="95000"/>
                <w14:lumOff w14:val="5000"/>
              </w14:schemeClr>
            </w14:solidFill>
          </w14:textFill>
        </w:rPr>
        <w:t>10mm孔径</w:t>
      </w:r>
      <w:r>
        <w:rPr>
          <w:rFonts w:hint="eastAsia" w:cs="Times New Roman"/>
          <w:color w:val="0D0D0D" w:themeColor="text1" w:themeTint="F2"/>
          <w:kern w:val="0"/>
          <w:szCs w:val="24"/>
          <w14:textFill>
            <w14:solidFill>
              <w14:schemeClr w14:val="tx1">
                <w14:lumMod w14:val="95000"/>
                <w14:lumOff w14:val="5000"/>
              </w14:schemeClr>
            </w14:solidFill>
          </w14:textFill>
        </w:rPr>
        <w:t>）。</w:t>
      </w:r>
    </w:p>
    <w:p w14:paraId="0290212B">
      <w:pPr>
        <w:pStyle w:val="10"/>
      </w:pPr>
      <w:r>
        <w:rPr>
          <w:rFonts w:hint="eastAsia"/>
        </w:rPr>
        <w:t>源项分析</w:t>
      </w:r>
    </w:p>
    <w:p w14:paraId="09591EE6">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（1）甲醇泄漏源项分析</w:t>
      </w:r>
    </w:p>
    <w:p w14:paraId="48DCC44B">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对于甲醇储罐来说，罐体结构均匀且经过严格的质控检验，发生整个容器破裂而泄漏的可能性很小。储罐泄漏事故发生概率最大的地方在于储罐和连接管件的接头处，经常会发生部分跑冒滴漏，特别是维保、安全检查时。若由于操作不当造成甲醇储罐连接件发生破损导致连接不密合，会引发甲醇泄漏，泄漏的甲醇将在围堰中囤积。甲醇会挥发成甲醇废气，将对周边造成影响。</w:t>
      </w:r>
    </w:p>
    <w:p w14:paraId="3B030B43">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项目设置2个3</w:t>
      </w:r>
      <w:r>
        <w:rPr>
          <w:rFonts w:cs="Times New Roman"/>
          <w:color w:val="0D0D0D" w:themeColor="text1" w:themeTint="F2"/>
          <w:kern w:val="0"/>
          <w:szCs w:val="24"/>
          <w:u w:val="single"/>
          <w14:textFill>
            <w14:solidFill>
              <w14:schemeClr w14:val="tx1">
                <w14:lumMod w14:val="95000"/>
                <w14:lumOff w14:val="5000"/>
              </w14:schemeClr>
            </w14:solidFill>
          </w14:textFill>
        </w:rPr>
        <w:t>00m</w:t>
      </w:r>
      <w:r>
        <w:rPr>
          <w:rFonts w:cs="Times New Roman"/>
          <w:color w:val="0D0D0D" w:themeColor="text1" w:themeTint="F2"/>
          <w:kern w:val="0"/>
          <w:szCs w:val="24"/>
          <w:u w:val="single"/>
          <w:vertAlign w:val="superscript"/>
          <w14:textFill>
            <w14:solidFill>
              <w14:schemeClr w14:val="tx1">
                <w14:lumMod w14:val="95000"/>
                <w14:lumOff w14:val="5000"/>
              </w14:schemeClr>
            </w14:solidFill>
          </w14:textFill>
        </w:rPr>
        <w:t>3</w:t>
      </w:r>
      <w:r>
        <w:rPr>
          <w:rFonts w:hint="eastAsia" w:cs="Times New Roman"/>
          <w:color w:val="0D0D0D" w:themeColor="text1" w:themeTint="F2"/>
          <w:kern w:val="0"/>
          <w:szCs w:val="24"/>
          <w:u w:val="single"/>
          <w14:textFill>
            <w14:solidFill>
              <w14:schemeClr w14:val="tx1">
                <w14:lumMod w14:val="95000"/>
                <w14:lumOff w14:val="5000"/>
              </w14:schemeClr>
            </w14:solidFill>
          </w14:textFill>
        </w:rPr>
        <w:t>的9</w:t>
      </w:r>
      <w:r>
        <w:rPr>
          <w:rFonts w:cs="Times New Roman"/>
          <w:color w:val="0D0D0D" w:themeColor="text1" w:themeTint="F2"/>
          <w:kern w:val="0"/>
          <w:szCs w:val="24"/>
          <w:u w:val="single"/>
          <w14:textFill>
            <w14:solidFill>
              <w14:schemeClr w14:val="tx1">
                <w14:lumMod w14:val="95000"/>
                <w14:lumOff w14:val="5000"/>
              </w14:schemeClr>
            </w14:solidFill>
          </w14:textFill>
        </w:rPr>
        <w:t>9.</w:t>
      </w:r>
      <w:r>
        <w:rPr>
          <w:rFonts w:hint="eastAsia" w:cs="Times New Roman"/>
          <w:color w:val="0D0D0D" w:themeColor="text1" w:themeTint="F2"/>
          <w:kern w:val="0"/>
          <w:szCs w:val="24"/>
          <w:u w:val="single"/>
          <w14:textFill>
            <w14:solidFill>
              <w14:schemeClr w14:val="tx1">
                <w14:lumMod w14:val="95000"/>
                <w14:lumOff w14:val="5000"/>
              </w14:schemeClr>
            </w14:solidFill>
          </w14:textFill>
        </w:rPr>
        <w:t>9%甲醇储罐，并配套设置围堰。当发生泄漏时，泄漏的甲醇挥发甲醇废气对周边环境产生不利的影响。</w:t>
      </w:r>
    </w:p>
    <w:p w14:paraId="7ED3DB88">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①甲醇泄漏量</w:t>
      </w:r>
    </w:p>
    <w:p w14:paraId="4E2EB125">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甲醇储罐包括贮罐、管道、阀门、与贮槽</w:t>
      </w:r>
      <w:r>
        <w:rPr>
          <w:rFonts w:hint="eastAsia" w:cs="Times New Roman"/>
          <w:color w:val="0D0D0D" w:themeColor="text1" w:themeTint="F2"/>
          <w:kern w:val="0"/>
          <w:szCs w:val="24"/>
          <w:u w:val="single"/>
          <w:lang w:eastAsia="zh-CN"/>
          <w14:textFill>
            <w14:solidFill>
              <w14:schemeClr w14:val="tx1">
                <w14:lumMod w14:val="95000"/>
                <w14:lumOff w14:val="5000"/>
              </w14:schemeClr>
            </w14:solidFill>
          </w14:textFill>
        </w:rPr>
        <w:t>连接</w:t>
      </w:r>
      <w:r>
        <w:rPr>
          <w:rFonts w:hint="eastAsia" w:cs="Times New Roman"/>
          <w:color w:val="0D0D0D" w:themeColor="text1" w:themeTint="F2"/>
          <w:kern w:val="0"/>
          <w:szCs w:val="24"/>
          <w:u w:val="single"/>
          <w14:textFill>
            <w14:solidFill>
              <w14:schemeClr w14:val="tx1">
                <w14:lumMod w14:val="95000"/>
                <w14:lumOff w14:val="5000"/>
              </w14:schemeClr>
            </w14:solidFill>
          </w14:textFill>
        </w:rPr>
        <w:t>的入罐阀门、输出阀门等，本次计算以小孔泄漏（直径</w:t>
      </w:r>
      <w:r>
        <w:rPr>
          <w:rFonts w:cs="Times New Roman"/>
          <w:color w:val="0D0D0D" w:themeColor="text1" w:themeTint="F2"/>
          <w:kern w:val="0"/>
          <w:szCs w:val="24"/>
          <w:u w:val="single"/>
          <w14:textFill>
            <w14:solidFill>
              <w14:schemeClr w14:val="tx1">
                <w14:lumMod w14:val="95000"/>
                <w14:lumOff w14:val="5000"/>
              </w14:schemeClr>
            </w14:solidFill>
          </w14:textFill>
        </w:rPr>
        <w:t>10mm）作为泄漏的孔径</w:t>
      </w:r>
      <w:r>
        <w:rPr>
          <w:rFonts w:hint="eastAsia" w:cs="Times New Roman"/>
          <w:color w:val="0D0D0D" w:themeColor="text1" w:themeTint="F2"/>
          <w:kern w:val="0"/>
          <w:szCs w:val="24"/>
          <w:u w:val="single"/>
          <w14:textFill>
            <w14:solidFill>
              <w14:schemeClr w14:val="tx1">
                <w14:lumMod w14:val="95000"/>
                <w14:lumOff w14:val="5000"/>
              </w14:schemeClr>
            </w14:solidFill>
          </w14:textFill>
        </w:rPr>
        <w:t>，设定泄漏发生在阀门、接头处，裂口尺寸取阀门的</w:t>
      </w:r>
      <w:r>
        <w:rPr>
          <w:rFonts w:cs="Times New Roman"/>
          <w:color w:val="0D0D0D" w:themeColor="text1" w:themeTint="F2"/>
          <w:kern w:val="0"/>
          <w:szCs w:val="24"/>
          <w:u w:val="single"/>
          <w14:textFill>
            <w14:solidFill>
              <w14:schemeClr w14:val="tx1">
                <w14:lumMod w14:val="95000"/>
                <w14:lumOff w14:val="5000"/>
              </w14:schemeClr>
            </w14:solidFill>
          </w14:textFill>
        </w:rPr>
        <w:t>100%，泄漏孔径为10mm，孔径面积0.785cm</w:t>
      </w:r>
      <w:r>
        <w:rPr>
          <w:rFonts w:cs="Times New Roman"/>
          <w:color w:val="0D0D0D" w:themeColor="text1" w:themeTint="F2"/>
          <w:kern w:val="0"/>
          <w:szCs w:val="24"/>
          <w:u w:val="single"/>
          <w:vertAlign w:val="superscript"/>
          <w14:textFill>
            <w14:solidFill>
              <w14:schemeClr w14:val="tx1">
                <w14:lumMod w14:val="95000"/>
                <w14:lumOff w14:val="5000"/>
              </w14:schemeClr>
            </w14:solidFill>
          </w14:textFill>
        </w:rPr>
        <w:t>2</w:t>
      </w:r>
      <w:r>
        <w:rPr>
          <w:rFonts w:cs="Times New Roman"/>
          <w:color w:val="0D0D0D" w:themeColor="text1" w:themeTint="F2"/>
          <w:kern w:val="0"/>
          <w:szCs w:val="24"/>
          <w:u w:val="single"/>
          <w14:textFill>
            <w14:solidFill>
              <w14:schemeClr w14:val="tx1">
                <w14:lumMod w14:val="95000"/>
                <w14:lumOff w14:val="5000"/>
              </w14:schemeClr>
            </w14:solidFill>
          </w14:textFill>
        </w:rPr>
        <w:t>；</w:t>
      </w:r>
      <w:r>
        <w:rPr>
          <w:rFonts w:hint="eastAsia" w:cs="Times New Roman"/>
          <w:color w:val="0D0D0D" w:themeColor="text1" w:themeTint="F2"/>
          <w:kern w:val="0"/>
          <w:szCs w:val="24"/>
          <w:u w:val="single"/>
          <w14:textFill>
            <w14:solidFill>
              <w14:schemeClr w14:val="tx1">
                <w14:lumMod w14:val="95000"/>
                <w14:lumOff w14:val="5000"/>
              </w14:schemeClr>
            </w14:solidFill>
          </w14:textFill>
        </w:rPr>
        <w:t>泄漏</w:t>
      </w:r>
      <w:r>
        <w:rPr>
          <w:rFonts w:cs="Times New Roman"/>
          <w:color w:val="0D0D0D" w:themeColor="text1" w:themeTint="F2"/>
          <w:kern w:val="0"/>
          <w:szCs w:val="24"/>
          <w:u w:val="single"/>
          <w14:textFill>
            <w14:solidFill>
              <w14:schemeClr w14:val="tx1">
                <w14:lumMod w14:val="95000"/>
                <w14:lumOff w14:val="5000"/>
              </w14:schemeClr>
            </w14:solidFill>
          </w14:textFill>
        </w:rPr>
        <w:t>事故发生后</w:t>
      </w:r>
      <w:r>
        <w:rPr>
          <w:rFonts w:hint="eastAsia" w:cs="Times New Roman"/>
          <w:color w:val="0D0D0D" w:themeColor="text1" w:themeTint="F2"/>
          <w:kern w:val="0"/>
          <w:szCs w:val="24"/>
          <w:u w:val="single"/>
          <w14:textFill>
            <w14:solidFill>
              <w14:schemeClr w14:val="tx1">
                <w14:lumMod w14:val="95000"/>
                <w14:lumOff w14:val="5000"/>
              </w14:schemeClr>
            </w14:solidFill>
          </w14:textFill>
        </w:rPr>
        <w:t>监控系统中的嗅敏仪检测到罐区范围内气体超标，确定事故发生并启动事故报警，控制人员启动事故应急系统，工作人员迅速采取行动，工作人员迅速采取行动带压堵漏</w:t>
      </w:r>
      <w:r>
        <w:rPr>
          <w:rFonts w:cs="Times New Roman"/>
          <w:color w:val="0D0D0D" w:themeColor="text1" w:themeTint="F2"/>
          <w:kern w:val="0"/>
          <w:szCs w:val="24"/>
          <w:u w:val="single"/>
          <w14:textFill>
            <w14:solidFill>
              <w14:schemeClr w14:val="tx1">
                <w14:lumMod w14:val="95000"/>
                <w14:lumOff w14:val="5000"/>
              </w14:schemeClr>
            </w14:solidFill>
          </w14:textFill>
        </w:rPr>
        <w:t>在30min内泄漏得到控制。</w:t>
      </w:r>
    </w:p>
    <w:p w14:paraId="704EA6D0">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当发生储罐破损事故时，液体泄漏速率按《建设项目环境风险评价技术导则》（H</w:t>
      </w:r>
      <w:r>
        <w:rPr>
          <w:rFonts w:cs="Times New Roman"/>
          <w:color w:val="0D0D0D" w:themeColor="text1" w:themeTint="F2"/>
          <w:kern w:val="0"/>
          <w:szCs w:val="24"/>
          <w:u w:val="single"/>
          <w14:textFill>
            <w14:solidFill>
              <w14:schemeClr w14:val="tx1">
                <w14:lumMod w14:val="95000"/>
                <w14:lumOff w14:val="5000"/>
              </w14:schemeClr>
            </w14:solidFill>
          </w14:textFill>
        </w:rPr>
        <w:t>J169-2018</w:t>
      </w:r>
      <w:r>
        <w:rPr>
          <w:rFonts w:hint="eastAsia" w:cs="Times New Roman"/>
          <w:color w:val="0D0D0D" w:themeColor="text1" w:themeTint="F2"/>
          <w:kern w:val="0"/>
          <w:szCs w:val="24"/>
          <w:u w:val="single"/>
          <w14:textFill>
            <w14:solidFill>
              <w14:schemeClr w14:val="tx1">
                <w14:lumMod w14:val="95000"/>
                <w14:lumOff w14:val="5000"/>
              </w14:schemeClr>
            </w14:solidFill>
          </w14:textFill>
        </w:rPr>
        <w:t>）中推荐的伯努利方程进行估算：</w:t>
      </w:r>
    </w:p>
    <w:p w14:paraId="1462799E">
      <w:pPr>
        <w:spacing w:before="312" w:beforeLines="100" w:after="312" w:afterLines="100" w:line="480" w:lineRule="exact"/>
        <w:ind w:firstLine="480" w:firstLineChars="200"/>
        <w:rPr>
          <w:bCs/>
          <w:color w:val="0D0D0D" w:themeColor="text1" w:themeTint="F2"/>
          <w:u w:val="single"/>
          <w14:textFill>
            <w14:solidFill>
              <w14:schemeClr w14:val="tx1">
                <w14:lumMod w14:val="95000"/>
                <w14:lumOff w14:val="5000"/>
              </w14:schemeClr>
            </w14:solidFill>
          </w14:textFill>
        </w:rPr>
      </w:pPr>
      <m:oMathPara>
        <m:oMath>
          <m:sSub>
            <m:sSubPr>
              <m:ctrlPr>
                <w:rPr>
                  <w:rFonts w:ascii="Cambria Math" w:hAnsi="Cambria Math" w:cs="Times New Roman"/>
                  <w:i/>
                  <w:color w:val="0D0D0D" w:themeColor="text1" w:themeTint="F2"/>
                  <w:szCs w:val="24"/>
                  <w:u w:val="single"/>
                  <w14:textFill>
                    <w14:solidFill>
                      <w14:schemeClr w14:val="tx1">
                        <w14:lumMod w14:val="95000"/>
                        <w14:lumOff w14:val="5000"/>
                      </w14:schemeClr>
                    </w14:solidFill>
                  </w14:textFill>
                </w:rPr>
              </m:ctrlPr>
            </m:sSubPr>
            <m:e>
              <m:r>
                <m:rPr/>
                <w:rPr>
                  <w:rFonts w:ascii="Cambria Math" w:hAnsi="Cambria Math"/>
                  <w:color w:val="0D0D0D" w:themeColor="text1" w:themeTint="F2"/>
                  <w:u w:val="single"/>
                  <w14:textFill>
                    <w14:solidFill>
                      <w14:schemeClr w14:val="tx1">
                        <w14:lumMod w14:val="95000"/>
                        <w14:lumOff w14:val="5000"/>
                      </w14:schemeClr>
                    </w14:solidFill>
                  </w14:textFill>
                </w:rPr>
                <m:t>Q</m:t>
              </m:r>
              <m:ctrlPr>
                <w:rPr>
                  <w:rFonts w:ascii="Cambria Math" w:hAnsi="Cambria Math" w:cs="Times New Roman"/>
                  <w:i/>
                  <w:color w:val="0D0D0D" w:themeColor="text1" w:themeTint="F2"/>
                  <w:szCs w:val="24"/>
                  <w:u w:val="single"/>
                  <w14:textFill>
                    <w14:solidFill>
                      <w14:schemeClr w14:val="tx1">
                        <w14:lumMod w14:val="95000"/>
                        <w14:lumOff w14:val="5000"/>
                      </w14:schemeClr>
                    </w14:solidFill>
                  </w14:textFill>
                </w:rPr>
              </m:ctrlPr>
            </m:e>
            <m:sub>
              <m:r>
                <m:rPr/>
                <w:rPr>
                  <w:rFonts w:ascii="Cambria Math" w:hAnsi="Cambria Math"/>
                  <w:color w:val="0D0D0D" w:themeColor="text1" w:themeTint="F2"/>
                  <w:u w:val="single"/>
                  <w14:textFill>
                    <w14:solidFill>
                      <w14:schemeClr w14:val="tx1">
                        <w14:lumMod w14:val="95000"/>
                        <w14:lumOff w14:val="5000"/>
                      </w14:schemeClr>
                    </w14:solidFill>
                  </w14:textFill>
                </w:rPr>
                <m:t>L</m:t>
              </m:r>
              <m:ctrlPr>
                <w:rPr>
                  <w:rFonts w:ascii="Cambria Math" w:hAnsi="Cambria Math" w:cs="Times New Roman"/>
                  <w:i/>
                  <w:color w:val="0D0D0D" w:themeColor="text1" w:themeTint="F2"/>
                  <w:szCs w:val="24"/>
                  <w:u w:val="single"/>
                  <w14:textFill>
                    <w14:solidFill>
                      <w14:schemeClr w14:val="tx1">
                        <w14:lumMod w14:val="95000"/>
                        <w14:lumOff w14:val="5000"/>
                      </w14:schemeClr>
                    </w14:solidFill>
                  </w14:textFill>
                </w:rPr>
              </m:ctrlPr>
            </m:sub>
          </m:sSub>
          <m:r>
            <m:rPr/>
            <w:rPr>
              <w:rFonts w:ascii="Cambria Math" w:hAnsi="Cambria Math"/>
              <w:color w:val="0D0D0D" w:themeColor="text1" w:themeTint="F2"/>
              <w:u w:val="single"/>
              <w14:textFill>
                <w14:solidFill>
                  <w14:schemeClr w14:val="tx1">
                    <w14:lumMod w14:val="95000"/>
                    <w14:lumOff w14:val="5000"/>
                  </w14:schemeClr>
                </w14:solidFill>
              </w14:textFill>
            </w:rPr>
            <m:t>=</m:t>
          </m:r>
          <m:sSub>
            <m:sSubPr>
              <m:ctrlPr>
                <w:rPr>
                  <w:rFonts w:ascii="Cambria Math" w:hAnsi="Cambria Math" w:cs="Times New Roman"/>
                  <w:i/>
                  <w:color w:val="0D0D0D" w:themeColor="text1" w:themeTint="F2"/>
                  <w:szCs w:val="24"/>
                  <w:u w:val="single"/>
                  <w14:textFill>
                    <w14:solidFill>
                      <w14:schemeClr w14:val="tx1">
                        <w14:lumMod w14:val="95000"/>
                        <w14:lumOff w14:val="5000"/>
                      </w14:schemeClr>
                    </w14:solidFill>
                  </w14:textFill>
                </w:rPr>
              </m:ctrlPr>
            </m:sSubPr>
            <m:e>
              <m:r>
                <m:rPr/>
                <w:rPr>
                  <w:rFonts w:ascii="Cambria Math" w:hAnsi="Cambria Math"/>
                  <w:color w:val="0D0D0D" w:themeColor="text1" w:themeTint="F2"/>
                  <w:u w:val="single"/>
                  <w14:textFill>
                    <w14:solidFill>
                      <w14:schemeClr w14:val="tx1">
                        <w14:lumMod w14:val="95000"/>
                        <w14:lumOff w14:val="5000"/>
                      </w14:schemeClr>
                    </w14:solidFill>
                  </w14:textFill>
                </w:rPr>
                <m:t>C</m:t>
              </m:r>
              <m:ctrlPr>
                <w:rPr>
                  <w:rFonts w:ascii="Cambria Math" w:hAnsi="Cambria Math" w:cs="Times New Roman"/>
                  <w:i/>
                  <w:color w:val="0D0D0D" w:themeColor="text1" w:themeTint="F2"/>
                  <w:szCs w:val="24"/>
                  <w:u w:val="single"/>
                  <w14:textFill>
                    <w14:solidFill>
                      <w14:schemeClr w14:val="tx1">
                        <w14:lumMod w14:val="95000"/>
                        <w14:lumOff w14:val="5000"/>
                      </w14:schemeClr>
                    </w14:solidFill>
                  </w14:textFill>
                </w:rPr>
              </m:ctrlPr>
            </m:e>
            <m:sub>
              <m:r>
                <m:rPr/>
                <w:rPr>
                  <w:rFonts w:ascii="Cambria Math" w:hAnsi="Cambria Math"/>
                  <w:color w:val="0D0D0D" w:themeColor="text1" w:themeTint="F2"/>
                  <w:u w:val="single"/>
                  <w14:textFill>
                    <w14:solidFill>
                      <w14:schemeClr w14:val="tx1">
                        <w14:lumMod w14:val="95000"/>
                        <w14:lumOff w14:val="5000"/>
                      </w14:schemeClr>
                    </w14:solidFill>
                  </w14:textFill>
                </w:rPr>
                <m:t>d</m:t>
              </m:r>
              <m:ctrlPr>
                <w:rPr>
                  <w:rFonts w:ascii="Cambria Math" w:hAnsi="Cambria Math" w:cs="Times New Roman"/>
                  <w:i/>
                  <w:color w:val="0D0D0D" w:themeColor="text1" w:themeTint="F2"/>
                  <w:szCs w:val="24"/>
                  <w:u w:val="single"/>
                  <w14:textFill>
                    <w14:solidFill>
                      <w14:schemeClr w14:val="tx1">
                        <w14:lumMod w14:val="95000"/>
                        <w14:lumOff w14:val="5000"/>
                      </w14:schemeClr>
                    </w14:solidFill>
                  </w14:textFill>
                </w:rPr>
              </m:ctrlPr>
            </m:sub>
          </m:sSub>
          <m:r>
            <m:rPr/>
            <w:rPr>
              <w:rFonts w:ascii="Cambria Math" w:hAnsi="Cambria Math"/>
              <w:color w:val="0D0D0D" w:themeColor="text1" w:themeTint="F2"/>
              <w:u w:val="single"/>
              <w14:textFill>
                <w14:solidFill>
                  <w14:schemeClr w14:val="tx1">
                    <w14:lumMod w14:val="95000"/>
                    <w14:lumOff w14:val="5000"/>
                  </w14:schemeClr>
                </w14:solidFill>
              </w14:textFill>
            </w:rPr>
            <m:t>Aρ</m:t>
          </m:r>
          <m:rad>
            <m:radPr>
              <m:degHide m:val="1"/>
              <m:ctrlPr>
                <w:rPr>
                  <w:rFonts w:ascii="Cambria Math" w:hAnsi="Cambria Math" w:cs="Times New Roman"/>
                  <w:i/>
                  <w:color w:val="0D0D0D" w:themeColor="text1" w:themeTint="F2"/>
                  <w:szCs w:val="24"/>
                  <w:u w:val="single"/>
                  <w14:textFill>
                    <w14:solidFill>
                      <w14:schemeClr w14:val="tx1">
                        <w14:lumMod w14:val="95000"/>
                        <w14:lumOff w14:val="5000"/>
                      </w14:schemeClr>
                    </w14:solidFill>
                  </w14:textFill>
                </w:rPr>
              </m:ctrlPr>
            </m:radPr>
            <m:deg>
              <m:ctrlPr>
                <w:rPr>
                  <w:rFonts w:ascii="Cambria Math" w:hAnsi="Cambria Math" w:cs="Times New Roman"/>
                  <w:i/>
                  <w:color w:val="0D0D0D" w:themeColor="text1" w:themeTint="F2"/>
                  <w:szCs w:val="24"/>
                  <w:u w:val="single"/>
                  <w14:textFill>
                    <w14:solidFill>
                      <w14:schemeClr w14:val="tx1">
                        <w14:lumMod w14:val="95000"/>
                        <w14:lumOff w14:val="5000"/>
                      </w14:schemeClr>
                    </w14:solidFill>
                  </w14:textFill>
                </w:rPr>
              </m:ctrlPr>
            </m:deg>
            <m:e>
              <m:f>
                <m:fPr>
                  <m:ctrlPr>
                    <w:rPr>
                      <w:rFonts w:ascii="Cambria Math" w:hAnsi="Cambria Math" w:cs="Times New Roman"/>
                      <w:i/>
                      <w:color w:val="0D0D0D" w:themeColor="text1" w:themeTint="F2"/>
                      <w:szCs w:val="24"/>
                      <w:u w:val="single"/>
                      <w14:textFill>
                        <w14:solidFill>
                          <w14:schemeClr w14:val="tx1">
                            <w14:lumMod w14:val="95000"/>
                            <w14:lumOff w14:val="5000"/>
                          </w14:schemeClr>
                        </w14:solidFill>
                      </w14:textFill>
                    </w:rPr>
                  </m:ctrlPr>
                </m:fPr>
                <m:num>
                  <m:r>
                    <m:rPr/>
                    <w:rPr>
                      <w:rFonts w:ascii="Cambria Math" w:hAnsi="Cambria Math"/>
                      <w:color w:val="0D0D0D" w:themeColor="text1" w:themeTint="F2"/>
                      <w:u w:val="single"/>
                      <w14:textFill>
                        <w14:solidFill>
                          <w14:schemeClr w14:val="tx1">
                            <w14:lumMod w14:val="95000"/>
                            <w14:lumOff w14:val="5000"/>
                          </w14:schemeClr>
                        </w14:solidFill>
                      </w14:textFill>
                    </w:rPr>
                    <m:t>2(P−</m:t>
                  </m:r>
                  <m:sSub>
                    <m:sSubPr>
                      <m:ctrlPr>
                        <w:rPr>
                          <w:rFonts w:ascii="Cambria Math" w:hAnsi="Cambria Math" w:cs="Times New Roman"/>
                          <w:i/>
                          <w:color w:val="0D0D0D" w:themeColor="text1" w:themeTint="F2"/>
                          <w:szCs w:val="24"/>
                          <w:u w:val="single"/>
                          <w14:textFill>
                            <w14:solidFill>
                              <w14:schemeClr w14:val="tx1">
                                <w14:lumMod w14:val="95000"/>
                                <w14:lumOff w14:val="5000"/>
                              </w14:schemeClr>
                            </w14:solidFill>
                          </w14:textFill>
                        </w:rPr>
                      </m:ctrlPr>
                    </m:sSubPr>
                    <m:e>
                      <m:r>
                        <m:rPr/>
                        <w:rPr>
                          <w:rFonts w:ascii="Cambria Math" w:hAnsi="Cambria Math"/>
                          <w:color w:val="0D0D0D" w:themeColor="text1" w:themeTint="F2"/>
                          <w:u w:val="single"/>
                          <w14:textFill>
                            <w14:solidFill>
                              <w14:schemeClr w14:val="tx1">
                                <w14:lumMod w14:val="95000"/>
                                <w14:lumOff w14:val="5000"/>
                              </w14:schemeClr>
                            </w14:solidFill>
                          </w14:textFill>
                        </w:rPr>
                        <m:t>P</m:t>
                      </m:r>
                      <m:ctrlPr>
                        <w:rPr>
                          <w:rFonts w:ascii="Cambria Math" w:hAnsi="Cambria Math" w:cs="Times New Roman"/>
                          <w:i/>
                          <w:color w:val="0D0D0D" w:themeColor="text1" w:themeTint="F2"/>
                          <w:szCs w:val="24"/>
                          <w:u w:val="single"/>
                          <w14:textFill>
                            <w14:solidFill>
                              <w14:schemeClr w14:val="tx1">
                                <w14:lumMod w14:val="95000"/>
                                <w14:lumOff w14:val="5000"/>
                              </w14:schemeClr>
                            </w14:solidFill>
                          </w14:textFill>
                        </w:rPr>
                      </m:ctrlPr>
                    </m:e>
                    <m:sub>
                      <m:r>
                        <m:rPr/>
                        <w:rPr>
                          <w:rFonts w:ascii="Cambria Math" w:hAnsi="Cambria Math"/>
                          <w:color w:val="0D0D0D" w:themeColor="text1" w:themeTint="F2"/>
                          <w:u w:val="single"/>
                          <w14:textFill>
                            <w14:solidFill>
                              <w14:schemeClr w14:val="tx1">
                                <w14:lumMod w14:val="95000"/>
                                <w14:lumOff w14:val="5000"/>
                              </w14:schemeClr>
                            </w14:solidFill>
                          </w14:textFill>
                        </w:rPr>
                        <m:t>0</m:t>
                      </m:r>
                      <m:ctrlPr>
                        <w:rPr>
                          <w:rFonts w:ascii="Cambria Math" w:hAnsi="Cambria Math" w:cs="Times New Roman"/>
                          <w:i/>
                          <w:color w:val="0D0D0D" w:themeColor="text1" w:themeTint="F2"/>
                          <w:szCs w:val="24"/>
                          <w:u w:val="single"/>
                          <w14:textFill>
                            <w14:solidFill>
                              <w14:schemeClr w14:val="tx1">
                                <w14:lumMod w14:val="95000"/>
                                <w14:lumOff w14:val="5000"/>
                              </w14:schemeClr>
                            </w14:solidFill>
                          </w14:textFill>
                        </w:rPr>
                      </m:ctrlPr>
                    </m:sub>
                  </m:sSub>
                  <m:r>
                    <m:rPr/>
                    <w:rPr>
                      <w:rFonts w:ascii="Cambria Math" w:hAnsi="Cambria Math"/>
                      <w:color w:val="0D0D0D" w:themeColor="text1" w:themeTint="F2"/>
                      <w:u w:val="single"/>
                      <w14:textFill>
                        <w14:solidFill>
                          <w14:schemeClr w14:val="tx1">
                            <w14:lumMod w14:val="95000"/>
                            <w14:lumOff w14:val="5000"/>
                          </w14:schemeClr>
                        </w14:solidFill>
                      </w14:textFill>
                    </w:rPr>
                    <m:t>)</m:t>
                  </m:r>
                  <m:ctrlPr>
                    <w:rPr>
                      <w:rFonts w:ascii="Cambria Math" w:hAnsi="Cambria Math" w:cs="Times New Roman"/>
                      <w:i/>
                      <w:color w:val="0D0D0D" w:themeColor="text1" w:themeTint="F2"/>
                      <w:szCs w:val="24"/>
                      <w:u w:val="single"/>
                      <w14:textFill>
                        <w14:solidFill>
                          <w14:schemeClr w14:val="tx1">
                            <w14:lumMod w14:val="95000"/>
                            <w14:lumOff w14:val="5000"/>
                          </w14:schemeClr>
                        </w14:solidFill>
                      </w14:textFill>
                    </w:rPr>
                  </m:ctrlPr>
                </m:num>
                <m:den>
                  <m:r>
                    <m:rPr/>
                    <w:rPr>
                      <w:rFonts w:ascii="Cambria Math" w:hAnsi="Cambria Math"/>
                      <w:color w:val="0D0D0D" w:themeColor="text1" w:themeTint="F2"/>
                      <w:u w:val="single"/>
                      <w14:textFill>
                        <w14:solidFill>
                          <w14:schemeClr w14:val="tx1">
                            <w14:lumMod w14:val="95000"/>
                            <w14:lumOff w14:val="5000"/>
                          </w14:schemeClr>
                        </w14:solidFill>
                      </w14:textFill>
                    </w:rPr>
                    <m:t>ρ</m:t>
                  </m:r>
                  <m:ctrlPr>
                    <w:rPr>
                      <w:rFonts w:ascii="Cambria Math" w:hAnsi="Cambria Math" w:cs="Times New Roman"/>
                      <w:i/>
                      <w:color w:val="0D0D0D" w:themeColor="text1" w:themeTint="F2"/>
                      <w:szCs w:val="24"/>
                      <w:u w:val="single"/>
                      <w14:textFill>
                        <w14:solidFill>
                          <w14:schemeClr w14:val="tx1">
                            <w14:lumMod w14:val="95000"/>
                            <w14:lumOff w14:val="5000"/>
                          </w14:schemeClr>
                        </w14:solidFill>
                      </w14:textFill>
                    </w:rPr>
                  </m:ctrlPr>
                </m:den>
              </m:f>
              <m:r>
                <m:rPr/>
                <w:rPr>
                  <w:rFonts w:ascii="Cambria Math" w:hAnsi="Cambria Math"/>
                  <w:color w:val="0D0D0D" w:themeColor="text1" w:themeTint="F2"/>
                  <w:u w:val="single"/>
                  <w14:textFill>
                    <w14:solidFill>
                      <w14:schemeClr w14:val="tx1">
                        <w14:lumMod w14:val="95000"/>
                        <w14:lumOff w14:val="5000"/>
                      </w14:schemeClr>
                    </w14:solidFill>
                  </w14:textFill>
                </w:rPr>
                <m:t>+2gℎ</m:t>
              </m:r>
              <m:ctrlPr>
                <w:rPr>
                  <w:rFonts w:ascii="Cambria Math" w:hAnsi="Cambria Math" w:cs="Times New Roman"/>
                  <w:i/>
                  <w:color w:val="0D0D0D" w:themeColor="text1" w:themeTint="F2"/>
                  <w:szCs w:val="24"/>
                  <w:u w:val="single"/>
                  <w14:textFill>
                    <w14:solidFill>
                      <w14:schemeClr w14:val="tx1">
                        <w14:lumMod w14:val="95000"/>
                        <w14:lumOff w14:val="5000"/>
                      </w14:schemeClr>
                    </w14:solidFill>
                  </w14:textFill>
                </w:rPr>
              </m:ctrlPr>
            </m:e>
          </m:rad>
        </m:oMath>
      </m:oMathPara>
    </w:p>
    <w:p w14:paraId="65288F4B">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cs="Times New Roman"/>
          <w:color w:val="0D0D0D" w:themeColor="text1" w:themeTint="F2"/>
          <w:kern w:val="0"/>
          <w:szCs w:val="24"/>
          <w:u w:val="single"/>
          <w14:textFill>
            <w14:solidFill>
              <w14:schemeClr w14:val="tx1">
                <w14:lumMod w14:val="95000"/>
                <w14:lumOff w14:val="5000"/>
              </w14:schemeClr>
            </w14:solidFill>
          </w14:textFill>
        </w:rPr>
        <w:t>式中：</w:t>
      </w:r>
    </w:p>
    <w:p w14:paraId="20E06636">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cs="Times New Roman"/>
          <w:color w:val="0D0D0D" w:themeColor="text1" w:themeTint="F2"/>
          <w:kern w:val="0"/>
          <w:szCs w:val="24"/>
          <w:u w:val="single"/>
          <w14:textFill>
            <w14:solidFill>
              <w14:schemeClr w14:val="tx1">
                <w14:lumMod w14:val="95000"/>
                <w14:lumOff w14:val="5000"/>
              </w14:schemeClr>
            </w14:solidFill>
          </w14:textFill>
        </w:rPr>
        <w:t>Q</w:t>
      </w:r>
      <w:r>
        <w:rPr>
          <w:rFonts w:cs="Times New Roman"/>
          <w:color w:val="0D0D0D" w:themeColor="text1" w:themeTint="F2"/>
          <w:kern w:val="0"/>
          <w:szCs w:val="24"/>
          <w:u w:val="single"/>
          <w:vertAlign w:val="subscript"/>
          <w14:textFill>
            <w14:solidFill>
              <w14:schemeClr w14:val="tx1">
                <w14:lumMod w14:val="95000"/>
                <w14:lumOff w14:val="5000"/>
              </w14:schemeClr>
            </w14:solidFill>
          </w14:textFill>
        </w:rPr>
        <w:t>L</w:t>
      </w:r>
      <w:r>
        <w:rPr>
          <w:rFonts w:cs="Times New Roman"/>
          <w:color w:val="0D0D0D" w:themeColor="text1" w:themeTint="F2"/>
          <w:kern w:val="0"/>
          <w:szCs w:val="24"/>
          <w:u w:val="single"/>
          <w14:textFill>
            <w14:solidFill>
              <w14:schemeClr w14:val="tx1">
                <w14:lumMod w14:val="95000"/>
                <w14:lumOff w14:val="5000"/>
              </w14:schemeClr>
            </w14:solidFill>
          </w14:textFill>
        </w:rPr>
        <w:t>—液体泄漏速度，kg/s；</w:t>
      </w:r>
    </w:p>
    <w:p w14:paraId="5BBDE7DA">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cs="Times New Roman"/>
          <w:color w:val="0D0D0D" w:themeColor="text1" w:themeTint="F2"/>
          <w:kern w:val="0"/>
          <w:szCs w:val="24"/>
          <w:u w:val="single"/>
          <w14:textFill>
            <w14:solidFill>
              <w14:schemeClr w14:val="tx1">
                <w14:lumMod w14:val="95000"/>
                <w14:lumOff w14:val="5000"/>
              </w14:schemeClr>
            </w14:solidFill>
          </w14:textFill>
        </w:rPr>
        <w:t>C</w:t>
      </w:r>
      <w:r>
        <w:rPr>
          <w:rFonts w:cs="Times New Roman"/>
          <w:color w:val="0D0D0D" w:themeColor="text1" w:themeTint="F2"/>
          <w:kern w:val="0"/>
          <w:szCs w:val="24"/>
          <w:u w:val="single"/>
          <w:vertAlign w:val="subscript"/>
          <w14:textFill>
            <w14:solidFill>
              <w14:schemeClr w14:val="tx1">
                <w14:lumMod w14:val="95000"/>
                <w14:lumOff w14:val="5000"/>
              </w14:schemeClr>
            </w14:solidFill>
          </w14:textFill>
        </w:rPr>
        <w:t>d</w:t>
      </w:r>
      <w:r>
        <w:rPr>
          <w:rFonts w:cs="Times New Roman"/>
          <w:color w:val="0D0D0D" w:themeColor="text1" w:themeTint="F2"/>
          <w:kern w:val="0"/>
          <w:szCs w:val="24"/>
          <w:u w:val="single"/>
          <w14:textFill>
            <w14:solidFill>
              <w14:schemeClr w14:val="tx1">
                <w14:lumMod w14:val="95000"/>
                <w14:lumOff w14:val="5000"/>
              </w14:schemeClr>
            </w14:solidFill>
          </w14:textFill>
        </w:rPr>
        <w:t>—液体泄漏系数</w:t>
      </w:r>
      <w:r>
        <w:rPr>
          <w:rFonts w:hint="eastAsia" w:cs="Times New Roman"/>
          <w:color w:val="0D0D0D" w:themeColor="text1" w:themeTint="F2"/>
          <w:kern w:val="0"/>
          <w:szCs w:val="24"/>
          <w:u w:val="single"/>
          <w14:textFill>
            <w14:solidFill>
              <w14:schemeClr w14:val="tx1">
                <w14:lumMod w14:val="95000"/>
                <w14:lumOff w14:val="5000"/>
              </w14:schemeClr>
            </w14:solidFill>
          </w14:textFill>
        </w:rPr>
        <w:t>，取0</w:t>
      </w:r>
      <w:r>
        <w:rPr>
          <w:rFonts w:cs="Times New Roman"/>
          <w:color w:val="0D0D0D" w:themeColor="text1" w:themeTint="F2"/>
          <w:kern w:val="0"/>
          <w:szCs w:val="24"/>
          <w:u w:val="single"/>
          <w14:textFill>
            <w14:solidFill>
              <w14:schemeClr w14:val="tx1">
                <w14:lumMod w14:val="95000"/>
                <w14:lumOff w14:val="5000"/>
              </w14:schemeClr>
            </w14:solidFill>
          </w14:textFill>
        </w:rPr>
        <w:t>.65；</w:t>
      </w:r>
    </w:p>
    <w:p w14:paraId="1F7485EA">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cs="Times New Roman"/>
          <w:color w:val="0D0D0D" w:themeColor="text1" w:themeTint="F2"/>
          <w:kern w:val="0"/>
          <w:szCs w:val="24"/>
          <w:u w:val="single"/>
          <w14:textFill>
            <w14:solidFill>
              <w14:schemeClr w14:val="tx1">
                <w14:lumMod w14:val="95000"/>
                <w14:lumOff w14:val="5000"/>
              </w14:schemeClr>
            </w14:solidFill>
          </w14:textFill>
        </w:rPr>
        <w:t>A—裂口面积，m</w:t>
      </w:r>
      <w:r>
        <w:rPr>
          <w:rFonts w:cs="Times New Roman"/>
          <w:color w:val="0D0D0D" w:themeColor="text1" w:themeTint="F2"/>
          <w:kern w:val="0"/>
          <w:szCs w:val="24"/>
          <w:u w:val="single"/>
          <w:vertAlign w:val="superscript"/>
          <w14:textFill>
            <w14:solidFill>
              <w14:schemeClr w14:val="tx1">
                <w14:lumMod w14:val="95000"/>
                <w14:lumOff w14:val="5000"/>
              </w14:schemeClr>
            </w14:solidFill>
          </w14:textFill>
        </w:rPr>
        <w:t>2</w:t>
      </w:r>
      <w:r>
        <w:rPr>
          <w:rFonts w:cs="Times New Roman"/>
          <w:color w:val="0D0D0D" w:themeColor="text1" w:themeTint="F2"/>
          <w:kern w:val="0"/>
          <w:szCs w:val="24"/>
          <w:u w:val="single"/>
          <w14:textFill>
            <w14:solidFill>
              <w14:schemeClr w14:val="tx1">
                <w14:lumMod w14:val="95000"/>
                <w14:lumOff w14:val="5000"/>
              </w14:schemeClr>
            </w14:solidFill>
          </w14:textFill>
        </w:rPr>
        <w:t>，裂口面积0.785cm</w:t>
      </w:r>
      <w:r>
        <w:rPr>
          <w:rFonts w:cs="Times New Roman"/>
          <w:color w:val="0D0D0D" w:themeColor="text1" w:themeTint="F2"/>
          <w:kern w:val="0"/>
          <w:szCs w:val="24"/>
          <w:u w:val="single"/>
          <w:vertAlign w:val="superscript"/>
          <w14:textFill>
            <w14:solidFill>
              <w14:schemeClr w14:val="tx1">
                <w14:lumMod w14:val="95000"/>
                <w14:lumOff w14:val="5000"/>
              </w14:schemeClr>
            </w14:solidFill>
          </w14:textFill>
        </w:rPr>
        <w:t>2</w:t>
      </w:r>
      <w:r>
        <w:rPr>
          <w:rFonts w:cs="Times New Roman"/>
          <w:color w:val="0D0D0D" w:themeColor="text1" w:themeTint="F2"/>
          <w:kern w:val="0"/>
          <w:szCs w:val="24"/>
          <w:u w:val="single"/>
          <w14:textFill>
            <w14:solidFill>
              <w14:schemeClr w14:val="tx1">
                <w14:lumMod w14:val="95000"/>
                <w14:lumOff w14:val="5000"/>
              </w14:schemeClr>
            </w14:solidFill>
          </w14:textFill>
        </w:rPr>
        <w:t>；</w:t>
      </w:r>
    </w:p>
    <w:p w14:paraId="5442352D">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cs="Times New Roman"/>
          <w:color w:val="0D0D0D" w:themeColor="text1" w:themeTint="F2"/>
          <w:kern w:val="0"/>
          <w:szCs w:val="24"/>
          <w:u w:val="single"/>
          <w14:textFill>
            <w14:solidFill>
              <w14:schemeClr w14:val="tx1">
                <w14:lumMod w14:val="95000"/>
                <w14:lumOff w14:val="5000"/>
              </w14:schemeClr>
            </w14:solidFill>
          </w14:textFill>
        </w:rPr>
        <w:t>P—容器内介质压力，Pa</w:t>
      </w:r>
      <w:r>
        <w:rPr>
          <w:rFonts w:hint="eastAsia" w:cs="Times New Roman"/>
          <w:color w:val="0D0D0D" w:themeColor="text1" w:themeTint="F2"/>
          <w:kern w:val="0"/>
          <w:szCs w:val="24"/>
          <w:u w:val="single"/>
          <w14:textFill>
            <w14:solidFill>
              <w14:schemeClr w14:val="tx1">
                <w14:lumMod w14:val="95000"/>
                <w14:lumOff w14:val="5000"/>
              </w14:schemeClr>
            </w14:solidFill>
          </w14:textFill>
        </w:rPr>
        <w:t>，取1</w:t>
      </w:r>
      <w:r>
        <w:rPr>
          <w:rFonts w:cs="Times New Roman"/>
          <w:color w:val="0D0D0D" w:themeColor="text1" w:themeTint="F2"/>
          <w:kern w:val="0"/>
          <w:szCs w:val="24"/>
          <w:u w:val="single"/>
          <w14:textFill>
            <w14:solidFill>
              <w14:schemeClr w14:val="tx1">
                <w14:lumMod w14:val="95000"/>
                <w14:lumOff w14:val="5000"/>
              </w14:schemeClr>
            </w14:solidFill>
          </w14:textFill>
        </w:rPr>
        <w:t>10kP</w:t>
      </w:r>
      <w:r>
        <w:rPr>
          <w:rFonts w:hint="eastAsia" w:cs="Times New Roman"/>
          <w:color w:val="0D0D0D" w:themeColor="text1" w:themeTint="F2"/>
          <w:kern w:val="0"/>
          <w:szCs w:val="24"/>
          <w:u w:val="single"/>
          <w14:textFill>
            <w14:solidFill>
              <w14:schemeClr w14:val="tx1">
                <w14:lumMod w14:val="95000"/>
                <w14:lumOff w14:val="5000"/>
              </w14:schemeClr>
            </w14:solidFill>
          </w14:textFill>
        </w:rPr>
        <w:t>a</w:t>
      </w:r>
      <w:r>
        <w:rPr>
          <w:rFonts w:cs="Times New Roman"/>
          <w:color w:val="0D0D0D" w:themeColor="text1" w:themeTint="F2"/>
          <w:kern w:val="0"/>
          <w:szCs w:val="24"/>
          <w:u w:val="single"/>
          <w14:textFill>
            <w14:solidFill>
              <w14:schemeClr w14:val="tx1">
                <w14:lumMod w14:val="95000"/>
                <w14:lumOff w14:val="5000"/>
              </w14:schemeClr>
            </w14:solidFill>
          </w14:textFill>
        </w:rPr>
        <w:t>；</w:t>
      </w:r>
    </w:p>
    <w:p w14:paraId="0AFEF104">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cs="Times New Roman"/>
          <w:color w:val="0D0D0D" w:themeColor="text1" w:themeTint="F2"/>
          <w:kern w:val="0"/>
          <w:szCs w:val="24"/>
          <w:u w:val="single"/>
          <w14:textFill>
            <w14:solidFill>
              <w14:schemeClr w14:val="tx1">
                <w14:lumMod w14:val="95000"/>
                <w14:lumOff w14:val="5000"/>
              </w14:schemeClr>
            </w14:solidFill>
          </w14:textFill>
        </w:rPr>
        <w:t>P</w:t>
      </w:r>
      <w:r>
        <w:rPr>
          <w:rFonts w:cs="Times New Roman"/>
          <w:color w:val="0D0D0D" w:themeColor="text1" w:themeTint="F2"/>
          <w:kern w:val="0"/>
          <w:szCs w:val="24"/>
          <w:u w:val="single"/>
          <w:vertAlign w:val="subscript"/>
          <w14:textFill>
            <w14:solidFill>
              <w14:schemeClr w14:val="tx1">
                <w14:lumMod w14:val="95000"/>
                <w14:lumOff w14:val="5000"/>
              </w14:schemeClr>
            </w14:solidFill>
          </w14:textFill>
        </w:rPr>
        <w:t>0</w:t>
      </w:r>
      <w:r>
        <w:rPr>
          <w:rFonts w:cs="Times New Roman"/>
          <w:color w:val="0D0D0D" w:themeColor="text1" w:themeTint="F2"/>
          <w:kern w:val="0"/>
          <w:szCs w:val="24"/>
          <w:u w:val="single"/>
          <w14:textFill>
            <w14:solidFill>
              <w14:schemeClr w14:val="tx1">
                <w14:lumMod w14:val="95000"/>
                <w14:lumOff w14:val="5000"/>
              </w14:schemeClr>
            </w14:solidFill>
          </w14:textFill>
        </w:rPr>
        <w:t>—环境压力，Pa</w:t>
      </w:r>
      <w:r>
        <w:rPr>
          <w:rFonts w:hint="eastAsia" w:cs="Times New Roman"/>
          <w:color w:val="0D0D0D" w:themeColor="text1" w:themeTint="F2"/>
          <w:kern w:val="0"/>
          <w:szCs w:val="24"/>
          <w:u w:val="single"/>
          <w14:textFill>
            <w14:solidFill>
              <w14:schemeClr w14:val="tx1">
                <w14:lumMod w14:val="95000"/>
                <w14:lumOff w14:val="5000"/>
              </w14:schemeClr>
            </w14:solidFill>
          </w14:textFill>
        </w:rPr>
        <w:t>，取1</w:t>
      </w:r>
      <w:r>
        <w:rPr>
          <w:rFonts w:cs="Times New Roman"/>
          <w:color w:val="0D0D0D" w:themeColor="text1" w:themeTint="F2"/>
          <w:kern w:val="0"/>
          <w:szCs w:val="24"/>
          <w:u w:val="single"/>
          <w14:textFill>
            <w14:solidFill>
              <w14:schemeClr w14:val="tx1">
                <w14:lumMod w14:val="95000"/>
                <w14:lumOff w14:val="5000"/>
              </w14:schemeClr>
            </w14:solidFill>
          </w14:textFill>
        </w:rPr>
        <w:t>01.325kPa；</w:t>
      </w:r>
    </w:p>
    <w:p w14:paraId="7170EEFB">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cs="Times New Roman"/>
          <w:color w:val="0D0D0D" w:themeColor="text1" w:themeTint="F2"/>
          <w:kern w:val="0"/>
          <w:szCs w:val="24"/>
          <w:u w:val="single"/>
          <w14:textFill>
            <w14:solidFill>
              <w14:schemeClr w14:val="tx1">
                <w14:lumMod w14:val="95000"/>
                <w14:lumOff w14:val="5000"/>
              </w14:schemeClr>
            </w14:solidFill>
          </w14:textFill>
        </w:rPr>
        <w:t>g—重力加速度，9.81m/s</w:t>
      </w:r>
      <w:r>
        <w:rPr>
          <w:rFonts w:cs="Times New Roman"/>
          <w:color w:val="0D0D0D" w:themeColor="text1" w:themeTint="F2"/>
          <w:kern w:val="0"/>
          <w:szCs w:val="24"/>
          <w:u w:val="single"/>
          <w:vertAlign w:val="superscript"/>
          <w14:textFill>
            <w14:solidFill>
              <w14:schemeClr w14:val="tx1">
                <w14:lumMod w14:val="95000"/>
                <w14:lumOff w14:val="5000"/>
              </w14:schemeClr>
            </w14:solidFill>
          </w14:textFill>
        </w:rPr>
        <w:t>2</w:t>
      </w:r>
      <w:r>
        <w:rPr>
          <w:rFonts w:cs="Times New Roman"/>
          <w:color w:val="0D0D0D" w:themeColor="text1" w:themeTint="F2"/>
          <w:kern w:val="0"/>
          <w:szCs w:val="24"/>
          <w:u w:val="single"/>
          <w14:textFill>
            <w14:solidFill>
              <w14:schemeClr w14:val="tx1">
                <w14:lumMod w14:val="95000"/>
                <w14:lumOff w14:val="5000"/>
              </w14:schemeClr>
            </w14:solidFill>
          </w14:textFill>
        </w:rPr>
        <w:t>；</w:t>
      </w:r>
    </w:p>
    <w:p w14:paraId="148D0CCC">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cs="Times New Roman"/>
          <w:color w:val="0D0D0D" w:themeColor="text1" w:themeTint="F2"/>
          <w:kern w:val="0"/>
          <w:szCs w:val="24"/>
          <w:u w:val="single"/>
          <w14:textFill>
            <w14:solidFill>
              <w14:schemeClr w14:val="tx1">
                <w14:lumMod w14:val="95000"/>
                <w14:lumOff w14:val="5000"/>
              </w14:schemeClr>
            </w14:solidFill>
          </w14:textFill>
        </w:rPr>
        <w:t>ρ—液体密度，kg/m</w:t>
      </w:r>
      <w:r>
        <w:rPr>
          <w:rFonts w:cs="Times New Roman"/>
          <w:color w:val="0D0D0D" w:themeColor="text1" w:themeTint="F2"/>
          <w:kern w:val="0"/>
          <w:szCs w:val="24"/>
          <w:u w:val="single"/>
          <w:vertAlign w:val="superscript"/>
          <w14:textFill>
            <w14:solidFill>
              <w14:schemeClr w14:val="tx1">
                <w14:lumMod w14:val="95000"/>
                <w14:lumOff w14:val="5000"/>
              </w14:schemeClr>
            </w14:solidFill>
          </w14:textFill>
        </w:rPr>
        <w:t>3</w:t>
      </w:r>
      <w:r>
        <w:rPr>
          <w:rFonts w:cs="Times New Roman"/>
          <w:color w:val="0D0D0D" w:themeColor="text1" w:themeTint="F2"/>
          <w:kern w:val="0"/>
          <w:szCs w:val="24"/>
          <w:u w:val="single"/>
          <w14:textFill>
            <w14:solidFill>
              <w14:schemeClr w14:val="tx1">
                <w14:lumMod w14:val="95000"/>
                <w14:lumOff w14:val="5000"/>
              </w14:schemeClr>
            </w14:solidFill>
          </w14:textFill>
        </w:rPr>
        <w:t>，</w:t>
      </w:r>
      <w:r>
        <w:rPr>
          <w:rFonts w:hint="eastAsia" w:cs="Times New Roman"/>
          <w:color w:val="0D0D0D" w:themeColor="text1" w:themeTint="F2"/>
          <w:kern w:val="0"/>
          <w:szCs w:val="24"/>
          <w:u w:val="single"/>
          <w14:textFill>
            <w14:solidFill>
              <w14:schemeClr w14:val="tx1">
                <w14:lumMod w14:val="95000"/>
                <w14:lumOff w14:val="5000"/>
              </w14:schemeClr>
            </w14:solidFill>
          </w14:textFill>
        </w:rPr>
        <w:t>99.9</w:t>
      </w:r>
      <w:r>
        <w:rPr>
          <w:rFonts w:cs="Times New Roman"/>
          <w:color w:val="0D0D0D" w:themeColor="text1" w:themeTint="F2"/>
          <w:kern w:val="0"/>
          <w:szCs w:val="24"/>
          <w:u w:val="single"/>
          <w14:textFill>
            <w14:solidFill>
              <w14:schemeClr w14:val="tx1">
                <w14:lumMod w14:val="95000"/>
                <w14:lumOff w14:val="5000"/>
              </w14:schemeClr>
            </w14:solidFill>
          </w14:textFill>
        </w:rPr>
        <w:t>%</w:t>
      </w:r>
      <w:r>
        <w:rPr>
          <w:rFonts w:hint="eastAsia" w:cs="Times New Roman"/>
          <w:color w:val="0D0D0D" w:themeColor="text1" w:themeTint="F2"/>
          <w:kern w:val="0"/>
          <w:szCs w:val="24"/>
          <w:u w:val="single"/>
          <w14:textFill>
            <w14:solidFill>
              <w14:schemeClr w14:val="tx1">
                <w14:lumMod w14:val="95000"/>
                <w14:lumOff w14:val="5000"/>
              </w14:schemeClr>
            </w14:solidFill>
          </w14:textFill>
        </w:rPr>
        <w:t>甲醇溶液</w:t>
      </w:r>
      <w:r>
        <w:rPr>
          <w:rFonts w:cs="Times New Roman"/>
          <w:color w:val="0D0D0D" w:themeColor="text1" w:themeTint="F2"/>
          <w:kern w:val="0"/>
          <w:szCs w:val="24"/>
          <w:u w:val="single"/>
          <w14:textFill>
            <w14:solidFill>
              <w14:schemeClr w14:val="tx1">
                <w14:lumMod w14:val="95000"/>
                <w14:lumOff w14:val="5000"/>
              </w14:schemeClr>
            </w14:solidFill>
          </w14:textFill>
        </w:rPr>
        <w:t>密度</w:t>
      </w:r>
      <w:r>
        <w:rPr>
          <w:rFonts w:hint="eastAsia" w:cs="Times New Roman"/>
          <w:color w:val="0D0D0D" w:themeColor="text1" w:themeTint="F2"/>
          <w:kern w:val="0"/>
          <w:szCs w:val="24"/>
          <w:u w:val="single"/>
          <w14:textFill>
            <w14:solidFill>
              <w14:schemeClr w14:val="tx1">
                <w14:lumMod w14:val="95000"/>
                <w14:lumOff w14:val="5000"/>
              </w14:schemeClr>
            </w14:solidFill>
          </w14:textFill>
        </w:rPr>
        <w:t>为792</w:t>
      </w:r>
      <w:r>
        <w:rPr>
          <w:rFonts w:cs="Times New Roman"/>
          <w:color w:val="0D0D0D" w:themeColor="text1" w:themeTint="F2"/>
          <w:kern w:val="0"/>
          <w:szCs w:val="24"/>
          <w:u w:val="single"/>
          <w14:textFill>
            <w14:solidFill>
              <w14:schemeClr w14:val="tx1">
                <w14:lumMod w14:val="95000"/>
                <w14:lumOff w14:val="5000"/>
              </w14:schemeClr>
            </w14:solidFill>
          </w14:textFill>
        </w:rPr>
        <w:t>kg/m</w:t>
      </w:r>
      <w:r>
        <w:rPr>
          <w:rFonts w:cs="Times New Roman"/>
          <w:color w:val="0D0D0D" w:themeColor="text1" w:themeTint="F2"/>
          <w:kern w:val="0"/>
          <w:szCs w:val="24"/>
          <w:u w:val="single"/>
          <w:vertAlign w:val="superscript"/>
          <w14:textFill>
            <w14:solidFill>
              <w14:schemeClr w14:val="tx1">
                <w14:lumMod w14:val="95000"/>
                <w14:lumOff w14:val="5000"/>
              </w14:schemeClr>
            </w14:solidFill>
          </w14:textFill>
        </w:rPr>
        <w:t>3</w:t>
      </w:r>
      <w:r>
        <w:rPr>
          <w:rFonts w:cs="Times New Roman"/>
          <w:color w:val="0D0D0D" w:themeColor="text1" w:themeTint="F2"/>
          <w:kern w:val="0"/>
          <w:szCs w:val="24"/>
          <w:u w:val="single"/>
          <w14:textFill>
            <w14:solidFill>
              <w14:schemeClr w14:val="tx1">
                <w14:lumMod w14:val="95000"/>
                <w14:lumOff w14:val="5000"/>
              </w14:schemeClr>
            </w14:solidFill>
          </w14:textFill>
        </w:rPr>
        <w:t>；</w:t>
      </w:r>
    </w:p>
    <w:p w14:paraId="02309A19">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cs="Times New Roman"/>
          <w:color w:val="0D0D0D" w:themeColor="text1" w:themeTint="F2"/>
          <w:kern w:val="0"/>
          <w:szCs w:val="24"/>
          <w:u w:val="single"/>
          <w14:textFill>
            <w14:solidFill>
              <w14:schemeClr w14:val="tx1">
                <w14:lumMod w14:val="95000"/>
                <w14:lumOff w14:val="5000"/>
              </w14:schemeClr>
            </w14:solidFill>
          </w14:textFill>
        </w:rPr>
        <w:t>h—裂口之上液位高度，m，本次</w:t>
      </w:r>
      <w:r>
        <w:rPr>
          <w:rFonts w:hint="eastAsia" w:cs="Times New Roman"/>
          <w:color w:val="0D0D0D" w:themeColor="text1" w:themeTint="F2"/>
          <w:kern w:val="0"/>
          <w:szCs w:val="24"/>
          <w:u w:val="single"/>
          <w14:textFill>
            <w14:solidFill>
              <w14:schemeClr w14:val="tx1">
                <w14:lumMod w14:val="95000"/>
                <w14:lumOff w14:val="5000"/>
              </w14:schemeClr>
            </w14:solidFill>
          </w14:textFill>
        </w:rPr>
        <w:t>泄漏</w:t>
      </w:r>
      <w:r>
        <w:rPr>
          <w:rFonts w:cs="Times New Roman"/>
          <w:color w:val="0D0D0D" w:themeColor="text1" w:themeTint="F2"/>
          <w:kern w:val="0"/>
          <w:szCs w:val="24"/>
          <w:u w:val="single"/>
          <w14:textFill>
            <w14:solidFill>
              <w14:schemeClr w14:val="tx1">
                <w14:lumMod w14:val="95000"/>
                <w14:lumOff w14:val="5000"/>
              </w14:schemeClr>
            </w14:solidFill>
          </w14:textFill>
        </w:rPr>
        <w:t>取5m。</w:t>
      </w:r>
    </w:p>
    <w:p w14:paraId="1D945619">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经计算，项目甲醇泄漏速率Q</w:t>
      </w:r>
      <w:r>
        <w:rPr>
          <w:rFonts w:cs="Times New Roman"/>
          <w:color w:val="0D0D0D" w:themeColor="text1" w:themeTint="F2"/>
          <w:kern w:val="0"/>
          <w:szCs w:val="24"/>
          <w:u w:val="single"/>
          <w:vertAlign w:val="subscript"/>
          <w14:textFill>
            <w14:solidFill>
              <w14:schemeClr w14:val="tx1">
                <w14:lumMod w14:val="95000"/>
                <w14:lumOff w14:val="5000"/>
              </w14:schemeClr>
            </w14:solidFill>
          </w14:textFill>
        </w:rPr>
        <w:t>L</w:t>
      </w:r>
      <w:r>
        <w:rPr>
          <w:rFonts w:hint="eastAsia" w:cs="Times New Roman"/>
          <w:color w:val="0D0D0D" w:themeColor="text1" w:themeTint="F2"/>
          <w:kern w:val="0"/>
          <w:szCs w:val="24"/>
          <w:u w:val="single"/>
          <w14:textFill>
            <w14:solidFill>
              <w14:schemeClr w14:val="tx1">
                <w14:lumMod w14:val="95000"/>
                <w14:lumOff w14:val="5000"/>
              </w14:schemeClr>
            </w14:solidFill>
          </w14:textFill>
        </w:rPr>
        <w:t>为0</w:t>
      </w:r>
      <w:r>
        <w:rPr>
          <w:rFonts w:cs="Times New Roman"/>
          <w:color w:val="0D0D0D" w:themeColor="text1" w:themeTint="F2"/>
          <w:kern w:val="0"/>
          <w:szCs w:val="24"/>
          <w:u w:val="single"/>
          <w14:textFill>
            <w14:solidFill>
              <w14:schemeClr w14:val="tx1">
                <w14:lumMod w14:val="95000"/>
                <w14:lumOff w14:val="5000"/>
              </w14:schemeClr>
            </w14:solidFill>
          </w14:textFill>
        </w:rPr>
        <w:t>.442</w:t>
      </w:r>
      <w:r>
        <w:rPr>
          <w:rFonts w:hint="eastAsia" w:cs="Times New Roman"/>
          <w:color w:val="0D0D0D" w:themeColor="text1" w:themeTint="F2"/>
          <w:kern w:val="0"/>
          <w:szCs w:val="24"/>
          <w:u w:val="single"/>
          <w14:textFill>
            <w14:solidFill>
              <w14:schemeClr w14:val="tx1">
                <w14:lumMod w14:val="95000"/>
                <w14:lumOff w14:val="5000"/>
              </w14:schemeClr>
            </w14:solidFill>
          </w14:textFill>
        </w:rPr>
        <w:t>k</w:t>
      </w:r>
      <w:r>
        <w:rPr>
          <w:rFonts w:cs="Times New Roman"/>
          <w:color w:val="0D0D0D" w:themeColor="text1" w:themeTint="F2"/>
          <w:kern w:val="0"/>
          <w:szCs w:val="24"/>
          <w:u w:val="single"/>
          <w14:textFill>
            <w14:solidFill>
              <w14:schemeClr w14:val="tx1">
                <w14:lumMod w14:val="95000"/>
                <w14:lumOff w14:val="5000"/>
              </w14:schemeClr>
            </w14:solidFill>
          </w14:textFill>
        </w:rPr>
        <w:t>g/s</w:t>
      </w:r>
      <w:r>
        <w:rPr>
          <w:rFonts w:hint="eastAsia" w:cs="Times New Roman"/>
          <w:color w:val="0D0D0D" w:themeColor="text1" w:themeTint="F2"/>
          <w:kern w:val="0"/>
          <w:szCs w:val="24"/>
          <w:u w:val="single"/>
          <w14:textFill>
            <w14:solidFill>
              <w14:schemeClr w14:val="tx1">
                <w14:lumMod w14:val="95000"/>
                <w14:lumOff w14:val="5000"/>
              </w14:schemeClr>
            </w14:solidFill>
          </w14:textFill>
        </w:rPr>
        <w:t>，考虑泄漏时间按3</w:t>
      </w:r>
      <w:r>
        <w:rPr>
          <w:rFonts w:cs="Times New Roman"/>
          <w:color w:val="0D0D0D" w:themeColor="text1" w:themeTint="F2"/>
          <w:kern w:val="0"/>
          <w:szCs w:val="24"/>
          <w:u w:val="single"/>
          <w14:textFill>
            <w14:solidFill>
              <w14:schemeClr w14:val="tx1">
                <w14:lumMod w14:val="95000"/>
                <w14:lumOff w14:val="5000"/>
              </w14:schemeClr>
            </w14:solidFill>
          </w14:textFill>
        </w:rPr>
        <w:t>0min</w:t>
      </w:r>
      <w:r>
        <w:rPr>
          <w:rFonts w:hint="eastAsia" w:cs="Times New Roman"/>
          <w:color w:val="0D0D0D" w:themeColor="text1" w:themeTint="F2"/>
          <w:kern w:val="0"/>
          <w:szCs w:val="24"/>
          <w:u w:val="single"/>
          <w14:textFill>
            <w14:solidFill>
              <w14:schemeClr w14:val="tx1">
                <w14:lumMod w14:val="95000"/>
                <w14:lumOff w14:val="5000"/>
              </w14:schemeClr>
            </w14:solidFill>
          </w14:textFill>
        </w:rPr>
        <w:t>计，则甲醇泄漏的总量为7</w:t>
      </w:r>
      <w:r>
        <w:rPr>
          <w:rFonts w:cs="Times New Roman"/>
          <w:color w:val="0D0D0D" w:themeColor="text1" w:themeTint="F2"/>
          <w:kern w:val="0"/>
          <w:szCs w:val="24"/>
          <w:u w:val="single"/>
          <w14:textFill>
            <w14:solidFill>
              <w14:schemeClr w14:val="tx1">
                <w14:lumMod w14:val="95000"/>
                <w14:lumOff w14:val="5000"/>
              </w14:schemeClr>
            </w14:solidFill>
          </w14:textFill>
        </w:rPr>
        <w:t>96</w:t>
      </w:r>
      <w:r>
        <w:rPr>
          <w:rFonts w:hint="eastAsia" w:cs="Times New Roman"/>
          <w:color w:val="0D0D0D" w:themeColor="text1" w:themeTint="F2"/>
          <w:kern w:val="0"/>
          <w:szCs w:val="24"/>
          <w:u w:val="single"/>
          <w14:textFill>
            <w14:solidFill>
              <w14:schemeClr w14:val="tx1">
                <w14:lumMod w14:val="95000"/>
                <w14:lumOff w14:val="5000"/>
              </w14:schemeClr>
            </w14:solidFill>
          </w14:textFill>
        </w:rPr>
        <w:t>k</w:t>
      </w:r>
      <w:r>
        <w:rPr>
          <w:rFonts w:cs="Times New Roman"/>
          <w:color w:val="0D0D0D" w:themeColor="text1" w:themeTint="F2"/>
          <w:kern w:val="0"/>
          <w:szCs w:val="24"/>
          <w:u w:val="single"/>
          <w14:textFill>
            <w14:solidFill>
              <w14:schemeClr w14:val="tx1">
                <w14:lumMod w14:val="95000"/>
                <w14:lumOff w14:val="5000"/>
              </w14:schemeClr>
            </w14:solidFill>
          </w14:textFill>
        </w:rPr>
        <w:t>g</w:t>
      </w:r>
      <w:r>
        <w:rPr>
          <w:rFonts w:hint="eastAsia" w:cs="Times New Roman"/>
          <w:color w:val="0D0D0D" w:themeColor="text1" w:themeTint="F2"/>
          <w:kern w:val="0"/>
          <w:szCs w:val="24"/>
          <w:u w:val="single"/>
          <w14:textFill>
            <w14:solidFill>
              <w14:schemeClr w14:val="tx1">
                <w14:lumMod w14:val="95000"/>
                <w14:lumOff w14:val="5000"/>
              </w14:schemeClr>
            </w14:solidFill>
          </w14:textFill>
        </w:rPr>
        <w:t>。</w:t>
      </w:r>
    </w:p>
    <w:p w14:paraId="5EB7CC95">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②甲醇蒸发量</w:t>
      </w:r>
    </w:p>
    <w:p w14:paraId="4C305641">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甲醇在常温常压下储存，常温下为液态，当泄漏事故发生后不会发生闪蒸蒸发，且甲醇的沸点高于常温，泄漏后也不会发生热量蒸发。因此，甲醇泄漏后的液池质量蒸发量即为总蒸发量。</w:t>
      </w:r>
    </w:p>
    <w:p w14:paraId="7569EB8E">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根据《建设项目环境风险评价技术导则》（H</w:t>
      </w:r>
      <w:r>
        <w:rPr>
          <w:rFonts w:cs="Times New Roman"/>
          <w:color w:val="0D0D0D" w:themeColor="text1" w:themeTint="F2"/>
          <w:kern w:val="0"/>
          <w:szCs w:val="24"/>
          <w:u w:val="single"/>
          <w14:textFill>
            <w14:solidFill>
              <w14:schemeClr w14:val="tx1">
                <w14:lumMod w14:val="95000"/>
                <w14:lumOff w14:val="5000"/>
              </w14:schemeClr>
            </w14:solidFill>
          </w14:textFill>
        </w:rPr>
        <w:t>J169-2018</w:t>
      </w:r>
      <w:r>
        <w:rPr>
          <w:rFonts w:hint="eastAsia" w:cs="Times New Roman"/>
          <w:color w:val="0D0D0D" w:themeColor="text1" w:themeTint="F2"/>
          <w:kern w:val="0"/>
          <w:szCs w:val="24"/>
          <w:u w:val="single"/>
          <w14:textFill>
            <w14:solidFill>
              <w14:schemeClr w14:val="tx1">
                <w14:lumMod w14:val="95000"/>
                <w14:lumOff w14:val="5000"/>
              </w14:schemeClr>
            </w14:solidFill>
          </w14:textFill>
        </w:rPr>
        <w:t>）中推荐的方法中质量蒸发估算公式计算有毒有害物质的源强。质量蒸发速度</w:t>
      </w:r>
      <w:r>
        <w:rPr>
          <w:rFonts w:cs="Times New Roman"/>
          <w:color w:val="0D0D0D" w:themeColor="text1" w:themeTint="F2"/>
          <w:kern w:val="0"/>
          <w:szCs w:val="24"/>
          <w:u w:val="single"/>
          <w14:textFill>
            <w14:solidFill>
              <w14:schemeClr w14:val="tx1">
                <w14:lumMod w14:val="95000"/>
                <w14:lumOff w14:val="5000"/>
              </w14:schemeClr>
            </w14:solidFill>
          </w14:textFill>
        </w:rPr>
        <w:t>Q</w:t>
      </w:r>
      <w:r>
        <w:rPr>
          <w:rFonts w:cs="Times New Roman"/>
          <w:color w:val="0D0D0D" w:themeColor="text1" w:themeTint="F2"/>
          <w:kern w:val="0"/>
          <w:szCs w:val="24"/>
          <w:u w:val="single"/>
          <w:vertAlign w:val="subscript"/>
          <w14:textFill>
            <w14:solidFill>
              <w14:schemeClr w14:val="tx1">
                <w14:lumMod w14:val="95000"/>
                <w14:lumOff w14:val="5000"/>
              </w14:schemeClr>
            </w14:solidFill>
          </w14:textFill>
        </w:rPr>
        <w:t>3</w:t>
      </w:r>
      <w:r>
        <w:rPr>
          <w:rFonts w:cs="Times New Roman"/>
          <w:color w:val="0D0D0D" w:themeColor="text1" w:themeTint="F2"/>
          <w:kern w:val="0"/>
          <w:szCs w:val="24"/>
          <w:u w:val="single"/>
          <w14:textFill>
            <w14:solidFill>
              <w14:schemeClr w14:val="tx1">
                <w14:lumMod w14:val="95000"/>
                <w14:lumOff w14:val="5000"/>
              </w14:schemeClr>
            </w14:solidFill>
          </w14:textFill>
        </w:rPr>
        <w:t>公式如下：</w:t>
      </w:r>
    </w:p>
    <w:p w14:paraId="7B7E8EA8">
      <w:pPr>
        <w:ind w:firstLine="480" w:firstLineChars="200"/>
        <w:rPr>
          <w:color w:val="0D0D0D" w:themeColor="text1" w:themeTint="F2"/>
          <w:u w:val="single"/>
          <w14:textFill>
            <w14:solidFill>
              <w14:schemeClr w14:val="tx1">
                <w14:lumMod w14:val="95000"/>
                <w14:lumOff w14:val="5000"/>
              </w14:schemeClr>
            </w14:solidFill>
          </w14:textFill>
        </w:rPr>
      </w:pPr>
      <m:oMathPara>
        <m:oMath>
          <m:sSub>
            <m:sSubPr>
              <m:ctrlPr>
                <w:rPr>
                  <w:rFonts w:ascii="Cambria Math" w:hAnsi="Cambria Math" w:cs="Times New Roman"/>
                  <w:bCs/>
                  <w:i/>
                  <w:color w:val="0D0D0D" w:themeColor="text1" w:themeTint="F2"/>
                  <w:kern w:val="0"/>
                  <w:szCs w:val="24"/>
                  <w:u w:val="single"/>
                  <w14:textFill>
                    <w14:solidFill>
                      <w14:schemeClr w14:val="tx1">
                        <w14:lumMod w14:val="95000"/>
                        <w14:lumOff w14:val="5000"/>
                      </w14:schemeClr>
                    </w14:solidFill>
                  </w14:textFill>
                </w:rPr>
              </m:ctrlPr>
            </m:sSubPr>
            <m:e>
              <m:r>
                <m:rPr/>
                <w:rPr>
                  <w:rFonts w:ascii="Cambria Math" w:hAnsi="Cambria Math"/>
                  <w:color w:val="0D0D0D" w:themeColor="text1" w:themeTint="F2"/>
                  <w:u w:val="single"/>
                  <w14:textFill>
                    <w14:solidFill>
                      <w14:schemeClr w14:val="tx1">
                        <w14:lumMod w14:val="95000"/>
                        <w14:lumOff w14:val="5000"/>
                      </w14:schemeClr>
                    </w14:solidFill>
                  </w14:textFill>
                </w:rPr>
                <m:t>Q</m:t>
              </m:r>
              <m:ctrlPr>
                <w:rPr>
                  <w:rFonts w:ascii="Cambria Math" w:hAnsi="Cambria Math" w:cs="Times New Roman"/>
                  <w:bCs/>
                  <w:i/>
                  <w:color w:val="0D0D0D" w:themeColor="text1" w:themeTint="F2"/>
                  <w:kern w:val="0"/>
                  <w:szCs w:val="24"/>
                  <w:u w:val="single"/>
                  <w14:textFill>
                    <w14:solidFill>
                      <w14:schemeClr w14:val="tx1">
                        <w14:lumMod w14:val="95000"/>
                        <w14:lumOff w14:val="5000"/>
                      </w14:schemeClr>
                    </w14:solidFill>
                  </w14:textFill>
                </w:rPr>
              </m:ctrlPr>
            </m:e>
            <m:sub>
              <m:r>
                <m:rPr/>
                <w:rPr>
                  <w:rFonts w:ascii="Cambria Math" w:hAnsi="Cambria Math"/>
                  <w:color w:val="0D0D0D" w:themeColor="text1" w:themeTint="F2"/>
                  <w:u w:val="single"/>
                  <w14:textFill>
                    <w14:solidFill>
                      <w14:schemeClr w14:val="tx1">
                        <w14:lumMod w14:val="95000"/>
                        <w14:lumOff w14:val="5000"/>
                      </w14:schemeClr>
                    </w14:solidFill>
                  </w14:textFill>
                </w:rPr>
                <m:t>3</m:t>
              </m:r>
              <m:ctrlPr>
                <w:rPr>
                  <w:rFonts w:ascii="Cambria Math" w:hAnsi="Cambria Math" w:cs="Times New Roman"/>
                  <w:bCs/>
                  <w:i/>
                  <w:color w:val="0D0D0D" w:themeColor="text1" w:themeTint="F2"/>
                  <w:kern w:val="0"/>
                  <w:szCs w:val="24"/>
                  <w:u w:val="single"/>
                  <w14:textFill>
                    <w14:solidFill>
                      <w14:schemeClr w14:val="tx1">
                        <w14:lumMod w14:val="95000"/>
                        <w14:lumOff w14:val="5000"/>
                      </w14:schemeClr>
                    </w14:solidFill>
                  </w14:textFill>
                </w:rPr>
              </m:ctrlPr>
            </m:sub>
          </m:sSub>
          <m:r>
            <m:rPr/>
            <w:rPr>
              <w:rFonts w:hint="eastAsia" w:ascii="Cambria Math" w:hAnsi="Cambria Math"/>
              <w:color w:val="0D0D0D" w:themeColor="text1" w:themeTint="F2"/>
              <w:u w:val="single"/>
              <w14:textFill>
                <w14:solidFill>
                  <w14:schemeClr w14:val="tx1">
                    <w14:lumMod w14:val="95000"/>
                    <w14:lumOff w14:val="5000"/>
                  </w14:schemeClr>
                </w14:solidFill>
              </w14:textFill>
            </w:rPr>
            <m:t>=</m:t>
          </m:r>
          <m:r>
            <m:rPr/>
            <w:rPr>
              <w:rFonts w:ascii="Cambria Math" w:hAnsi="Cambria Math"/>
              <w:color w:val="0D0D0D" w:themeColor="text1" w:themeTint="F2"/>
              <w:u w:val="single"/>
              <w14:textFill>
                <w14:solidFill>
                  <w14:schemeClr w14:val="tx1">
                    <w14:lumMod w14:val="95000"/>
                    <w14:lumOff w14:val="5000"/>
                  </w14:schemeClr>
                </w14:solidFill>
              </w14:textFill>
            </w:rPr>
            <m:t>a</m:t>
          </m:r>
          <m:r>
            <m:rPr/>
            <w:rPr>
              <w:rFonts w:hint="eastAsia" w:ascii="Cambria Math" w:hAnsi="Cambria Math"/>
              <w:color w:val="0D0D0D" w:themeColor="text1" w:themeTint="F2"/>
              <w:u w:val="single"/>
              <w14:textFill>
                <w14:solidFill>
                  <w14:schemeClr w14:val="tx1">
                    <w14:lumMod w14:val="95000"/>
                    <w14:lumOff w14:val="5000"/>
                  </w14:schemeClr>
                </w14:solidFill>
              </w14:textFill>
            </w:rPr>
            <m:t>p</m:t>
          </m:r>
          <m:f>
            <m:fPr>
              <m:ctrlPr>
                <w:rPr>
                  <w:rFonts w:ascii="Cambria Math" w:hAnsi="Cambria Math" w:cs="Times New Roman"/>
                  <w:bCs/>
                  <w:i/>
                  <w:color w:val="0D0D0D" w:themeColor="text1" w:themeTint="F2"/>
                  <w:kern w:val="0"/>
                  <w:szCs w:val="24"/>
                  <w:u w:val="single"/>
                  <w14:textFill>
                    <w14:solidFill>
                      <w14:schemeClr w14:val="tx1">
                        <w14:lumMod w14:val="95000"/>
                        <w14:lumOff w14:val="5000"/>
                      </w14:schemeClr>
                    </w14:solidFill>
                  </w14:textFill>
                </w:rPr>
              </m:ctrlPr>
            </m:fPr>
            <m:num>
              <m:r>
                <m:rPr/>
                <w:rPr>
                  <w:rFonts w:ascii="Cambria Math" w:hAnsi="Cambria Math"/>
                  <w:color w:val="0D0D0D" w:themeColor="text1" w:themeTint="F2"/>
                  <w:u w:val="single"/>
                  <w14:textFill>
                    <w14:solidFill>
                      <w14:schemeClr w14:val="tx1">
                        <w14:lumMod w14:val="95000"/>
                        <w14:lumOff w14:val="5000"/>
                      </w14:schemeClr>
                    </w14:solidFill>
                  </w14:textFill>
                </w:rPr>
                <m:t>M</m:t>
              </m:r>
              <m:ctrlPr>
                <w:rPr>
                  <w:rFonts w:ascii="Cambria Math" w:hAnsi="Cambria Math" w:cs="Times New Roman"/>
                  <w:bCs/>
                  <w:i/>
                  <w:color w:val="0D0D0D" w:themeColor="text1" w:themeTint="F2"/>
                  <w:kern w:val="0"/>
                  <w:szCs w:val="24"/>
                  <w:u w:val="single"/>
                  <w14:textFill>
                    <w14:solidFill>
                      <w14:schemeClr w14:val="tx1">
                        <w14:lumMod w14:val="95000"/>
                        <w14:lumOff w14:val="5000"/>
                      </w14:schemeClr>
                    </w14:solidFill>
                  </w14:textFill>
                </w:rPr>
              </m:ctrlPr>
            </m:num>
            <m:den>
              <m:r>
                <m:rPr/>
                <w:rPr>
                  <w:rFonts w:ascii="Cambria Math" w:hAnsi="Cambria Math"/>
                  <w:color w:val="0D0D0D" w:themeColor="text1" w:themeTint="F2"/>
                  <w:u w:val="single"/>
                  <w14:textFill>
                    <w14:solidFill>
                      <w14:schemeClr w14:val="tx1">
                        <w14:lumMod w14:val="95000"/>
                        <w14:lumOff w14:val="5000"/>
                      </w14:schemeClr>
                    </w14:solidFill>
                  </w14:textFill>
                </w:rPr>
                <m:t>R</m:t>
              </m:r>
              <m:sSub>
                <m:sSubPr>
                  <m:ctrlPr>
                    <w:rPr>
                      <w:rFonts w:ascii="Cambria Math" w:hAnsi="Cambria Math" w:cs="Times New Roman"/>
                      <w:bCs/>
                      <w:i/>
                      <w:color w:val="0D0D0D" w:themeColor="text1" w:themeTint="F2"/>
                      <w:kern w:val="0"/>
                      <w:szCs w:val="24"/>
                      <w:u w:val="single"/>
                      <w14:textFill>
                        <w14:solidFill>
                          <w14:schemeClr w14:val="tx1">
                            <w14:lumMod w14:val="95000"/>
                            <w14:lumOff w14:val="5000"/>
                          </w14:schemeClr>
                        </w14:solidFill>
                      </w14:textFill>
                    </w:rPr>
                  </m:ctrlPr>
                </m:sSubPr>
                <m:e>
                  <m:r>
                    <m:rPr/>
                    <w:rPr>
                      <w:rFonts w:ascii="Cambria Math" w:hAnsi="Cambria Math"/>
                      <w:color w:val="0D0D0D" w:themeColor="text1" w:themeTint="F2"/>
                      <w:u w:val="single"/>
                      <w14:textFill>
                        <w14:solidFill>
                          <w14:schemeClr w14:val="tx1">
                            <w14:lumMod w14:val="95000"/>
                            <w14:lumOff w14:val="5000"/>
                          </w14:schemeClr>
                        </w14:solidFill>
                      </w14:textFill>
                    </w:rPr>
                    <m:t>T</m:t>
                  </m:r>
                  <m:ctrlPr>
                    <w:rPr>
                      <w:rFonts w:ascii="Cambria Math" w:hAnsi="Cambria Math" w:cs="Times New Roman"/>
                      <w:bCs/>
                      <w:i/>
                      <w:color w:val="0D0D0D" w:themeColor="text1" w:themeTint="F2"/>
                      <w:kern w:val="0"/>
                      <w:szCs w:val="24"/>
                      <w:u w:val="single"/>
                      <w14:textFill>
                        <w14:solidFill>
                          <w14:schemeClr w14:val="tx1">
                            <w14:lumMod w14:val="95000"/>
                            <w14:lumOff w14:val="5000"/>
                          </w14:schemeClr>
                        </w14:solidFill>
                      </w14:textFill>
                    </w:rPr>
                  </m:ctrlPr>
                </m:e>
                <m:sub>
                  <m:r>
                    <m:rPr/>
                    <w:rPr>
                      <w:rFonts w:ascii="Cambria Math" w:hAnsi="Cambria Math"/>
                      <w:color w:val="0D0D0D" w:themeColor="text1" w:themeTint="F2"/>
                      <w:u w:val="single"/>
                      <w14:textFill>
                        <w14:solidFill>
                          <w14:schemeClr w14:val="tx1">
                            <w14:lumMod w14:val="95000"/>
                            <w14:lumOff w14:val="5000"/>
                          </w14:schemeClr>
                        </w14:solidFill>
                      </w14:textFill>
                    </w:rPr>
                    <m:t>0</m:t>
                  </m:r>
                  <m:ctrlPr>
                    <w:rPr>
                      <w:rFonts w:ascii="Cambria Math" w:hAnsi="Cambria Math" w:cs="Times New Roman"/>
                      <w:bCs/>
                      <w:i/>
                      <w:color w:val="0D0D0D" w:themeColor="text1" w:themeTint="F2"/>
                      <w:kern w:val="0"/>
                      <w:szCs w:val="24"/>
                      <w:u w:val="single"/>
                      <w14:textFill>
                        <w14:solidFill>
                          <w14:schemeClr w14:val="tx1">
                            <w14:lumMod w14:val="95000"/>
                            <w14:lumOff w14:val="5000"/>
                          </w14:schemeClr>
                        </w14:solidFill>
                      </w14:textFill>
                    </w:rPr>
                  </m:ctrlPr>
                </m:sub>
              </m:sSub>
              <m:ctrlPr>
                <w:rPr>
                  <w:rFonts w:ascii="Cambria Math" w:hAnsi="Cambria Math" w:cs="Times New Roman"/>
                  <w:bCs/>
                  <w:i/>
                  <w:color w:val="0D0D0D" w:themeColor="text1" w:themeTint="F2"/>
                  <w:kern w:val="0"/>
                  <w:szCs w:val="24"/>
                  <w:u w:val="single"/>
                  <w14:textFill>
                    <w14:solidFill>
                      <w14:schemeClr w14:val="tx1">
                        <w14:lumMod w14:val="95000"/>
                        <w14:lumOff w14:val="5000"/>
                      </w14:schemeClr>
                    </w14:solidFill>
                  </w14:textFill>
                </w:rPr>
              </m:ctrlPr>
            </m:den>
          </m:f>
          <m:sSup>
            <m:sSupPr>
              <m:ctrlPr>
                <w:rPr>
                  <w:rFonts w:ascii="Cambria Math" w:hAnsi="Cambria Math" w:cs="Times New Roman"/>
                  <w:bCs/>
                  <w:i/>
                  <w:color w:val="0D0D0D" w:themeColor="text1" w:themeTint="F2"/>
                  <w:kern w:val="0"/>
                  <w:szCs w:val="24"/>
                  <w:u w:val="single"/>
                  <w14:textFill>
                    <w14:solidFill>
                      <w14:schemeClr w14:val="tx1">
                        <w14:lumMod w14:val="95000"/>
                        <w14:lumOff w14:val="5000"/>
                      </w14:schemeClr>
                    </w14:solidFill>
                  </w14:textFill>
                </w:rPr>
              </m:ctrlPr>
            </m:sSupPr>
            <m:e>
              <m:r>
                <m:rPr/>
                <w:rPr>
                  <w:rFonts w:hint="eastAsia" w:ascii="Cambria Math" w:hAnsi="Cambria Math"/>
                  <w:color w:val="0D0D0D" w:themeColor="text1" w:themeTint="F2"/>
                  <w:u w:val="single"/>
                  <w14:textFill>
                    <w14:solidFill>
                      <w14:schemeClr w14:val="tx1">
                        <w14:lumMod w14:val="95000"/>
                        <w14:lumOff w14:val="5000"/>
                      </w14:schemeClr>
                    </w14:solidFill>
                  </w14:textFill>
                </w:rPr>
                <m:t>u</m:t>
              </m:r>
              <m:ctrlPr>
                <w:rPr>
                  <w:rFonts w:ascii="Cambria Math" w:hAnsi="Cambria Math" w:cs="Times New Roman"/>
                  <w:bCs/>
                  <w:i/>
                  <w:color w:val="0D0D0D" w:themeColor="text1" w:themeTint="F2"/>
                  <w:kern w:val="0"/>
                  <w:szCs w:val="24"/>
                  <w:u w:val="single"/>
                  <w14:textFill>
                    <w14:solidFill>
                      <w14:schemeClr w14:val="tx1">
                        <w14:lumMod w14:val="95000"/>
                        <w14:lumOff w14:val="5000"/>
                      </w14:schemeClr>
                    </w14:solidFill>
                  </w14:textFill>
                </w:rPr>
              </m:ctrlPr>
            </m:e>
            <m:sup>
              <m:f>
                <m:fPr>
                  <m:ctrlPr>
                    <w:rPr>
                      <w:rFonts w:ascii="Cambria Math" w:hAnsi="Cambria Math" w:cs="Times New Roman"/>
                      <w:bCs/>
                      <w:i/>
                      <w:color w:val="0D0D0D" w:themeColor="text1" w:themeTint="F2"/>
                      <w:kern w:val="0"/>
                      <w:szCs w:val="24"/>
                      <w:u w:val="single"/>
                      <w14:textFill>
                        <w14:solidFill>
                          <w14:schemeClr w14:val="tx1">
                            <w14:lumMod w14:val="95000"/>
                            <w14:lumOff w14:val="5000"/>
                          </w14:schemeClr>
                        </w14:solidFill>
                      </w14:textFill>
                    </w:rPr>
                  </m:ctrlPr>
                </m:fPr>
                <m:num>
                  <m:r>
                    <m:rPr/>
                    <w:rPr>
                      <w:rFonts w:ascii="Cambria Math" w:hAnsi="Cambria Math"/>
                      <w:color w:val="0D0D0D" w:themeColor="text1" w:themeTint="F2"/>
                      <w:u w:val="single"/>
                      <w14:textFill>
                        <w14:solidFill>
                          <w14:schemeClr w14:val="tx1">
                            <w14:lumMod w14:val="95000"/>
                            <w14:lumOff w14:val="5000"/>
                          </w14:schemeClr>
                        </w14:solidFill>
                      </w14:textFill>
                    </w:rPr>
                    <m:t>(2−n)</m:t>
                  </m:r>
                  <m:ctrlPr>
                    <w:rPr>
                      <w:rFonts w:ascii="Cambria Math" w:hAnsi="Cambria Math" w:cs="Times New Roman"/>
                      <w:bCs/>
                      <w:i/>
                      <w:color w:val="0D0D0D" w:themeColor="text1" w:themeTint="F2"/>
                      <w:kern w:val="0"/>
                      <w:szCs w:val="24"/>
                      <w:u w:val="single"/>
                      <w14:textFill>
                        <w14:solidFill>
                          <w14:schemeClr w14:val="tx1">
                            <w14:lumMod w14:val="95000"/>
                            <w14:lumOff w14:val="5000"/>
                          </w14:schemeClr>
                        </w14:solidFill>
                      </w14:textFill>
                    </w:rPr>
                  </m:ctrlPr>
                </m:num>
                <m:den>
                  <m:r>
                    <m:rPr/>
                    <w:rPr>
                      <w:rFonts w:ascii="Cambria Math" w:hAnsi="Cambria Math"/>
                      <w:color w:val="0D0D0D" w:themeColor="text1" w:themeTint="F2"/>
                      <w:u w:val="single"/>
                      <w14:textFill>
                        <w14:solidFill>
                          <w14:schemeClr w14:val="tx1">
                            <w14:lumMod w14:val="95000"/>
                            <w14:lumOff w14:val="5000"/>
                          </w14:schemeClr>
                        </w14:solidFill>
                      </w14:textFill>
                    </w:rPr>
                    <m:t>(2+n)</m:t>
                  </m:r>
                  <m:ctrlPr>
                    <w:rPr>
                      <w:rFonts w:ascii="Cambria Math" w:hAnsi="Cambria Math" w:cs="Times New Roman"/>
                      <w:bCs/>
                      <w:i/>
                      <w:color w:val="0D0D0D" w:themeColor="text1" w:themeTint="F2"/>
                      <w:kern w:val="0"/>
                      <w:szCs w:val="24"/>
                      <w:u w:val="single"/>
                      <w14:textFill>
                        <w14:solidFill>
                          <w14:schemeClr w14:val="tx1">
                            <w14:lumMod w14:val="95000"/>
                            <w14:lumOff w14:val="5000"/>
                          </w14:schemeClr>
                        </w14:solidFill>
                      </w14:textFill>
                    </w:rPr>
                  </m:ctrlPr>
                </m:den>
              </m:f>
              <m:ctrlPr>
                <w:rPr>
                  <w:rFonts w:ascii="Cambria Math" w:hAnsi="Cambria Math" w:cs="Times New Roman"/>
                  <w:bCs/>
                  <w:i/>
                  <w:color w:val="0D0D0D" w:themeColor="text1" w:themeTint="F2"/>
                  <w:kern w:val="0"/>
                  <w:szCs w:val="24"/>
                  <w:u w:val="single"/>
                  <w14:textFill>
                    <w14:solidFill>
                      <w14:schemeClr w14:val="tx1">
                        <w14:lumMod w14:val="95000"/>
                        <w14:lumOff w14:val="5000"/>
                      </w14:schemeClr>
                    </w14:solidFill>
                  </w14:textFill>
                </w:rPr>
              </m:ctrlPr>
            </m:sup>
          </m:sSup>
          <m:sSup>
            <m:sSupPr>
              <m:ctrlPr>
                <w:rPr>
                  <w:rFonts w:ascii="Cambria Math" w:hAnsi="Cambria Math" w:cs="Times New Roman"/>
                  <w:bCs/>
                  <w:i/>
                  <w:color w:val="0D0D0D" w:themeColor="text1" w:themeTint="F2"/>
                  <w:kern w:val="0"/>
                  <w:szCs w:val="24"/>
                  <w:u w:val="single"/>
                  <w14:textFill>
                    <w14:solidFill>
                      <w14:schemeClr w14:val="tx1">
                        <w14:lumMod w14:val="95000"/>
                        <w14:lumOff w14:val="5000"/>
                      </w14:schemeClr>
                    </w14:solidFill>
                  </w14:textFill>
                </w:rPr>
              </m:ctrlPr>
            </m:sSupPr>
            <m:e>
              <m:r>
                <m:rPr/>
                <w:rPr>
                  <w:rFonts w:ascii="Cambria Math" w:hAnsi="Cambria Math"/>
                  <w:color w:val="0D0D0D" w:themeColor="text1" w:themeTint="F2"/>
                  <w:u w:val="single"/>
                  <w14:textFill>
                    <w14:solidFill>
                      <w14:schemeClr w14:val="tx1">
                        <w14:lumMod w14:val="95000"/>
                        <w14:lumOff w14:val="5000"/>
                      </w14:schemeClr>
                    </w14:solidFill>
                  </w14:textFill>
                </w:rPr>
                <m:t>r</m:t>
              </m:r>
              <m:ctrlPr>
                <w:rPr>
                  <w:rFonts w:ascii="Cambria Math" w:hAnsi="Cambria Math" w:cs="Times New Roman"/>
                  <w:bCs/>
                  <w:i/>
                  <w:color w:val="0D0D0D" w:themeColor="text1" w:themeTint="F2"/>
                  <w:kern w:val="0"/>
                  <w:szCs w:val="24"/>
                  <w:u w:val="single"/>
                  <w14:textFill>
                    <w14:solidFill>
                      <w14:schemeClr w14:val="tx1">
                        <w14:lumMod w14:val="95000"/>
                        <w14:lumOff w14:val="5000"/>
                      </w14:schemeClr>
                    </w14:solidFill>
                  </w14:textFill>
                </w:rPr>
              </m:ctrlPr>
            </m:e>
            <m:sup>
              <m:f>
                <m:fPr>
                  <m:ctrlPr>
                    <w:rPr>
                      <w:rFonts w:ascii="Cambria Math" w:hAnsi="Cambria Math" w:cs="Times New Roman"/>
                      <w:bCs/>
                      <w:i/>
                      <w:color w:val="0D0D0D" w:themeColor="text1" w:themeTint="F2"/>
                      <w:kern w:val="0"/>
                      <w:szCs w:val="24"/>
                      <w:u w:val="single"/>
                      <w14:textFill>
                        <w14:solidFill>
                          <w14:schemeClr w14:val="tx1">
                            <w14:lumMod w14:val="95000"/>
                            <w14:lumOff w14:val="5000"/>
                          </w14:schemeClr>
                        </w14:solidFill>
                      </w14:textFill>
                    </w:rPr>
                  </m:ctrlPr>
                </m:fPr>
                <m:num>
                  <m:r>
                    <m:rPr/>
                    <w:rPr>
                      <w:rFonts w:ascii="Cambria Math" w:hAnsi="Cambria Math"/>
                      <w:color w:val="0D0D0D" w:themeColor="text1" w:themeTint="F2"/>
                      <w:u w:val="single"/>
                      <w14:textFill>
                        <w14:solidFill>
                          <w14:schemeClr w14:val="tx1">
                            <w14:lumMod w14:val="95000"/>
                            <w14:lumOff w14:val="5000"/>
                          </w14:schemeClr>
                        </w14:solidFill>
                      </w14:textFill>
                    </w:rPr>
                    <m:t>(4+n)</m:t>
                  </m:r>
                  <m:ctrlPr>
                    <w:rPr>
                      <w:rFonts w:ascii="Cambria Math" w:hAnsi="Cambria Math" w:cs="Times New Roman"/>
                      <w:bCs/>
                      <w:i/>
                      <w:color w:val="0D0D0D" w:themeColor="text1" w:themeTint="F2"/>
                      <w:kern w:val="0"/>
                      <w:szCs w:val="24"/>
                      <w:u w:val="single"/>
                      <w14:textFill>
                        <w14:solidFill>
                          <w14:schemeClr w14:val="tx1">
                            <w14:lumMod w14:val="95000"/>
                            <w14:lumOff w14:val="5000"/>
                          </w14:schemeClr>
                        </w14:solidFill>
                      </w14:textFill>
                    </w:rPr>
                  </m:ctrlPr>
                </m:num>
                <m:den>
                  <m:r>
                    <m:rPr/>
                    <w:rPr>
                      <w:rFonts w:ascii="Cambria Math" w:hAnsi="Cambria Math"/>
                      <w:color w:val="0D0D0D" w:themeColor="text1" w:themeTint="F2"/>
                      <w:u w:val="single"/>
                      <w14:textFill>
                        <w14:solidFill>
                          <w14:schemeClr w14:val="tx1">
                            <w14:lumMod w14:val="95000"/>
                            <w14:lumOff w14:val="5000"/>
                          </w14:schemeClr>
                        </w14:solidFill>
                      </w14:textFill>
                    </w:rPr>
                    <m:t>(2+n)</m:t>
                  </m:r>
                  <m:ctrlPr>
                    <w:rPr>
                      <w:rFonts w:ascii="Cambria Math" w:hAnsi="Cambria Math" w:cs="Times New Roman"/>
                      <w:bCs/>
                      <w:i/>
                      <w:color w:val="0D0D0D" w:themeColor="text1" w:themeTint="F2"/>
                      <w:kern w:val="0"/>
                      <w:szCs w:val="24"/>
                      <w:u w:val="single"/>
                      <w14:textFill>
                        <w14:solidFill>
                          <w14:schemeClr w14:val="tx1">
                            <w14:lumMod w14:val="95000"/>
                            <w14:lumOff w14:val="5000"/>
                          </w14:schemeClr>
                        </w14:solidFill>
                      </w14:textFill>
                    </w:rPr>
                  </m:ctrlPr>
                </m:den>
              </m:f>
              <m:ctrlPr>
                <w:rPr>
                  <w:rFonts w:ascii="Cambria Math" w:hAnsi="Cambria Math" w:cs="Times New Roman"/>
                  <w:bCs/>
                  <w:i/>
                  <w:color w:val="0D0D0D" w:themeColor="text1" w:themeTint="F2"/>
                  <w:kern w:val="0"/>
                  <w:szCs w:val="24"/>
                  <w:u w:val="single"/>
                  <w14:textFill>
                    <w14:solidFill>
                      <w14:schemeClr w14:val="tx1">
                        <w14:lumMod w14:val="95000"/>
                        <w14:lumOff w14:val="5000"/>
                      </w14:schemeClr>
                    </w14:solidFill>
                  </w14:textFill>
                </w:rPr>
              </m:ctrlPr>
            </m:sup>
          </m:sSup>
        </m:oMath>
      </m:oMathPara>
    </w:p>
    <w:p w14:paraId="41B9AB3B">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式中：</w:t>
      </w:r>
    </w:p>
    <w:p w14:paraId="4133CEC6">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cs="Times New Roman"/>
          <w:color w:val="0D0D0D" w:themeColor="text1" w:themeTint="F2"/>
          <w:kern w:val="0"/>
          <w:szCs w:val="24"/>
          <w:u w:val="single"/>
          <w14:textFill>
            <w14:solidFill>
              <w14:schemeClr w14:val="tx1">
                <w14:lumMod w14:val="95000"/>
                <w14:lumOff w14:val="5000"/>
              </w14:schemeClr>
            </w14:solidFill>
          </w14:textFill>
        </w:rPr>
        <w:t>Q</w:t>
      </w:r>
      <w:r>
        <w:rPr>
          <w:rFonts w:cs="Times New Roman"/>
          <w:color w:val="0D0D0D" w:themeColor="text1" w:themeTint="F2"/>
          <w:kern w:val="0"/>
          <w:szCs w:val="24"/>
          <w:u w:val="single"/>
          <w:vertAlign w:val="subscript"/>
          <w14:textFill>
            <w14:solidFill>
              <w14:schemeClr w14:val="tx1">
                <w14:lumMod w14:val="95000"/>
                <w14:lumOff w14:val="5000"/>
              </w14:schemeClr>
            </w14:solidFill>
          </w14:textFill>
        </w:rPr>
        <w:t>3</w:t>
      </w:r>
      <w:r>
        <w:rPr>
          <w:rFonts w:hint="eastAsia" w:cs="Times New Roman"/>
          <w:color w:val="0D0D0D" w:themeColor="text1" w:themeTint="F2"/>
          <w:kern w:val="0"/>
          <w:szCs w:val="24"/>
          <w:u w:val="single"/>
          <w14:textFill>
            <w14:solidFill>
              <w14:schemeClr w14:val="tx1">
                <w14:lumMod w14:val="95000"/>
                <w14:lumOff w14:val="5000"/>
              </w14:schemeClr>
            </w14:solidFill>
          </w14:textFill>
        </w:rPr>
        <w:t>—</w:t>
      </w:r>
      <w:r>
        <w:rPr>
          <w:rFonts w:cs="Times New Roman"/>
          <w:color w:val="0D0D0D" w:themeColor="text1" w:themeTint="F2"/>
          <w:kern w:val="0"/>
          <w:szCs w:val="24"/>
          <w:u w:val="single"/>
          <w14:textFill>
            <w14:solidFill>
              <w14:schemeClr w14:val="tx1">
                <w14:lumMod w14:val="95000"/>
                <w14:lumOff w14:val="5000"/>
              </w14:schemeClr>
            </w14:solidFill>
          </w14:textFill>
        </w:rPr>
        <w:t>质量蒸发速度，kg/s；</w:t>
      </w:r>
    </w:p>
    <w:p w14:paraId="7B9052A0">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cs="Times New Roman"/>
          <w:color w:val="0D0D0D" w:themeColor="text1" w:themeTint="F2"/>
          <w:kern w:val="0"/>
          <w:szCs w:val="24"/>
          <w:u w:val="single"/>
          <w14:textFill>
            <w14:solidFill>
              <w14:schemeClr w14:val="tx1">
                <w14:lumMod w14:val="95000"/>
                <w14:lumOff w14:val="5000"/>
              </w14:schemeClr>
            </w14:solidFill>
          </w14:textFill>
        </w:rPr>
        <w:t>a，n</w:t>
      </w:r>
      <w:r>
        <w:rPr>
          <w:rFonts w:hint="eastAsia" w:cs="Times New Roman"/>
          <w:color w:val="0D0D0D" w:themeColor="text1" w:themeTint="F2"/>
          <w:kern w:val="0"/>
          <w:szCs w:val="24"/>
          <w:u w:val="single"/>
          <w14:textFill>
            <w14:solidFill>
              <w14:schemeClr w14:val="tx1">
                <w14:lumMod w14:val="95000"/>
                <w14:lumOff w14:val="5000"/>
              </w14:schemeClr>
            </w14:solidFill>
          </w14:textFill>
        </w:rPr>
        <w:t>—</w:t>
      </w:r>
      <w:r>
        <w:rPr>
          <w:rFonts w:cs="Times New Roman"/>
          <w:color w:val="0D0D0D" w:themeColor="text1" w:themeTint="F2"/>
          <w:kern w:val="0"/>
          <w:szCs w:val="24"/>
          <w:u w:val="single"/>
          <w14:textFill>
            <w14:solidFill>
              <w14:schemeClr w14:val="tx1">
                <w14:lumMod w14:val="95000"/>
                <w14:lumOff w14:val="5000"/>
              </w14:schemeClr>
            </w14:solidFill>
          </w14:textFill>
        </w:rPr>
        <w:t>大气稳定度系数</w:t>
      </w:r>
      <w:r>
        <w:rPr>
          <w:rFonts w:hint="eastAsia" w:cs="Times New Roman"/>
          <w:color w:val="0D0D0D" w:themeColor="text1" w:themeTint="F2"/>
          <w:kern w:val="0"/>
          <w:szCs w:val="24"/>
          <w:u w:val="single"/>
          <w14:textFill>
            <w14:solidFill>
              <w14:schemeClr w14:val="tx1">
                <w14:lumMod w14:val="95000"/>
                <w14:lumOff w14:val="5000"/>
              </w14:schemeClr>
            </w14:solidFill>
          </w14:textFill>
        </w:rPr>
        <w:t>，取不稳定</w:t>
      </w:r>
      <w:r>
        <w:rPr>
          <w:rFonts w:cs="Times New Roman"/>
          <w:color w:val="0D0D0D" w:themeColor="text1" w:themeTint="F2"/>
          <w:kern w:val="0"/>
          <w:szCs w:val="24"/>
          <w:u w:val="single"/>
          <w14:textFill>
            <w14:solidFill>
              <w14:schemeClr w14:val="tx1">
                <w14:lumMod w14:val="95000"/>
                <w14:lumOff w14:val="5000"/>
              </w14:schemeClr>
            </w14:solidFill>
          </w14:textFill>
        </w:rPr>
        <w:t>；</w:t>
      </w:r>
    </w:p>
    <w:p w14:paraId="6ABEB604">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cs="Times New Roman"/>
          <w:color w:val="0D0D0D" w:themeColor="text1" w:themeTint="F2"/>
          <w:kern w:val="0"/>
          <w:szCs w:val="24"/>
          <w:u w:val="single"/>
          <w14:textFill>
            <w14:solidFill>
              <w14:schemeClr w14:val="tx1">
                <w14:lumMod w14:val="95000"/>
                <w14:lumOff w14:val="5000"/>
              </w14:schemeClr>
            </w14:solidFill>
          </w14:textFill>
        </w:rPr>
        <w:t>p</w:t>
      </w:r>
      <w:r>
        <w:rPr>
          <w:rFonts w:hint="eastAsia" w:cs="Times New Roman"/>
          <w:color w:val="0D0D0D" w:themeColor="text1" w:themeTint="F2"/>
          <w:kern w:val="0"/>
          <w:szCs w:val="24"/>
          <w:u w:val="single"/>
          <w14:textFill>
            <w14:solidFill>
              <w14:schemeClr w14:val="tx1">
                <w14:lumMod w14:val="95000"/>
                <w14:lumOff w14:val="5000"/>
              </w14:schemeClr>
            </w14:solidFill>
          </w14:textFill>
        </w:rPr>
        <w:t>—</w:t>
      </w:r>
      <w:r>
        <w:rPr>
          <w:rFonts w:cs="Times New Roman"/>
          <w:color w:val="0D0D0D" w:themeColor="text1" w:themeTint="F2"/>
          <w:kern w:val="0"/>
          <w:szCs w:val="24"/>
          <w:u w:val="single"/>
          <w14:textFill>
            <w14:solidFill>
              <w14:schemeClr w14:val="tx1">
                <w14:lumMod w14:val="95000"/>
                <w14:lumOff w14:val="5000"/>
              </w14:schemeClr>
            </w14:solidFill>
          </w14:textFill>
        </w:rPr>
        <w:t>液体表面蒸汽压，Pa</w:t>
      </w:r>
      <w:r>
        <w:rPr>
          <w:rFonts w:hint="eastAsia" w:cs="Times New Roman"/>
          <w:color w:val="0D0D0D" w:themeColor="text1" w:themeTint="F2"/>
          <w:kern w:val="0"/>
          <w:szCs w:val="24"/>
          <w:u w:val="single"/>
          <w14:textFill>
            <w14:solidFill>
              <w14:schemeClr w14:val="tx1">
                <w14:lumMod w14:val="95000"/>
                <w14:lumOff w14:val="5000"/>
              </w14:schemeClr>
            </w14:solidFill>
          </w14:textFill>
        </w:rPr>
        <w:t>，取</w:t>
      </w:r>
      <w:r>
        <w:rPr>
          <w:rFonts w:cs="Times New Roman"/>
          <w:color w:val="0D0D0D" w:themeColor="text1" w:themeTint="F2"/>
          <w:kern w:val="0"/>
          <w:szCs w:val="24"/>
          <w:u w:val="single"/>
          <w14:textFill>
            <w14:solidFill>
              <w14:schemeClr w14:val="tx1">
                <w14:lumMod w14:val="95000"/>
                <w14:lumOff w14:val="5000"/>
              </w14:schemeClr>
            </w14:solidFill>
          </w14:textFill>
        </w:rPr>
        <w:t>21860.97Pa；</w:t>
      </w:r>
    </w:p>
    <w:p w14:paraId="315994E4">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cs="Times New Roman"/>
          <w:color w:val="0D0D0D" w:themeColor="text1" w:themeTint="F2"/>
          <w:kern w:val="0"/>
          <w:szCs w:val="24"/>
          <w:u w:val="single"/>
          <w14:textFill>
            <w14:solidFill>
              <w14:schemeClr w14:val="tx1">
                <w14:lumMod w14:val="95000"/>
                <w14:lumOff w14:val="5000"/>
              </w14:schemeClr>
            </w14:solidFill>
          </w14:textFill>
        </w:rPr>
        <w:t>R</w:t>
      </w:r>
      <w:r>
        <w:rPr>
          <w:rFonts w:hint="eastAsia" w:cs="Times New Roman"/>
          <w:color w:val="0D0D0D" w:themeColor="text1" w:themeTint="F2"/>
          <w:kern w:val="0"/>
          <w:szCs w:val="24"/>
          <w:u w:val="single"/>
          <w14:textFill>
            <w14:solidFill>
              <w14:schemeClr w14:val="tx1">
                <w14:lumMod w14:val="95000"/>
                <w14:lumOff w14:val="5000"/>
              </w14:schemeClr>
            </w14:solidFill>
          </w14:textFill>
        </w:rPr>
        <w:t>—</w:t>
      </w:r>
      <w:r>
        <w:rPr>
          <w:rFonts w:cs="Times New Roman"/>
          <w:color w:val="0D0D0D" w:themeColor="text1" w:themeTint="F2"/>
          <w:kern w:val="0"/>
          <w:szCs w:val="24"/>
          <w:u w:val="single"/>
          <w14:textFill>
            <w14:solidFill>
              <w14:schemeClr w14:val="tx1">
                <w14:lumMod w14:val="95000"/>
                <w14:lumOff w14:val="5000"/>
              </w14:schemeClr>
            </w14:solidFill>
          </w14:textFill>
        </w:rPr>
        <w:t>气体常数，J/mol·K，取8.314J/mol·K；</w:t>
      </w:r>
    </w:p>
    <w:p w14:paraId="54B1B5B6">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cs="Times New Roman"/>
          <w:color w:val="0D0D0D" w:themeColor="text1" w:themeTint="F2"/>
          <w:kern w:val="0"/>
          <w:szCs w:val="24"/>
          <w:u w:val="single"/>
          <w14:textFill>
            <w14:solidFill>
              <w14:schemeClr w14:val="tx1">
                <w14:lumMod w14:val="95000"/>
                <w14:lumOff w14:val="5000"/>
              </w14:schemeClr>
            </w14:solidFill>
          </w14:textFill>
        </w:rPr>
        <w:t>T</w:t>
      </w:r>
      <w:r>
        <w:rPr>
          <w:rFonts w:cs="Times New Roman"/>
          <w:color w:val="0D0D0D" w:themeColor="text1" w:themeTint="F2"/>
          <w:kern w:val="0"/>
          <w:szCs w:val="24"/>
          <w:u w:val="single"/>
          <w:vertAlign w:val="subscript"/>
          <w14:textFill>
            <w14:solidFill>
              <w14:schemeClr w14:val="tx1">
                <w14:lumMod w14:val="95000"/>
                <w14:lumOff w14:val="5000"/>
              </w14:schemeClr>
            </w14:solidFill>
          </w14:textFill>
        </w:rPr>
        <w:t>0</w:t>
      </w:r>
      <w:r>
        <w:rPr>
          <w:rFonts w:hint="eastAsia" w:cs="Times New Roman"/>
          <w:color w:val="0D0D0D" w:themeColor="text1" w:themeTint="F2"/>
          <w:kern w:val="0"/>
          <w:szCs w:val="24"/>
          <w:u w:val="single"/>
          <w14:textFill>
            <w14:solidFill>
              <w14:schemeClr w14:val="tx1">
                <w14:lumMod w14:val="95000"/>
                <w14:lumOff w14:val="5000"/>
              </w14:schemeClr>
            </w14:solidFill>
          </w14:textFill>
        </w:rPr>
        <w:t>—</w:t>
      </w:r>
      <w:r>
        <w:rPr>
          <w:rFonts w:cs="Times New Roman"/>
          <w:color w:val="0D0D0D" w:themeColor="text1" w:themeTint="F2"/>
          <w:kern w:val="0"/>
          <w:szCs w:val="24"/>
          <w:u w:val="single"/>
          <w14:textFill>
            <w14:solidFill>
              <w14:schemeClr w14:val="tx1">
                <w14:lumMod w14:val="95000"/>
                <w14:lumOff w14:val="5000"/>
              </w14:schemeClr>
            </w14:solidFill>
          </w14:textFill>
        </w:rPr>
        <w:t>环境温度，K</w:t>
      </w:r>
      <w:r>
        <w:rPr>
          <w:rFonts w:hint="eastAsia" w:cs="Times New Roman"/>
          <w:color w:val="0D0D0D" w:themeColor="text1" w:themeTint="F2"/>
          <w:kern w:val="0"/>
          <w:szCs w:val="24"/>
          <w:u w:val="single"/>
          <w14:textFill>
            <w14:solidFill>
              <w14:schemeClr w14:val="tx1">
                <w14:lumMod w14:val="95000"/>
                <w14:lumOff w14:val="5000"/>
              </w14:schemeClr>
            </w14:solidFill>
          </w14:textFill>
        </w:rPr>
        <w:t>，取年平均气温2</w:t>
      </w:r>
      <w:r>
        <w:rPr>
          <w:rFonts w:cs="Times New Roman"/>
          <w:color w:val="0D0D0D" w:themeColor="text1" w:themeTint="F2"/>
          <w:kern w:val="0"/>
          <w:szCs w:val="24"/>
          <w:u w:val="single"/>
          <w14:textFill>
            <w14:solidFill>
              <w14:schemeClr w14:val="tx1">
                <w14:lumMod w14:val="95000"/>
                <w14:lumOff w14:val="5000"/>
              </w14:schemeClr>
            </w14:solidFill>
          </w14:textFill>
        </w:rPr>
        <w:t>99.35K；</w:t>
      </w:r>
    </w:p>
    <w:p w14:paraId="4094DA83">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cs="Times New Roman"/>
          <w:color w:val="0D0D0D" w:themeColor="text1" w:themeTint="F2"/>
          <w:kern w:val="0"/>
          <w:szCs w:val="24"/>
          <w:u w:val="single"/>
          <w14:textFill>
            <w14:solidFill>
              <w14:schemeClr w14:val="tx1">
                <w14:lumMod w14:val="95000"/>
                <w14:lumOff w14:val="5000"/>
              </w14:schemeClr>
            </w14:solidFill>
          </w14:textFill>
        </w:rPr>
        <w:t>M</w:t>
      </w:r>
      <w:r>
        <w:rPr>
          <w:rFonts w:hint="eastAsia" w:cs="Times New Roman"/>
          <w:color w:val="0D0D0D" w:themeColor="text1" w:themeTint="F2"/>
          <w:kern w:val="0"/>
          <w:szCs w:val="24"/>
          <w:u w:val="single"/>
          <w14:textFill>
            <w14:solidFill>
              <w14:schemeClr w14:val="tx1">
                <w14:lumMod w14:val="95000"/>
                <w14:lumOff w14:val="5000"/>
              </w14:schemeClr>
            </w14:solidFill>
          </w14:textFill>
        </w:rPr>
        <w:t>—</w:t>
      </w:r>
      <w:r>
        <w:rPr>
          <w:rFonts w:cs="Times New Roman"/>
          <w:color w:val="0D0D0D" w:themeColor="text1" w:themeTint="F2"/>
          <w:kern w:val="0"/>
          <w:szCs w:val="24"/>
          <w:u w:val="single"/>
          <w14:textFill>
            <w14:solidFill>
              <w14:schemeClr w14:val="tx1">
                <w14:lumMod w14:val="95000"/>
                <w14:lumOff w14:val="5000"/>
              </w14:schemeClr>
            </w14:solidFill>
          </w14:textFill>
        </w:rPr>
        <w:t>物质的摩尔质量，kg/mol</w:t>
      </w:r>
      <w:r>
        <w:rPr>
          <w:rFonts w:hint="eastAsia" w:cs="Times New Roman"/>
          <w:color w:val="0D0D0D" w:themeColor="text1" w:themeTint="F2"/>
          <w:kern w:val="0"/>
          <w:szCs w:val="24"/>
          <w:u w:val="single"/>
          <w14:textFill>
            <w14:solidFill>
              <w14:schemeClr w14:val="tx1">
                <w14:lumMod w14:val="95000"/>
                <w14:lumOff w14:val="5000"/>
              </w14:schemeClr>
            </w14:solidFill>
          </w14:textFill>
        </w:rPr>
        <w:t>，甲醇为0</w:t>
      </w:r>
      <w:r>
        <w:rPr>
          <w:rFonts w:cs="Times New Roman"/>
          <w:color w:val="0D0D0D" w:themeColor="text1" w:themeTint="F2"/>
          <w:kern w:val="0"/>
          <w:szCs w:val="24"/>
          <w:u w:val="single"/>
          <w14:textFill>
            <w14:solidFill>
              <w14:schemeClr w14:val="tx1">
                <w14:lumMod w14:val="95000"/>
                <w14:lumOff w14:val="5000"/>
              </w14:schemeClr>
            </w14:solidFill>
          </w14:textFill>
        </w:rPr>
        <w:t>.032kg/mol；</w:t>
      </w:r>
    </w:p>
    <w:p w14:paraId="298FB3CD">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cs="Times New Roman"/>
          <w:color w:val="0D0D0D" w:themeColor="text1" w:themeTint="F2"/>
          <w:kern w:val="0"/>
          <w:szCs w:val="24"/>
          <w:u w:val="single"/>
          <w14:textFill>
            <w14:solidFill>
              <w14:schemeClr w14:val="tx1">
                <w14:lumMod w14:val="95000"/>
                <w14:lumOff w14:val="5000"/>
              </w14:schemeClr>
            </w14:solidFill>
          </w14:textFill>
        </w:rPr>
        <w:t>u</w:t>
      </w:r>
      <w:r>
        <w:rPr>
          <w:rFonts w:hint="eastAsia" w:cs="Times New Roman"/>
          <w:color w:val="0D0D0D" w:themeColor="text1" w:themeTint="F2"/>
          <w:kern w:val="0"/>
          <w:szCs w:val="24"/>
          <w:u w:val="single"/>
          <w14:textFill>
            <w14:solidFill>
              <w14:schemeClr w14:val="tx1">
                <w14:lumMod w14:val="95000"/>
                <w14:lumOff w14:val="5000"/>
              </w14:schemeClr>
            </w14:solidFill>
          </w14:textFill>
        </w:rPr>
        <w:t>—</w:t>
      </w:r>
      <w:r>
        <w:rPr>
          <w:rFonts w:cs="Times New Roman"/>
          <w:color w:val="0D0D0D" w:themeColor="text1" w:themeTint="F2"/>
          <w:kern w:val="0"/>
          <w:szCs w:val="24"/>
          <w:u w:val="single"/>
          <w14:textFill>
            <w14:solidFill>
              <w14:schemeClr w14:val="tx1">
                <w14:lumMod w14:val="95000"/>
                <w14:lumOff w14:val="5000"/>
              </w14:schemeClr>
            </w14:solidFill>
          </w14:textFill>
        </w:rPr>
        <w:t>风速，m/s</w:t>
      </w:r>
      <w:r>
        <w:rPr>
          <w:rFonts w:hint="eastAsia" w:cs="Times New Roman"/>
          <w:color w:val="0D0D0D" w:themeColor="text1" w:themeTint="F2"/>
          <w:kern w:val="0"/>
          <w:szCs w:val="24"/>
          <w:u w:val="single"/>
          <w14:textFill>
            <w14:solidFill>
              <w14:schemeClr w14:val="tx1">
                <w14:lumMod w14:val="95000"/>
                <w14:lumOff w14:val="5000"/>
              </w14:schemeClr>
            </w14:solidFill>
          </w14:textFill>
        </w:rPr>
        <w:t>，取年平均风速2.2</w:t>
      </w:r>
      <w:r>
        <w:rPr>
          <w:rFonts w:cs="Times New Roman"/>
          <w:color w:val="0D0D0D" w:themeColor="text1" w:themeTint="F2"/>
          <w:kern w:val="0"/>
          <w:szCs w:val="24"/>
          <w:u w:val="single"/>
          <w14:textFill>
            <w14:solidFill>
              <w14:schemeClr w14:val="tx1">
                <w14:lumMod w14:val="95000"/>
                <w14:lumOff w14:val="5000"/>
              </w14:schemeClr>
            </w14:solidFill>
          </w14:textFill>
        </w:rPr>
        <w:t>m/s</w:t>
      </w:r>
      <w:r>
        <w:rPr>
          <w:rFonts w:hint="eastAsia" w:cs="Times New Roman"/>
          <w:color w:val="0D0D0D" w:themeColor="text1" w:themeTint="F2"/>
          <w:kern w:val="0"/>
          <w:szCs w:val="24"/>
          <w:u w:val="single"/>
          <w14:textFill>
            <w14:solidFill>
              <w14:schemeClr w14:val="tx1">
                <w14:lumMod w14:val="95000"/>
                <w14:lumOff w14:val="5000"/>
              </w14:schemeClr>
            </w14:solidFill>
          </w14:textFill>
        </w:rPr>
        <w:t>；</w:t>
      </w:r>
    </w:p>
    <w:p w14:paraId="08F17BA5">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cs="Times New Roman"/>
          <w:color w:val="0D0D0D" w:themeColor="text1" w:themeTint="F2"/>
          <w:kern w:val="0"/>
          <w:szCs w:val="24"/>
          <w:u w:val="single"/>
          <w14:textFill>
            <w14:solidFill>
              <w14:schemeClr w14:val="tx1">
                <w14:lumMod w14:val="95000"/>
                <w14:lumOff w14:val="5000"/>
              </w14:schemeClr>
            </w14:solidFill>
          </w14:textFill>
        </w:rPr>
        <w:t>r</w:t>
      </w:r>
      <w:r>
        <w:rPr>
          <w:rFonts w:hint="eastAsia" w:cs="Times New Roman"/>
          <w:color w:val="0D0D0D" w:themeColor="text1" w:themeTint="F2"/>
          <w:kern w:val="0"/>
          <w:szCs w:val="24"/>
          <w:u w:val="single"/>
          <w14:textFill>
            <w14:solidFill>
              <w14:schemeClr w14:val="tx1">
                <w14:lumMod w14:val="95000"/>
                <w14:lumOff w14:val="5000"/>
              </w14:schemeClr>
            </w14:solidFill>
          </w14:textFill>
        </w:rPr>
        <w:t>—</w:t>
      </w:r>
      <w:r>
        <w:rPr>
          <w:rFonts w:cs="Times New Roman"/>
          <w:color w:val="0D0D0D" w:themeColor="text1" w:themeTint="F2"/>
          <w:kern w:val="0"/>
          <w:szCs w:val="24"/>
          <w:u w:val="single"/>
          <w14:textFill>
            <w14:solidFill>
              <w14:schemeClr w14:val="tx1">
                <w14:lumMod w14:val="95000"/>
                <w14:lumOff w14:val="5000"/>
              </w14:schemeClr>
            </w14:solidFill>
          </w14:textFill>
        </w:rPr>
        <w:t>液池半径，m</w:t>
      </w:r>
      <w:r>
        <w:rPr>
          <w:rFonts w:hint="eastAsia" w:cs="Times New Roman"/>
          <w:color w:val="0D0D0D" w:themeColor="text1" w:themeTint="F2"/>
          <w:kern w:val="0"/>
          <w:szCs w:val="24"/>
          <w:u w:val="single"/>
          <w14:textFill>
            <w14:solidFill>
              <w14:schemeClr w14:val="tx1">
                <w14:lumMod w14:val="95000"/>
                <w14:lumOff w14:val="5000"/>
              </w14:schemeClr>
            </w14:solidFill>
          </w14:textFill>
        </w:rPr>
        <w:t>，取1</w:t>
      </w:r>
      <w:r>
        <w:rPr>
          <w:rFonts w:cs="Times New Roman"/>
          <w:color w:val="0D0D0D" w:themeColor="text1" w:themeTint="F2"/>
          <w:kern w:val="0"/>
          <w:szCs w:val="24"/>
          <w:u w:val="single"/>
          <w14:textFill>
            <w14:solidFill>
              <w14:schemeClr w14:val="tx1">
                <w14:lumMod w14:val="95000"/>
                <w14:lumOff w14:val="5000"/>
              </w14:schemeClr>
            </w14:solidFill>
          </w14:textFill>
        </w:rPr>
        <w:t>2.36m。</w:t>
      </w:r>
    </w:p>
    <w:p w14:paraId="332116F3">
      <w:pPr>
        <w:pStyle w:val="11"/>
      </w:pPr>
      <w:r>
        <w:rPr>
          <w:rFonts w:hint="eastAsia"/>
        </w:rPr>
        <w:t xml:space="preserve"> 液池蒸发模式参数</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8"/>
        <w:gridCol w:w="1549"/>
        <w:gridCol w:w="3005"/>
      </w:tblGrid>
      <w:tr w14:paraId="17CE2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36" w:type="pct"/>
            <w:vAlign w:val="center"/>
          </w:tcPr>
          <w:p w14:paraId="177A2FFD">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稳定度</w:t>
            </w:r>
          </w:p>
        </w:tc>
        <w:tc>
          <w:tcPr>
            <w:tcW w:w="838" w:type="pct"/>
            <w:vAlign w:val="center"/>
          </w:tcPr>
          <w:p w14:paraId="458FA9DE">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n</w:t>
            </w:r>
          </w:p>
        </w:tc>
        <w:tc>
          <w:tcPr>
            <w:tcW w:w="1627" w:type="pct"/>
            <w:vAlign w:val="center"/>
          </w:tcPr>
          <w:p w14:paraId="337482E4">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a</w:t>
            </w:r>
          </w:p>
        </w:tc>
      </w:tr>
      <w:tr w14:paraId="698D6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36" w:type="pct"/>
            <w:vAlign w:val="center"/>
          </w:tcPr>
          <w:p w14:paraId="5A72C3E4">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不稳定（A，B）</w:t>
            </w:r>
          </w:p>
        </w:tc>
        <w:tc>
          <w:tcPr>
            <w:tcW w:w="838" w:type="pct"/>
            <w:vAlign w:val="center"/>
          </w:tcPr>
          <w:p w14:paraId="7FD1F36A">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0</w:t>
            </w:r>
            <w:r>
              <w:rPr>
                <w:rFonts w:cs="Times New Roman"/>
                <w:color w:val="0D0D0D" w:themeColor="text1" w:themeTint="F2"/>
                <w:sz w:val="21"/>
                <w:szCs w:val="21"/>
                <w14:textFill>
                  <w14:solidFill>
                    <w14:schemeClr w14:val="tx1">
                      <w14:lumMod w14:val="95000"/>
                      <w14:lumOff w14:val="5000"/>
                    </w14:schemeClr>
                  </w14:solidFill>
                </w14:textFill>
              </w:rPr>
              <w:t>.2</w:t>
            </w:r>
          </w:p>
        </w:tc>
        <w:tc>
          <w:tcPr>
            <w:tcW w:w="1627" w:type="pct"/>
            <w:vAlign w:val="center"/>
          </w:tcPr>
          <w:p w14:paraId="347437CC">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3.846×10</w:t>
            </w:r>
            <w:r>
              <w:rPr>
                <w:rFonts w:cs="Times New Roman"/>
                <w:color w:val="0D0D0D" w:themeColor="text1" w:themeTint="F2"/>
                <w:sz w:val="21"/>
                <w:szCs w:val="21"/>
                <w:vertAlign w:val="superscript"/>
                <w14:textFill>
                  <w14:solidFill>
                    <w14:schemeClr w14:val="tx1">
                      <w14:lumMod w14:val="95000"/>
                      <w14:lumOff w14:val="5000"/>
                    </w14:schemeClr>
                  </w14:solidFill>
                </w14:textFill>
              </w:rPr>
              <w:t>-3</w:t>
            </w:r>
          </w:p>
        </w:tc>
      </w:tr>
      <w:tr w14:paraId="7CF91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36" w:type="pct"/>
            <w:vAlign w:val="center"/>
          </w:tcPr>
          <w:p w14:paraId="70574E16">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中性（D）</w:t>
            </w:r>
          </w:p>
        </w:tc>
        <w:tc>
          <w:tcPr>
            <w:tcW w:w="838" w:type="pct"/>
            <w:vAlign w:val="center"/>
          </w:tcPr>
          <w:p w14:paraId="605B8C2A">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0</w:t>
            </w:r>
            <w:r>
              <w:rPr>
                <w:rFonts w:cs="Times New Roman"/>
                <w:color w:val="0D0D0D" w:themeColor="text1" w:themeTint="F2"/>
                <w:sz w:val="21"/>
                <w:szCs w:val="21"/>
                <w14:textFill>
                  <w14:solidFill>
                    <w14:schemeClr w14:val="tx1">
                      <w14:lumMod w14:val="95000"/>
                      <w14:lumOff w14:val="5000"/>
                    </w14:schemeClr>
                  </w14:solidFill>
                </w14:textFill>
              </w:rPr>
              <w:t>.25</w:t>
            </w:r>
          </w:p>
        </w:tc>
        <w:tc>
          <w:tcPr>
            <w:tcW w:w="1627" w:type="pct"/>
            <w:vAlign w:val="center"/>
          </w:tcPr>
          <w:p w14:paraId="331D0FEF">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4.685×10</w:t>
            </w:r>
            <w:r>
              <w:rPr>
                <w:rFonts w:cs="Times New Roman"/>
                <w:color w:val="0D0D0D" w:themeColor="text1" w:themeTint="F2"/>
                <w:sz w:val="21"/>
                <w:szCs w:val="21"/>
                <w:vertAlign w:val="superscript"/>
                <w14:textFill>
                  <w14:solidFill>
                    <w14:schemeClr w14:val="tx1">
                      <w14:lumMod w14:val="95000"/>
                      <w14:lumOff w14:val="5000"/>
                    </w14:schemeClr>
                  </w14:solidFill>
                </w14:textFill>
              </w:rPr>
              <w:t>-3</w:t>
            </w:r>
          </w:p>
        </w:tc>
      </w:tr>
      <w:tr w14:paraId="01635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36" w:type="pct"/>
            <w:vAlign w:val="center"/>
          </w:tcPr>
          <w:p w14:paraId="7A86C4DA">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稳定（</w:t>
            </w:r>
            <w:r>
              <w:rPr>
                <w:rFonts w:cs="Times New Roman"/>
                <w:color w:val="0D0D0D" w:themeColor="text1" w:themeTint="F2"/>
                <w:sz w:val="21"/>
                <w:szCs w:val="21"/>
                <w14:textFill>
                  <w14:solidFill>
                    <w14:schemeClr w14:val="tx1">
                      <w14:lumMod w14:val="95000"/>
                      <w14:lumOff w14:val="5000"/>
                    </w14:schemeClr>
                  </w14:solidFill>
                </w14:textFill>
              </w:rPr>
              <w:t>E</w:t>
            </w:r>
            <w:r>
              <w:rPr>
                <w:rFonts w:hint="eastAsia" w:cs="Times New Roman"/>
                <w:color w:val="0D0D0D" w:themeColor="text1" w:themeTint="F2"/>
                <w:sz w:val="21"/>
                <w:szCs w:val="21"/>
                <w14:textFill>
                  <w14:solidFill>
                    <w14:schemeClr w14:val="tx1">
                      <w14:lumMod w14:val="95000"/>
                      <w14:lumOff w14:val="5000"/>
                    </w14:schemeClr>
                  </w14:solidFill>
                </w14:textFill>
              </w:rPr>
              <w:t>）</w:t>
            </w:r>
          </w:p>
        </w:tc>
        <w:tc>
          <w:tcPr>
            <w:tcW w:w="838" w:type="pct"/>
            <w:vAlign w:val="center"/>
          </w:tcPr>
          <w:p w14:paraId="1F3AD150">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0</w:t>
            </w:r>
            <w:r>
              <w:rPr>
                <w:rFonts w:cs="Times New Roman"/>
                <w:color w:val="0D0D0D" w:themeColor="text1" w:themeTint="F2"/>
                <w:sz w:val="21"/>
                <w:szCs w:val="21"/>
                <w14:textFill>
                  <w14:solidFill>
                    <w14:schemeClr w14:val="tx1">
                      <w14:lumMod w14:val="95000"/>
                      <w14:lumOff w14:val="5000"/>
                    </w14:schemeClr>
                  </w14:solidFill>
                </w14:textFill>
              </w:rPr>
              <w:t>.3</w:t>
            </w:r>
          </w:p>
        </w:tc>
        <w:tc>
          <w:tcPr>
            <w:tcW w:w="1627" w:type="pct"/>
            <w:vAlign w:val="center"/>
          </w:tcPr>
          <w:p w14:paraId="2E7CB61E">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5.285×10</w:t>
            </w:r>
            <w:r>
              <w:rPr>
                <w:rFonts w:cs="Times New Roman"/>
                <w:color w:val="0D0D0D" w:themeColor="text1" w:themeTint="F2"/>
                <w:sz w:val="21"/>
                <w:szCs w:val="21"/>
                <w:vertAlign w:val="superscript"/>
                <w14:textFill>
                  <w14:solidFill>
                    <w14:schemeClr w14:val="tx1">
                      <w14:lumMod w14:val="95000"/>
                      <w14:lumOff w14:val="5000"/>
                    </w14:schemeClr>
                  </w14:solidFill>
                </w14:textFill>
              </w:rPr>
              <w:t>-3</w:t>
            </w:r>
          </w:p>
        </w:tc>
      </w:tr>
    </w:tbl>
    <w:p w14:paraId="5C28CC5D">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经计算，若甲醇储罐发生泄漏时，在最不利气象条件下甲醇的蒸发速度为0</w:t>
      </w:r>
      <w:r>
        <w:rPr>
          <w:rFonts w:cs="Times New Roman"/>
          <w:color w:val="0D0D0D" w:themeColor="text1" w:themeTint="F2"/>
          <w:kern w:val="0"/>
          <w:szCs w:val="24"/>
          <w:u w:val="single"/>
          <w14:textFill>
            <w14:solidFill>
              <w14:schemeClr w14:val="tx1">
                <w14:lumMod w14:val="95000"/>
                <w14:lumOff w14:val="5000"/>
              </w14:schemeClr>
            </w14:solidFill>
          </w14:textFill>
        </w:rPr>
        <w:t>.141</w:t>
      </w:r>
      <w:r>
        <w:rPr>
          <w:rFonts w:hint="eastAsia" w:cs="Times New Roman"/>
          <w:color w:val="0D0D0D" w:themeColor="text1" w:themeTint="F2"/>
          <w:kern w:val="0"/>
          <w:szCs w:val="24"/>
          <w:u w:val="single"/>
          <w14:textFill>
            <w14:solidFill>
              <w14:schemeClr w14:val="tx1">
                <w14:lumMod w14:val="95000"/>
                <w14:lumOff w14:val="5000"/>
              </w14:schemeClr>
            </w14:solidFill>
          </w14:textFill>
        </w:rPr>
        <w:t>k</w:t>
      </w:r>
      <w:r>
        <w:rPr>
          <w:rFonts w:cs="Times New Roman"/>
          <w:color w:val="0D0D0D" w:themeColor="text1" w:themeTint="F2"/>
          <w:kern w:val="0"/>
          <w:szCs w:val="24"/>
          <w:u w:val="single"/>
          <w14:textFill>
            <w14:solidFill>
              <w14:schemeClr w14:val="tx1">
                <w14:lumMod w14:val="95000"/>
                <w14:lumOff w14:val="5000"/>
              </w14:schemeClr>
            </w14:solidFill>
          </w14:textFill>
        </w:rPr>
        <w:t>g/s</w:t>
      </w:r>
      <w:r>
        <w:rPr>
          <w:rFonts w:hint="eastAsia" w:cs="Times New Roman"/>
          <w:color w:val="0D0D0D" w:themeColor="text1" w:themeTint="F2"/>
          <w:kern w:val="0"/>
          <w:szCs w:val="24"/>
          <w:u w:val="single"/>
          <w14:textFill>
            <w14:solidFill>
              <w14:schemeClr w14:val="tx1">
                <w14:lumMod w14:val="95000"/>
                <w14:lumOff w14:val="5000"/>
              </w14:schemeClr>
            </w14:solidFill>
          </w14:textFill>
        </w:rPr>
        <w:t>，3</w:t>
      </w:r>
      <w:r>
        <w:rPr>
          <w:rFonts w:cs="Times New Roman"/>
          <w:color w:val="0D0D0D" w:themeColor="text1" w:themeTint="F2"/>
          <w:kern w:val="0"/>
          <w:szCs w:val="24"/>
          <w:u w:val="single"/>
          <w14:textFill>
            <w14:solidFill>
              <w14:schemeClr w14:val="tx1">
                <w14:lumMod w14:val="95000"/>
                <w14:lumOff w14:val="5000"/>
              </w14:schemeClr>
            </w14:solidFill>
          </w14:textFill>
        </w:rPr>
        <w:t>0min</w:t>
      </w:r>
      <w:r>
        <w:rPr>
          <w:rFonts w:hint="eastAsia" w:cs="Times New Roman"/>
          <w:color w:val="0D0D0D" w:themeColor="text1" w:themeTint="F2"/>
          <w:kern w:val="0"/>
          <w:szCs w:val="24"/>
          <w:u w:val="single"/>
          <w14:textFill>
            <w14:solidFill>
              <w14:schemeClr w14:val="tx1">
                <w14:lumMod w14:val="95000"/>
                <w14:lumOff w14:val="5000"/>
              </w14:schemeClr>
            </w14:solidFill>
          </w14:textFill>
        </w:rPr>
        <w:t>蒸发量为2</w:t>
      </w:r>
      <w:r>
        <w:rPr>
          <w:rFonts w:cs="Times New Roman"/>
          <w:color w:val="0D0D0D" w:themeColor="text1" w:themeTint="F2"/>
          <w:kern w:val="0"/>
          <w:szCs w:val="24"/>
          <w:u w:val="single"/>
          <w14:textFill>
            <w14:solidFill>
              <w14:schemeClr w14:val="tx1">
                <w14:lumMod w14:val="95000"/>
                <w14:lumOff w14:val="5000"/>
              </w14:schemeClr>
            </w14:solidFill>
          </w14:textFill>
        </w:rPr>
        <w:t>53</w:t>
      </w:r>
      <w:r>
        <w:rPr>
          <w:rFonts w:hint="eastAsia" w:cs="Times New Roman"/>
          <w:color w:val="0D0D0D" w:themeColor="text1" w:themeTint="F2"/>
          <w:kern w:val="0"/>
          <w:szCs w:val="24"/>
          <w:u w:val="single"/>
          <w14:textFill>
            <w14:solidFill>
              <w14:schemeClr w14:val="tx1">
                <w14:lumMod w14:val="95000"/>
                <w14:lumOff w14:val="5000"/>
              </w14:schemeClr>
            </w14:solidFill>
          </w14:textFill>
        </w:rPr>
        <w:t>k</w:t>
      </w:r>
      <w:r>
        <w:rPr>
          <w:rFonts w:cs="Times New Roman"/>
          <w:color w:val="0D0D0D" w:themeColor="text1" w:themeTint="F2"/>
          <w:kern w:val="0"/>
          <w:szCs w:val="24"/>
          <w:u w:val="single"/>
          <w14:textFill>
            <w14:solidFill>
              <w14:schemeClr w14:val="tx1">
                <w14:lumMod w14:val="95000"/>
                <w14:lumOff w14:val="5000"/>
              </w14:schemeClr>
            </w14:solidFill>
          </w14:textFill>
        </w:rPr>
        <w:t>g</w:t>
      </w:r>
      <w:r>
        <w:rPr>
          <w:rFonts w:hint="eastAsia" w:cs="Times New Roman"/>
          <w:color w:val="0D0D0D" w:themeColor="text1" w:themeTint="F2"/>
          <w:kern w:val="0"/>
          <w:szCs w:val="24"/>
          <w:u w:val="single"/>
          <w14:textFill>
            <w14:solidFill>
              <w14:schemeClr w14:val="tx1">
                <w14:lumMod w14:val="95000"/>
                <w14:lumOff w14:val="5000"/>
              </w14:schemeClr>
            </w14:solidFill>
          </w14:textFill>
        </w:rPr>
        <w:t>。</w:t>
      </w:r>
    </w:p>
    <w:p w14:paraId="2434E1CE">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③甲醇泄漏后火灾爆炸伴生/次生污染物产生量估算</w:t>
      </w:r>
    </w:p>
    <w:p w14:paraId="1BC76EDC">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假定甲醇储罐破裂泄露，遇火源发生剧烈的燃烧或爆炸，燃烧会产生伴生</w:t>
      </w:r>
      <w:r>
        <w:rPr>
          <w:rFonts w:cs="Times New Roman"/>
          <w:color w:val="0D0D0D" w:themeColor="text1" w:themeTint="F2"/>
          <w:kern w:val="0"/>
          <w:szCs w:val="24"/>
          <w:u w:val="single"/>
          <w14:textFill>
            <w14:solidFill>
              <w14:schemeClr w14:val="tx1">
                <w14:lumMod w14:val="95000"/>
                <w14:lumOff w14:val="5000"/>
              </w14:schemeClr>
            </w14:solidFill>
          </w14:textFill>
        </w:rPr>
        <w:t>/次生</w:t>
      </w:r>
      <w:r>
        <w:rPr>
          <w:rFonts w:hint="eastAsia" w:cs="Times New Roman"/>
          <w:color w:val="0D0D0D" w:themeColor="text1" w:themeTint="F2"/>
          <w:kern w:val="0"/>
          <w:szCs w:val="24"/>
          <w:u w:val="single"/>
          <w14:textFill>
            <w14:solidFill>
              <w14:schemeClr w14:val="tx1">
                <w14:lumMod w14:val="95000"/>
                <w14:lumOff w14:val="5000"/>
              </w14:schemeClr>
            </w14:solidFill>
          </w14:textFill>
        </w:rPr>
        <w:t>污染物</w:t>
      </w:r>
      <w:r>
        <w:rPr>
          <w:rFonts w:cs="Times New Roman"/>
          <w:color w:val="0D0D0D" w:themeColor="text1" w:themeTint="F2"/>
          <w:kern w:val="0"/>
          <w:szCs w:val="24"/>
          <w:u w:val="single"/>
          <w14:textFill>
            <w14:solidFill>
              <w14:schemeClr w14:val="tx1">
                <w14:lumMod w14:val="95000"/>
                <w14:lumOff w14:val="5000"/>
              </w14:schemeClr>
            </w14:solidFill>
          </w14:textFill>
        </w:rPr>
        <w:t>CO</w:t>
      </w:r>
      <w:r>
        <w:rPr>
          <w:rFonts w:hint="eastAsia" w:cs="Times New Roman"/>
          <w:color w:val="0D0D0D" w:themeColor="text1" w:themeTint="F2"/>
          <w:kern w:val="0"/>
          <w:szCs w:val="24"/>
          <w:u w:val="single"/>
          <w14:textFill>
            <w14:solidFill>
              <w14:schemeClr w14:val="tx1">
                <w14:lumMod w14:val="95000"/>
                <w14:lumOff w14:val="5000"/>
              </w14:schemeClr>
            </w14:solidFill>
          </w14:textFill>
        </w:rPr>
        <w:t>。</w:t>
      </w:r>
    </w:p>
    <w:p w14:paraId="4CF4AB4A">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cs="Times New Roman"/>
          <w:color w:val="0D0D0D" w:themeColor="text1" w:themeTint="F2"/>
          <w:kern w:val="0"/>
          <w:szCs w:val="24"/>
          <w:u w:val="single"/>
          <w14:textFill>
            <w14:solidFill>
              <w14:schemeClr w14:val="tx1">
                <w14:lumMod w14:val="95000"/>
                <w14:lumOff w14:val="5000"/>
              </w14:schemeClr>
            </w14:solidFill>
          </w14:textFill>
        </w:rPr>
        <w:t>CO产生量按下式计算：</w:t>
      </w:r>
    </w:p>
    <w:p w14:paraId="615C06A7">
      <w:pPr>
        <w:ind w:firstLine="480" w:firstLineChars="200"/>
        <w:jc w:val="center"/>
        <w:rPr>
          <w:rFonts w:cs="Times New Roman"/>
          <w:color w:val="0D0D0D" w:themeColor="text1" w:themeTint="F2"/>
          <w:kern w:val="0"/>
          <w:szCs w:val="24"/>
          <w:u w:val="single"/>
          <w14:textFill>
            <w14:solidFill>
              <w14:schemeClr w14:val="tx1">
                <w14:lumMod w14:val="95000"/>
                <w14:lumOff w14:val="5000"/>
              </w14:schemeClr>
            </w14:solidFill>
          </w14:textFill>
        </w:rPr>
      </w:pPr>
      <w:r>
        <w:rPr>
          <w:rFonts w:cs="Times New Roman"/>
          <w:color w:val="0D0D0D" w:themeColor="text1" w:themeTint="F2"/>
          <w:kern w:val="0"/>
          <w:szCs w:val="24"/>
          <w:u w:val="single"/>
          <w14:textFill>
            <w14:solidFill>
              <w14:schemeClr w14:val="tx1">
                <w14:lumMod w14:val="95000"/>
                <w14:lumOff w14:val="5000"/>
              </w14:schemeClr>
            </w14:solidFill>
          </w14:textFill>
        </w:rPr>
        <w:t>G</w:t>
      </w:r>
      <w:r>
        <w:rPr>
          <w:rFonts w:cs="Times New Roman"/>
          <w:color w:val="0D0D0D" w:themeColor="text1" w:themeTint="F2"/>
          <w:kern w:val="0"/>
          <w:szCs w:val="24"/>
          <w:u w:val="single"/>
          <w:vertAlign w:val="subscript"/>
          <w14:textFill>
            <w14:solidFill>
              <w14:schemeClr w14:val="tx1">
                <w14:lumMod w14:val="95000"/>
                <w14:lumOff w14:val="5000"/>
              </w14:schemeClr>
            </w14:solidFill>
          </w14:textFill>
        </w:rPr>
        <w:t>CO</w:t>
      </w:r>
      <w:r>
        <w:rPr>
          <w:rFonts w:hint="eastAsia" w:cs="Times New Roman"/>
          <w:color w:val="0D0D0D" w:themeColor="text1" w:themeTint="F2"/>
          <w:kern w:val="0"/>
          <w:szCs w:val="24"/>
          <w:u w:val="single"/>
          <w14:textFill>
            <w14:solidFill>
              <w14:schemeClr w14:val="tx1">
                <w14:lumMod w14:val="95000"/>
                <w14:lumOff w14:val="5000"/>
              </w14:schemeClr>
            </w14:solidFill>
          </w14:textFill>
        </w:rPr>
        <w:t>=</w:t>
      </w:r>
      <w:r>
        <w:rPr>
          <w:rFonts w:cs="Times New Roman"/>
          <w:color w:val="0D0D0D" w:themeColor="text1" w:themeTint="F2"/>
          <w:kern w:val="0"/>
          <w:szCs w:val="24"/>
          <w:u w:val="single"/>
          <w14:textFill>
            <w14:solidFill>
              <w14:schemeClr w14:val="tx1">
                <w14:lumMod w14:val="95000"/>
                <w14:lumOff w14:val="5000"/>
              </w14:schemeClr>
            </w14:solidFill>
          </w14:textFill>
        </w:rPr>
        <w:t>2330</w:t>
      </w:r>
      <w:r>
        <w:rPr>
          <w:rFonts w:hint="eastAsia" w:cs="Times New Roman"/>
          <w:color w:val="0D0D0D" w:themeColor="text1" w:themeTint="F2"/>
          <w:kern w:val="0"/>
          <w:szCs w:val="24"/>
          <w:u w:val="single"/>
          <w14:textFill>
            <w14:solidFill>
              <w14:schemeClr w14:val="tx1">
                <w14:lumMod w14:val="95000"/>
                <w14:lumOff w14:val="5000"/>
              </w14:schemeClr>
            </w14:solidFill>
          </w14:textFill>
        </w:rPr>
        <w:t>×q×C×Q</w:t>
      </w:r>
    </w:p>
    <w:p w14:paraId="75AC2E38">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式中：</w:t>
      </w:r>
    </w:p>
    <w:p w14:paraId="22782D88">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G</w:t>
      </w:r>
      <w:r>
        <w:rPr>
          <w:rFonts w:hint="eastAsia" w:cs="Times New Roman"/>
          <w:color w:val="0D0D0D" w:themeColor="text1" w:themeTint="F2"/>
          <w:kern w:val="0"/>
          <w:szCs w:val="24"/>
          <w:u w:val="single"/>
          <w:vertAlign w:val="subscript"/>
          <w14:textFill>
            <w14:solidFill>
              <w14:schemeClr w14:val="tx1">
                <w14:lumMod w14:val="95000"/>
                <w14:lumOff w14:val="5000"/>
              </w14:schemeClr>
            </w14:solidFill>
          </w14:textFill>
        </w:rPr>
        <w:t>C</w:t>
      </w:r>
      <w:r>
        <w:rPr>
          <w:rFonts w:cs="Times New Roman"/>
          <w:color w:val="0D0D0D" w:themeColor="text1" w:themeTint="F2"/>
          <w:kern w:val="0"/>
          <w:szCs w:val="24"/>
          <w:u w:val="single"/>
          <w:vertAlign w:val="subscript"/>
          <w14:textFill>
            <w14:solidFill>
              <w14:schemeClr w14:val="tx1">
                <w14:lumMod w14:val="95000"/>
                <w14:lumOff w14:val="5000"/>
              </w14:schemeClr>
            </w14:solidFill>
          </w14:textFill>
        </w:rPr>
        <w:t>O</w:t>
      </w:r>
      <w:r>
        <w:rPr>
          <w:rFonts w:hint="eastAsia" w:cs="Times New Roman"/>
          <w:color w:val="0D0D0D" w:themeColor="text1" w:themeTint="F2"/>
          <w:kern w:val="0"/>
          <w:szCs w:val="24"/>
          <w:u w:val="single"/>
          <w14:textFill>
            <w14:solidFill>
              <w14:schemeClr w14:val="tx1">
                <w14:lumMod w14:val="95000"/>
                <w14:lumOff w14:val="5000"/>
              </w14:schemeClr>
            </w14:solidFill>
          </w14:textFill>
        </w:rPr>
        <w:t>——产生量，k</w:t>
      </w:r>
      <w:r>
        <w:rPr>
          <w:rFonts w:cs="Times New Roman"/>
          <w:color w:val="0D0D0D" w:themeColor="text1" w:themeTint="F2"/>
          <w:kern w:val="0"/>
          <w:szCs w:val="24"/>
          <w:u w:val="single"/>
          <w14:textFill>
            <w14:solidFill>
              <w14:schemeClr w14:val="tx1">
                <w14:lumMod w14:val="95000"/>
                <w14:lumOff w14:val="5000"/>
              </w14:schemeClr>
            </w14:solidFill>
          </w14:textFill>
        </w:rPr>
        <w:t>g/s</w:t>
      </w:r>
      <w:r>
        <w:rPr>
          <w:rFonts w:hint="eastAsia" w:cs="Times New Roman"/>
          <w:color w:val="0D0D0D" w:themeColor="text1" w:themeTint="F2"/>
          <w:kern w:val="0"/>
          <w:szCs w:val="24"/>
          <w:u w:val="single"/>
          <w14:textFill>
            <w14:solidFill>
              <w14:schemeClr w14:val="tx1">
                <w14:lumMod w14:val="95000"/>
                <w14:lumOff w14:val="5000"/>
              </w14:schemeClr>
            </w14:solidFill>
          </w14:textFill>
        </w:rPr>
        <w:t>；</w:t>
      </w:r>
    </w:p>
    <w:p w14:paraId="77776D5B">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cs="Times New Roman"/>
          <w:color w:val="0D0D0D" w:themeColor="text1" w:themeTint="F2"/>
          <w:kern w:val="0"/>
          <w:szCs w:val="24"/>
          <w:u w:val="single"/>
          <w14:textFill>
            <w14:solidFill>
              <w14:schemeClr w14:val="tx1">
                <w14:lumMod w14:val="95000"/>
                <w14:lumOff w14:val="5000"/>
              </w14:schemeClr>
            </w14:solidFill>
          </w14:textFill>
        </w:rPr>
        <w:t>C</w:t>
      </w:r>
      <w:r>
        <w:rPr>
          <w:rFonts w:hint="eastAsia" w:cs="Times New Roman"/>
          <w:color w:val="0D0D0D" w:themeColor="text1" w:themeTint="F2"/>
          <w:kern w:val="0"/>
          <w:szCs w:val="24"/>
          <w:u w:val="single"/>
          <w14:textFill>
            <w14:solidFill>
              <w14:schemeClr w14:val="tx1">
                <w14:lumMod w14:val="95000"/>
                <w14:lumOff w14:val="5000"/>
              </w14:schemeClr>
            </w14:solidFill>
          </w14:textFill>
        </w:rPr>
        <w:t>——物质中含碳量，取8</w:t>
      </w:r>
      <w:r>
        <w:rPr>
          <w:rFonts w:cs="Times New Roman"/>
          <w:color w:val="0D0D0D" w:themeColor="text1" w:themeTint="F2"/>
          <w:kern w:val="0"/>
          <w:szCs w:val="24"/>
          <w:u w:val="single"/>
          <w14:textFill>
            <w14:solidFill>
              <w14:schemeClr w14:val="tx1">
                <w14:lumMod w14:val="95000"/>
                <w14:lumOff w14:val="5000"/>
              </w14:schemeClr>
            </w14:solidFill>
          </w14:textFill>
        </w:rPr>
        <w:t>5</w:t>
      </w:r>
      <w:r>
        <w:rPr>
          <w:rFonts w:hint="eastAsia" w:cs="Times New Roman"/>
          <w:color w:val="0D0D0D" w:themeColor="text1" w:themeTint="F2"/>
          <w:kern w:val="0"/>
          <w:szCs w:val="24"/>
          <w:u w:val="single"/>
          <w14:textFill>
            <w14:solidFill>
              <w14:schemeClr w14:val="tx1">
                <w14:lumMod w14:val="95000"/>
                <w14:lumOff w14:val="5000"/>
              </w14:schemeClr>
            </w14:solidFill>
          </w14:textFill>
        </w:rPr>
        <w:t>%；</w:t>
      </w:r>
    </w:p>
    <w:p w14:paraId="3BAB29AE">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q——化学不完全燃烧值，取6</w:t>
      </w:r>
      <w:r>
        <w:rPr>
          <w:rFonts w:cs="Times New Roman"/>
          <w:color w:val="0D0D0D" w:themeColor="text1" w:themeTint="F2"/>
          <w:kern w:val="0"/>
          <w:szCs w:val="24"/>
          <w:u w:val="single"/>
          <w14:textFill>
            <w14:solidFill>
              <w14:schemeClr w14:val="tx1">
                <w14:lumMod w14:val="95000"/>
                <w14:lumOff w14:val="5000"/>
              </w14:schemeClr>
            </w14:solidFill>
          </w14:textFill>
        </w:rPr>
        <w:t>.0</w:t>
      </w:r>
      <w:r>
        <w:rPr>
          <w:rFonts w:hint="eastAsia" w:cs="Times New Roman"/>
          <w:color w:val="0D0D0D" w:themeColor="text1" w:themeTint="F2"/>
          <w:kern w:val="0"/>
          <w:szCs w:val="24"/>
          <w:u w:val="single"/>
          <w14:textFill>
            <w14:solidFill>
              <w14:schemeClr w14:val="tx1">
                <w14:lumMod w14:val="95000"/>
                <w14:lumOff w14:val="5000"/>
              </w14:schemeClr>
            </w14:solidFill>
          </w14:textFill>
        </w:rPr>
        <w:t>%；</w:t>
      </w:r>
    </w:p>
    <w:p w14:paraId="306AC829">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Q——参与燃烧的物质量，t</w:t>
      </w:r>
      <w:r>
        <w:rPr>
          <w:rFonts w:cs="Times New Roman"/>
          <w:color w:val="0D0D0D" w:themeColor="text1" w:themeTint="F2"/>
          <w:kern w:val="0"/>
          <w:szCs w:val="24"/>
          <w:u w:val="single"/>
          <w14:textFill>
            <w14:solidFill>
              <w14:schemeClr w14:val="tx1">
                <w14:lumMod w14:val="95000"/>
                <w14:lumOff w14:val="5000"/>
              </w14:schemeClr>
            </w14:solidFill>
          </w14:textFill>
        </w:rPr>
        <w:t>/s</w:t>
      </w:r>
      <w:r>
        <w:rPr>
          <w:rFonts w:hint="eastAsia" w:cs="Times New Roman"/>
          <w:color w:val="0D0D0D" w:themeColor="text1" w:themeTint="F2"/>
          <w:kern w:val="0"/>
          <w:szCs w:val="24"/>
          <w:u w:val="single"/>
          <w14:textFill>
            <w14:solidFill>
              <w14:schemeClr w14:val="tx1">
                <w14:lumMod w14:val="95000"/>
                <w14:lumOff w14:val="5000"/>
              </w14:schemeClr>
            </w14:solidFill>
          </w14:textFill>
        </w:rPr>
        <w:t>，项目为0</w:t>
      </w:r>
      <w:r>
        <w:rPr>
          <w:rFonts w:cs="Times New Roman"/>
          <w:color w:val="0D0D0D" w:themeColor="text1" w:themeTint="F2"/>
          <w:kern w:val="0"/>
          <w:szCs w:val="24"/>
          <w:u w:val="single"/>
          <w14:textFill>
            <w14:solidFill>
              <w14:schemeClr w14:val="tx1">
                <w14:lumMod w14:val="95000"/>
                <w14:lumOff w14:val="5000"/>
              </w14:schemeClr>
            </w14:solidFill>
          </w14:textFill>
        </w:rPr>
        <w:t>.000442t/s</w:t>
      </w:r>
      <w:r>
        <w:rPr>
          <w:rFonts w:hint="eastAsia" w:cs="Times New Roman"/>
          <w:color w:val="0D0D0D" w:themeColor="text1" w:themeTint="F2"/>
          <w:kern w:val="0"/>
          <w:szCs w:val="24"/>
          <w:u w:val="single"/>
          <w14:textFill>
            <w14:solidFill>
              <w14:schemeClr w14:val="tx1">
                <w14:lumMod w14:val="95000"/>
                <w14:lumOff w14:val="5000"/>
              </w14:schemeClr>
            </w14:solidFill>
          </w14:textFill>
        </w:rPr>
        <w:t>。</w:t>
      </w:r>
    </w:p>
    <w:p w14:paraId="0B8D9F78">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经计算，项目甲醇泄漏后火灾爆炸伴生/次生污染物C</w:t>
      </w:r>
      <w:r>
        <w:rPr>
          <w:rFonts w:cs="Times New Roman"/>
          <w:color w:val="0D0D0D" w:themeColor="text1" w:themeTint="F2"/>
          <w:kern w:val="0"/>
          <w:szCs w:val="24"/>
          <w:u w:val="single"/>
          <w14:textFill>
            <w14:solidFill>
              <w14:schemeClr w14:val="tx1">
                <w14:lumMod w14:val="95000"/>
                <w14:lumOff w14:val="5000"/>
              </w14:schemeClr>
            </w14:solidFill>
          </w14:textFill>
        </w:rPr>
        <w:t>O</w:t>
      </w:r>
      <w:r>
        <w:rPr>
          <w:rFonts w:hint="eastAsia" w:cs="Times New Roman"/>
          <w:color w:val="0D0D0D" w:themeColor="text1" w:themeTint="F2"/>
          <w:kern w:val="0"/>
          <w:szCs w:val="24"/>
          <w:u w:val="single"/>
          <w14:textFill>
            <w14:solidFill>
              <w14:schemeClr w14:val="tx1">
                <w14:lumMod w14:val="95000"/>
                <w14:lumOff w14:val="5000"/>
              </w14:schemeClr>
            </w14:solidFill>
          </w14:textFill>
        </w:rPr>
        <w:t>产生量为52.425</w:t>
      </w:r>
      <w:r>
        <w:rPr>
          <w:rFonts w:cs="Times New Roman"/>
          <w:color w:val="0D0D0D" w:themeColor="text1" w:themeTint="F2"/>
          <w:kern w:val="0"/>
          <w:szCs w:val="24"/>
          <w:u w:val="single"/>
          <w14:textFill>
            <w14:solidFill>
              <w14:schemeClr w14:val="tx1">
                <w14:lumMod w14:val="95000"/>
                <w14:lumOff w14:val="5000"/>
              </w14:schemeClr>
            </w14:solidFill>
          </w14:textFill>
        </w:rPr>
        <w:t>kg/s</w:t>
      </w:r>
      <w:r>
        <w:rPr>
          <w:rFonts w:hint="eastAsia" w:cs="Times New Roman"/>
          <w:color w:val="0D0D0D" w:themeColor="text1" w:themeTint="F2"/>
          <w:kern w:val="0"/>
          <w:szCs w:val="24"/>
          <w:u w:val="single"/>
          <w14:textFill>
            <w14:solidFill>
              <w14:schemeClr w14:val="tx1">
                <w14:lumMod w14:val="95000"/>
                <w14:lumOff w14:val="5000"/>
              </w14:schemeClr>
            </w14:solidFill>
          </w14:textFill>
        </w:rPr>
        <w:t>。</w:t>
      </w:r>
    </w:p>
    <w:p w14:paraId="532B7883">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（2）生物柴油火灾爆炸源项分析</w:t>
      </w:r>
    </w:p>
    <w:p w14:paraId="45BB2317">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对于生物柴油储罐来说，罐体结构均匀且经过严格的质控检验，发生整个容器破裂而泄漏的可能性很小。储罐泄漏事故发生概率最大的地方在于储罐和连接管件的接头处，经常会发生部分跑冒滴漏，特别是维保、安全检查时。若由于操作不当造成生物柴油储罐连接件发生破损导致连接不密合，会引发生物柴油泄漏，项目设置3个</w:t>
      </w:r>
      <w:r>
        <w:rPr>
          <w:rFonts w:cs="Times New Roman"/>
          <w:color w:val="0D0D0D" w:themeColor="text1" w:themeTint="F2"/>
          <w:kern w:val="0"/>
          <w:szCs w:val="24"/>
          <w14:textFill>
            <w14:solidFill>
              <w14:schemeClr w14:val="tx1">
                <w14:lumMod w14:val="95000"/>
                <w14:lumOff w14:val="5000"/>
              </w14:schemeClr>
            </w14:solidFill>
          </w14:textFill>
        </w:rPr>
        <w:t>2</w:t>
      </w:r>
      <w:r>
        <w:rPr>
          <w:rFonts w:hint="eastAsia" w:cs="Times New Roman"/>
          <w:color w:val="0D0D0D" w:themeColor="text1" w:themeTint="F2"/>
          <w:kern w:val="0"/>
          <w:szCs w:val="24"/>
          <w14:textFill>
            <w14:solidFill>
              <w14:schemeClr w14:val="tx1">
                <w14:lumMod w14:val="95000"/>
                <w14:lumOff w14:val="5000"/>
              </w14:schemeClr>
            </w14:solidFill>
          </w14:textFill>
        </w:rPr>
        <w:t>8</w:t>
      </w:r>
      <w:r>
        <w:rPr>
          <w:rFonts w:cs="Times New Roman"/>
          <w:color w:val="0D0D0D" w:themeColor="text1" w:themeTint="F2"/>
          <w:kern w:val="0"/>
          <w:szCs w:val="24"/>
          <w14:textFill>
            <w14:solidFill>
              <w14:schemeClr w14:val="tx1">
                <w14:lumMod w14:val="95000"/>
                <w14:lumOff w14:val="5000"/>
              </w14:schemeClr>
            </w14:solidFill>
          </w14:textFill>
        </w:rPr>
        <w:t>00m</w:t>
      </w:r>
      <w:r>
        <w:rPr>
          <w:rFonts w:cs="Times New Roman"/>
          <w:color w:val="0D0D0D" w:themeColor="text1" w:themeTint="F2"/>
          <w:kern w:val="0"/>
          <w:szCs w:val="24"/>
          <w:vertAlign w:val="superscript"/>
          <w14:textFill>
            <w14:solidFill>
              <w14:schemeClr w14:val="tx1">
                <w14:lumMod w14:val="95000"/>
                <w14:lumOff w14:val="5000"/>
              </w14:schemeClr>
            </w14:solidFill>
          </w14:textFill>
        </w:rPr>
        <w:t>3</w:t>
      </w:r>
      <w:r>
        <w:rPr>
          <w:rFonts w:hint="eastAsia" w:cs="Times New Roman"/>
          <w:color w:val="0D0D0D" w:themeColor="text1" w:themeTint="F2"/>
          <w:kern w:val="0"/>
          <w:szCs w:val="24"/>
          <w14:textFill>
            <w14:solidFill>
              <w14:schemeClr w14:val="tx1">
                <w14:lumMod w14:val="95000"/>
                <w14:lumOff w14:val="5000"/>
              </w14:schemeClr>
            </w14:solidFill>
          </w14:textFill>
        </w:rPr>
        <w:t>的生物柴油储罐、1个1</w:t>
      </w:r>
      <w:r>
        <w:rPr>
          <w:rFonts w:cs="Times New Roman"/>
          <w:color w:val="0D0D0D" w:themeColor="text1" w:themeTint="F2"/>
          <w:kern w:val="0"/>
          <w:szCs w:val="24"/>
          <w14:textFill>
            <w14:solidFill>
              <w14:schemeClr w14:val="tx1">
                <w14:lumMod w14:val="95000"/>
                <w14:lumOff w14:val="5000"/>
              </w14:schemeClr>
            </w14:solidFill>
          </w14:textFill>
        </w:rPr>
        <w:t>000m</w:t>
      </w:r>
      <w:r>
        <w:rPr>
          <w:rFonts w:cs="Times New Roman"/>
          <w:color w:val="0D0D0D" w:themeColor="text1" w:themeTint="F2"/>
          <w:kern w:val="0"/>
          <w:szCs w:val="24"/>
          <w:vertAlign w:val="superscript"/>
          <w14:textFill>
            <w14:solidFill>
              <w14:schemeClr w14:val="tx1">
                <w14:lumMod w14:val="95000"/>
                <w14:lumOff w14:val="5000"/>
              </w14:schemeClr>
            </w14:solidFill>
          </w14:textFill>
        </w:rPr>
        <w:t>3</w:t>
      </w:r>
      <w:r>
        <w:rPr>
          <w:rFonts w:hint="eastAsia" w:cs="Times New Roman"/>
          <w:color w:val="0D0D0D" w:themeColor="text1" w:themeTint="F2"/>
          <w:kern w:val="0"/>
          <w:szCs w:val="24"/>
          <w14:textFill>
            <w14:solidFill>
              <w14:schemeClr w14:val="tx1">
                <w14:lumMod w14:val="95000"/>
                <w14:lumOff w14:val="5000"/>
              </w14:schemeClr>
            </w14:solidFill>
          </w14:textFill>
        </w:rPr>
        <w:t>的精甘油储罐、1个1</w:t>
      </w:r>
      <w:r>
        <w:rPr>
          <w:rFonts w:cs="Times New Roman"/>
          <w:color w:val="0D0D0D" w:themeColor="text1" w:themeTint="F2"/>
          <w:kern w:val="0"/>
          <w:szCs w:val="24"/>
          <w14:textFill>
            <w14:solidFill>
              <w14:schemeClr w14:val="tx1">
                <w14:lumMod w14:val="95000"/>
                <w14:lumOff w14:val="5000"/>
              </w14:schemeClr>
            </w14:solidFill>
          </w14:textFill>
        </w:rPr>
        <w:t>000m</w:t>
      </w:r>
      <w:r>
        <w:rPr>
          <w:rFonts w:cs="Times New Roman"/>
          <w:color w:val="0D0D0D" w:themeColor="text1" w:themeTint="F2"/>
          <w:kern w:val="0"/>
          <w:szCs w:val="24"/>
          <w:vertAlign w:val="superscript"/>
          <w14:textFill>
            <w14:solidFill>
              <w14:schemeClr w14:val="tx1">
                <w14:lumMod w14:val="95000"/>
                <w14:lumOff w14:val="5000"/>
              </w14:schemeClr>
            </w14:solidFill>
          </w14:textFill>
        </w:rPr>
        <w:t>3</w:t>
      </w:r>
      <w:r>
        <w:rPr>
          <w:rFonts w:hint="eastAsia" w:cs="Times New Roman"/>
          <w:color w:val="0D0D0D" w:themeColor="text1" w:themeTint="F2"/>
          <w:kern w:val="0"/>
          <w:szCs w:val="24"/>
          <w14:textFill>
            <w14:solidFill>
              <w14:schemeClr w14:val="tx1">
                <w14:lumMod w14:val="95000"/>
                <w14:lumOff w14:val="5000"/>
              </w14:schemeClr>
            </w14:solidFill>
          </w14:textFill>
        </w:rPr>
        <w:t>的重质脂肪酸储罐、1个1</w:t>
      </w:r>
      <w:r>
        <w:rPr>
          <w:rFonts w:cs="Times New Roman"/>
          <w:color w:val="0D0D0D" w:themeColor="text1" w:themeTint="F2"/>
          <w:kern w:val="0"/>
          <w:szCs w:val="24"/>
          <w14:textFill>
            <w14:solidFill>
              <w14:schemeClr w14:val="tx1">
                <w14:lumMod w14:val="95000"/>
                <w14:lumOff w14:val="5000"/>
              </w14:schemeClr>
            </w14:solidFill>
          </w14:textFill>
        </w:rPr>
        <w:t>000m</w:t>
      </w:r>
      <w:r>
        <w:rPr>
          <w:rFonts w:cs="Times New Roman"/>
          <w:color w:val="0D0D0D" w:themeColor="text1" w:themeTint="F2"/>
          <w:kern w:val="0"/>
          <w:szCs w:val="24"/>
          <w:vertAlign w:val="superscript"/>
          <w14:textFill>
            <w14:solidFill>
              <w14:schemeClr w14:val="tx1">
                <w14:lumMod w14:val="95000"/>
                <w14:lumOff w14:val="5000"/>
              </w14:schemeClr>
            </w14:solidFill>
          </w14:textFill>
        </w:rPr>
        <w:t>3</w:t>
      </w:r>
      <w:r>
        <w:rPr>
          <w:rFonts w:hint="eastAsia" w:cs="Times New Roman"/>
          <w:color w:val="0D0D0D" w:themeColor="text1" w:themeTint="F2"/>
          <w:kern w:val="0"/>
          <w:szCs w:val="24"/>
          <w14:textFill>
            <w14:solidFill>
              <w14:schemeClr w14:val="tx1">
                <w14:lumMod w14:val="95000"/>
                <w14:lumOff w14:val="5000"/>
              </w14:schemeClr>
            </w14:solidFill>
          </w14:textFill>
        </w:rPr>
        <w:t>的工业级混合油储罐、1个1</w:t>
      </w:r>
      <w:r>
        <w:rPr>
          <w:rFonts w:cs="Times New Roman"/>
          <w:color w:val="0D0D0D" w:themeColor="text1" w:themeTint="F2"/>
          <w:kern w:val="0"/>
          <w:szCs w:val="24"/>
          <w14:textFill>
            <w14:solidFill>
              <w14:schemeClr w14:val="tx1">
                <w14:lumMod w14:val="95000"/>
                <w14:lumOff w14:val="5000"/>
              </w14:schemeClr>
            </w14:solidFill>
          </w14:textFill>
        </w:rPr>
        <w:t>000m</w:t>
      </w:r>
      <w:r>
        <w:rPr>
          <w:rFonts w:cs="Times New Roman"/>
          <w:color w:val="0D0D0D" w:themeColor="text1" w:themeTint="F2"/>
          <w:kern w:val="0"/>
          <w:szCs w:val="24"/>
          <w:vertAlign w:val="superscript"/>
          <w14:textFill>
            <w14:solidFill>
              <w14:schemeClr w14:val="tx1">
                <w14:lumMod w14:val="95000"/>
                <w14:lumOff w14:val="5000"/>
              </w14:schemeClr>
            </w14:solidFill>
          </w14:textFill>
        </w:rPr>
        <w:t>3</w:t>
      </w:r>
      <w:r>
        <w:rPr>
          <w:rFonts w:hint="eastAsia" w:cs="Times New Roman"/>
          <w:color w:val="0D0D0D" w:themeColor="text1" w:themeTint="F2"/>
          <w:kern w:val="0"/>
          <w:szCs w:val="24"/>
          <w14:textFill>
            <w14:solidFill>
              <w14:schemeClr w14:val="tx1">
                <w14:lumMod w14:val="95000"/>
                <w14:lumOff w14:val="5000"/>
              </w14:schemeClr>
            </w14:solidFill>
          </w14:textFill>
        </w:rPr>
        <w:t>的离心油储罐、2个1</w:t>
      </w:r>
      <w:r>
        <w:rPr>
          <w:rFonts w:cs="Times New Roman"/>
          <w:color w:val="0D0D0D" w:themeColor="text1" w:themeTint="F2"/>
          <w:kern w:val="0"/>
          <w:szCs w:val="24"/>
          <w14:textFill>
            <w14:solidFill>
              <w14:schemeClr w14:val="tx1">
                <w14:lumMod w14:val="95000"/>
                <w14:lumOff w14:val="5000"/>
              </w14:schemeClr>
            </w14:solidFill>
          </w14:textFill>
        </w:rPr>
        <w:t>000m</w:t>
      </w:r>
      <w:r>
        <w:rPr>
          <w:rFonts w:cs="Times New Roman"/>
          <w:color w:val="0D0D0D" w:themeColor="text1" w:themeTint="F2"/>
          <w:kern w:val="0"/>
          <w:szCs w:val="24"/>
          <w:vertAlign w:val="superscript"/>
          <w14:textFill>
            <w14:solidFill>
              <w14:schemeClr w14:val="tx1">
                <w14:lumMod w14:val="95000"/>
                <w14:lumOff w14:val="5000"/>
              </w14:schemeClr>
            </w14:solidFill>
          </w14:textFill>
        </w:rPr>
        <w:t>3</w:t>
      </w:r>
      <w:r>
        <w:rPr>
          <w:rFonts w:hint="eastAsia" w:cs="Times New Roman"/>
          <w:color w:val="0D0D0D" w:themeColor="text1" w:themeTint="F2"/>
          <w:kern w:val="0"/>
          <w:szCs w:val="24"/>
          <w14:textFill>
            <w14:solidFill>
              <w14:schemeClr w14:val="tx1">
                <w14:lumMod w14:val="95000"/>
                <w14:lumOff w14:val="5000"/>
              </w14:schemeClr>
            </w14:solidFill>
          </w14:textFill>
        </w:rPr>
        <w:t>的甘油水储罐和1个半成品油储罐，并配套设置围堰。</w:t>
      </w:r>
    </w:p>
    <w:p w14:paraId="373DF99B">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①生物柴油泄漏量</w:t>
      </w:r>
    </w:p>
    <w:p w14:paraId="36FA0721">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生物柴油储罐包括贮罐、管道、阀门、与贮槽</w:t>
      </w:r>
      <w:r>
        <w:rPr>
          <w:rFonts w:hint="eastAsia" w:cs="Times New Roman"/>
          <w:color w:val="0D0D0D" w:themeColor="text1" w:themeTint="F2"/>
          <w:kern w:val="0"/>
          <w:szCs w:val="24"/>
          <w:lang w:eastAsia="zh-CN"/>
          <w14:textFill>
            <w14:solidFill>
              <w14:schemeClr w14:val="tx1">
                <w14:lumMod w14:val="95000"/>
                <w14:lumOff w14:val="5000"/>
              </w14:schemeClr>
            </w14:solidFill>
          </w14:textFill>
        </w:rPr>
        <w:t>连接</w:t>
      </w:r>
      <w:r>
        <w:rPr>
          <w:rFonts w:hint="eastAsia" w:cs="Times New Roman"/>
          <w:color w:val="0D0D0D" w:themeColor="text1" w:themeTint="F2"/>
          <w:kern w:val="0"/>
          <w:szCs w:val="24"/>
          <w14:textFill>
            <w14:solidFill>
              <w14:schemeClr w14:val="tx1">
                <w14:lumMod w14:val="95000"/>
                <w14:lumOff w14:val="5000"/>
              </w14:schemeClr>
            </w14:solidFill>
          </w14:textFill>
        </w:rPr>
        <w:t>的入罐阀门、输出阀门等，本次计算以小孔泄漏（直径</w:t>
      </w:r>
      <w:r>
        <w:rPr>
          <w:rFonts w:cs="Times New Roman"/>
          <w:color w:val="0D0D0D" w:themeColor="text1" w:themeTint="F2"/>
          <w:kern w:val="0"/>
          <w:szCs w:val="24"/>
          <w14:textFill>
            <w14:solidFill>
              <w14:schemeClr w14:val="tx1">
                <w14:lumMod w14:val="95000"/>
                <w14:lumOff w14:val="5000"/>
              </w14:schemeClr>
            </w14:solidFill>
          </w14:textFill>
        </w:rPr>
        <w:t>10mm）作为泄漏的孔径</w:t>
      </w:r>
      <w:r>
        <w:rPr>
          <w:rFonts w:hint="eastAsia" w:cs="Times New Roman"/>
          <w:color w:val="0D0D0D" w:themeColor="text1" w:themeTint="F2"/>
          <w:kern w:val="0"/>
          <w:szCs w:val="24"/>
          <w14:textFill>
            <w14:solidFill>
              <w14:schemeClr w14:val="tx1">
                <w14:lumMod w14:val="95000"/>
                <w14:lumOff w14:val="5000"/>
              </w14:schemeClr>
            </w14:solidFill>
          </w14:textFill>
        </w:rPr>
        <w:t>，设定泄漏发生在阀门、接头处，裂口尺寸取阀门的</w:t>
      </w:r>
      <w:r>
        <w:rPr>
          <w:rFonts w:cs="Times New Roman"/>
          <w:color w:val="0D0D0D" w:themeColor="text1" w:themeTint="F2"/>
          <w:kern w:val="0"/>
          <w:szCs w:val="24"/>
          <w14:textFill>
            <w14:solidFill>
              <w14:schemeClr w14:val="tx1">
                <w14:lumMod w14:val="95000"/>
                <w14:lumOff w14:val="5000"/>
              </w14:schemeClr>
            </w14:solidFill>
          </w14:textFill>
        </w:rPr>
        <w:t>100%，泄漏孔径为10mm，孔径面积0.785cm</w:t>
      </w:r>
      <w:r>
        <w:rPr>
          <w:rFonts w:cs="Times New Roman"/>
          <w:color w:val="0D0D0D" w:themeColor="text1" w:themeTint="F2"/>
          <w:kern w:val="0"/>
          <w:szCs w:val="24"/>
          <w:vertAlign w:val="superscript"/>
          <w14:textFill>
            <w14:solidFill>
              <w14:schemeClr w14:val="tx1">
                <w14:lumMod w14:val="95000"/>
                <w14:lumOff w14:val="5000"/>
              </w14:schemeClr>
            </w14:solidFill>
          </w14:textFill>
        </w:rPr>
        <w:t>2</w:t>
      </w:r>
      <w:r>
        <w:rPr>
          <w:rFonts w:cs="Times New Roman"/>
          <w:color w:val="0D0D0D" w:themeColor="text1" w:themeTint="F2"/>
          <w:kern w:val="0"/>
          <w:szCs w:val="24"/>
          <w14:textFill>
            <w14:solidFill>
              <w14:schemeClr w14:val="tx1">
                <w14:lumMod w14:val="95000"/>
                <w14:lumOff w14:val="5000"/>
              </w14:schemeClr>
            </w14:solidFill>
          </w14:textFill>
        </w:rPr>
        <w:t>；事故发生后在30min内泄漏得到控制。</w:t>
      </w:r>
    </w:p>
    <w:p w14:paraId="30F041A0">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当生物柴油储罐破损事故时，液体泄漏速率按《建设项目环境风险评价技术导则》（H</w:t>
      </w:r>
      <w:r>
        <w:rPr>
          <w:rFonts w:cs="Times New Roman"/>
          <w:color w:val="0D0D0D" w:themeColor="text1" w:themeTint="F2"/>
          <w:kern w:val="0"/>
          <w:szCs w:val="24"/>
          <w14:textFill>
            <w14:solidFill>
              <w14:schemeClr w14:val="tx1">
                <w14:lumMod w14:val="95000"/>
                <w14:lumOff w14:val="5000"/>
              </w14:schemeClr>
            </w14:solidFill>
          </w14:textFill>
        </w:rPr>
        <w:t>J169-2018</w:t>
      </w:r>
      <w:r>
        <w:rPr>
          <w:rFonts w:hint="eastAsia" w:cs="Times New Roman"/>
          <w:color w:val="0D0D0D" w:themeColor="text1" w:themeTint="F2"/>
          <w:kern w:val="0"/>
          <w:szCs w:val="24"/>
          <w14:textFill>
            <w14:solidFill>
              <w14:schemeClr w14:val="tx1">
                <w14:lumMod w14:val="95000"/>
                <w14:lumOff w14:val="5000"/>
              </w14:schemeClr>
            </w14:solidFill>
          </w14:textFill>
        </w:rPr>
        <w:t>）中推荐的伯努利方程进行估算：</w:t>
      </w:r>
    </w:p>
    <w:p w14:paraId="0C12594A">
      <w:pPr>
        <w:spacing w:before="312" w:beforeLines="100" w:after="312" w:afterLines="100" w:line="480" w:lineRule="exact"/>
        <w:ind w:firstLine="480" w:firstLineChars="200"/>
        <w:rPr>
          <w:bCs/>
          <w:color w:val="0D0D0D" w:themeColor="text1" w:themeTint="F2"/>
          <w14:textFill>
            <w14:solidFill>
              <w14:schemeClr w14:val="tx1">
                <w14:lumMod w14:val="95000"/>
                <w14:lumOff w14:val="5000"/>
              </w14:schemeClr>
            </w14:solidFill>
          </w14:textFill>
        </w:rPr>
      </w:pPr>
      <m:oMathPara>
        <m:oMath>
          <m:sSub>
            <m:sSubPr>
              <m:ctrlPr>
                <w:rPr>
                  <w:rFonts w:ascii="Cambria Math" w:hAnsi="Cambria Math" w:cs="Times New Roman"/>
                  <w:i/>
                  <w:color w:val="0D0D0D" w:themeColor="text1" w:themeTint="F2"/>
                  <w:szCs w:val="24"/>
                  <w14:textFill>
                    <w14:solidFill>
                      <w14:schemeClr w14:val="tx1">
                        <w14:lumMod w14:val="95000"/>
                        <w14:lumOff w14:val="5000"/>
                      </w14:schemeClr>
                    </w14:solidFill>
                  </w14:textFill>
                </w:rPr>
              </m:ctrlPr>
            </m:sSubPr>
            <m:e>
              <m:r>
                <m:rPr/>
                <w:rPr>
                  <w:rFonts w:ascii="Cambria Math" w:hAnsi="Cambria Math"/>
                  <w:color w:val="0D0D0D" w:themeColor="text1" w:themeTint="F2"/>
                  <w14:textFill>
                    <w14:solidFill>
                      <w14:schemeClr w14:val="tx1">
                        <w14:lumMod w14:val="95000"/>
                        <w14:lumOff w14:val="5000"/>
                      </w14:schemeClr>
                    </w14:solidFill>
                  </w14:textFill>
                </w:rPr>
                <m:t>Q</m:t>
              </m:r>
              <m:ctrlPr>
                <w:rPr>
                  <w:rFonts w:ascii="Cambria Math" w:hAnsi="Cambria Math" w:cs="Times New Roman"/>
                  <w:i/>
                  <w:color w:val="0D0D0D" w:themeColor="text1" w:themeTint="F2"/>
                  <w:szCs w:val="24"/>
                  <w14:textFill>
                    <w14:solidFill>
                      <w14:schemeClr w14:val="tx1">
                        <w14:lumMod w14:val="95000"/>
                        <w14:lumOff w14:val="5000"/>
                      </w14:schemeClr>
                    </w14:solidFill>
                  </w14:textFill>
                </w:rPr>
              </m:ctrlPr>
            </m:e>
            <m:sub>
              <m:r>
                <m:rPr/>
                <w:rPr>
                  <w:rFonts w:ascii="Cambria Math" w:hAnsi="Cambria Math"/>
                  <w:color w:val="0D0D0D" w:themeColor="text1" w:themeTint="F2"/>
                  <w14:textFill>
                    <w14:solidFill>
                      <w14:schemeClr w14:val="tx1">
                        <w14:lumMod w14:val="95000"/>
                        <w14:lumOff w14:val="5000"/>
                      </w14:schemeClr>
                    </w14:solidFill>
                  </w14:textFill>
                </w:rPr>
                <m:t>L</m:t>
              </m:r>
              <m:ctrlPr>
                <w:rPr>
                  <w:rFonts w:ascii="Cambria Math" w:hAnsi="Cambria Math" w:cs="Times New Roman"/>
                  <w:i/>
                  <w:color w:val="0D0D0D" w:themeColor="text1" w:themeTint="F2"/>
                  <w:szCs w:val="24"/>
                  <w14:textFill>
                    <w14:solidFill>
                      <w14:schemeClr w14:val="tx1">
                        <w14:lumMod w14:val="95000"/>
                        <w14:lumOff w14:val="5000"/>
                      </w14:schemeClr>
                    </w14:solidFill>
                  </w14:textFill>
                </w:rPr>
              </m:ctrlPr>
            </m:sub>
          </m:sSub>
          <m:r>
            <m:rPr/>
            <w:rPr>
              <w:rFonts w:ascii="Cambria Math" w:hAnsi="Cambria Math"/>
              <w:color w:val="0D0D0D" w:themeColor="text1" w:themeTint="F2"/>
              <w14:textFill>
                <w14:solidFill>
                  <w14:schemeClr w14:val="tx1">
                    <w14:lumMod w14:val="95000"/>
                    <w14:lumOff w14:val="5000"/>
                  </w14:schemeClr>
                </w14:solidFill>
              </w14:textFill>
            </w:rPr>
            <m:t>=</m:t>
          </m:r>
          <m:sSub>
            <m:sSubPr>
              <m:ctrlPr>
                <w:rPr>
                  <w:rFonts w:ascii="Cambria Math" w:hAnsi="Cambria Math" w:cs="Times New Roman"/>
                  <w:i/>
                  <w:color w:val="0D0D0D" w:themeColor="text1" w:themeTint="F2"/>
                  <w:szCs w:val="24"/>
                  <w14:textFill>
                    <w14:solidFill>
                      <w14:schemeClr w14:val="tx1">
                        <w14:lumMod w14:val="95000"/>
                        <w14:lumOff w14:val="5000"/>
                      </w14:schemeClr>
                    </w14:solidFill>
                  </w14:textFill>
                </w:rPr>
              </m:ctrlPr>
            </m:sSubPr>
            <m:e>
              <m:r>
                <m:rPr/>
                <w:rPr>
                  <w:rFonts w:ascii="Cambria Math" w:hAnsi="Cambria Math"/>
                  <w:color w:val="0D0D0D" w:themeColor="text1" w:themeTint="F2"/>
                  <w14:textFill>
                    <w14:solidFill>
                      <w14:schemeClr w14:val="tx1">
                        <w14:lumMod w14:val="95000"/>
                        <w14:lumOff w14:val="5000"/>
                      </w14:schemeClr>
                    </w14:solidFill>
                  </w14:textFill>
                </w:rPr>
                <m:t>C</m:t>
              </m:r>
              <m:ctrlPr>
                <w:rPr>
                  <w:rFonts w:ascii="Cambria Math" w:hAnsi="Cambria Math" w:cs="Times New Roman"/>
                  <w:i/>
                  <w:color w:val="0D0D0D" w:themeColor="text1" w:themeTint="F2"/>
                  <w:szCs w:val="24"/>
                  <w14:textFill>
                    <w14:solidFill>
                      <w14:schemeClr w14:val="tx1">
                        <w14:lumMod w14:val="95000"/>
                        <w14:lumOff w14:val="5000"/>
                      </w14:schemeClr>
                    </w14:solidFill>
                  </w14:textFill>
                </w:rPr>
              </m:ctrlPr>
            </m:e>
            <m:sub>
              <m:r>
                <m:rPr/>
                <w:rPr>
                  <w:rFonts w:ascii="Cambria Math" w:hAnsi="Cambria Math"/>
                  <w:color w:val="0D0D0D" w:themeColor="text1" w:themeTint="F2"/>
                  <w14:textFill>
                    <w14:solidFill>
                      <w14:schemeClr w14:val="tx1">
                        <w14:lumMod w14:val="95000"/>
                        <w14:lumOff w14:val="5000"/>
                      </w14:schemeClr>
                    </w14:solidFill>
                  </w14:textFill>
                </w:rPr>
                <m:t>d</m:t>
              </m:r>
              <m:ctrlPr>
                <w:rPr>
                  <w:rFonts w:ascii="Cambria Math" w:hAnsi="Cambria Math" w:cs="Times New Roman"/>
                  <w:i/>
                  <w:color w:val="0D0D0D" w:themeColor="text1" w:themeTint="F2"/>
                  <w:szCs w:val="24"/>
                  <w14:textFill>
                    <w14:solidFill>
                      <w14:schemeClr w14:val="tx1">
                        <w14:lumMod w14:val="95000"/>
                        <w14:lumOff w14:val="5000"/>
                      </w14:schemeClr>
                    </w14:solidFill>
                  </w14:textFill>
                </w:rPr>
              </m:ctrlPr>
            </m:sub>
          </m:sSub>
          <m:r>
            <m:rPr/>
            <w:rPr>
              <w:rFonts w:ascii="Cambria Math" w:hAnsi="Cambria Math"/>
              <w:color w:val="0D0D0D" w:themeColor="text1" w:themeTint="F2"/>
              <w14:textFill>
                <w14:solidFill>
                  <w14:schemeClr w14:val="tx1">
                    <w14:lumMod w14:val="95000"/>
                    <w14:lumOff w14:val="5000"/>
                  </w14:schemeClr>
                </w14:solidFill>
              </w14:textFill>
            </w:rPr>
            <m:t>Aρ</m:t>
          </m:r>
          <m:rad>
            <m:radPr>
              <m:degHide m:val="1"/>
              <m:ctrlPr>
                <w:rPr>
                  <w:rFonts w:ascii="Cambria Math" w:hAnsi="Cambria Math" w:cs="Times New Roman"/>
                  <w:i/>
                  <w:color w:val="0D0D0D" w:themeColor="text1" w:themeTint="F2"/>
                  <w:szCs w:val="24"/>
                  <w14:textFill>
                    <w14:solidFill>
                      <w14:schemeClr w14:val="tx1">
                        <w14:lumMod w14:val="95000"/>
                        <w14:lumOff w14:val="5000"/>
                      </w14:schemeClr>
                    </w14:solidFill>
                  </w14:textFill>
                </w:rPr>
              </m:ctrlPr>
            </m:radPr>
            <m:deg>
              <m:ctrlPr>
                <w:rPr>
                  <w:rFonts w:ascii="Cambria Math" w:hAnsi="Cambria Math" w:cs="Times New Roman"/>
                  <w:i/>
                  <w:color w:val="0D0D0D" w:themeColor="text1" w:themeTint="F2"/>
                  <w:szCs w:val="24"/>
                  <w14:textFill>
                    <w14:solidFill>
                      <w14:schemeClr w14:val="tx1">
                        <w14:lumMod w14:val="95000"/>
                        <w14:lumOff w14:val="5000"/>
                      </w14:schemeClr>
                    </w14:solidFill>
                  </w14:textFill>
                </w:rPr>
              </m:ctrlPr>
            </m:deg>
            <m:e>
              <m:f>
                <m:fPr>
                  <m:ctrlPr>
                    <w:rPr>
                      <w:rFonts w:ascii="Cambria Math" w:hAnsi="Cambria Math" w:cs="Times New Roman"/>
                      <w:i/>
                      <w:color w:val="0D0D0D" w:themeColor="text1" w:themeTint="F2"/>
                      <w:szCs w:val="24"/>
                      <w14:textFill>
                        <w14:solidFill>
                          <w14:schemeClr w14:val="tx1">
                            <w14:lumMod w14:val="95000"/>
                            <w14:lumOff w14:val="5000"/>
                          </w14:schemeClr>
                        </w14:solidFill>
                      </w14:textFill>
                    </w:rPr>
                  </m:ctrlPr>
                </m:fPr>
                <m:num>
                  <m:r>
                    <m:rPr/>
                    <w:rPr>
                      <w:rFonts w:ascii="Cambria Math" w:hAnsi="Cambria Math"/>
                      <w:color w:val="0D0D0D" w:themeColor="text1" w:themeTint="F2"/>
                      <w14:textFill>
                        <w14:solidFill>
                          <w14:schemeClr w14:val="tx1">
                            <w14:lumMod w14:val="95000"/>
                            <w14:lumOff w14:val="5000"/>
                          </w14:schemeClr>
                        </w14:solidFill>
                      </w14:textFill>
                    </w:rPr>
                    <m:t>2(P−</m:t>
                  </m:r>
                  <m:sSub>
                    <m:sSubPr>
                      <m:ctrlPr>
                        <w:rPr>
                          <w:rFonts w:ascii="Cambria Math" w:hAnsi="Cambria Math" w:cs="Times New Roman"/>
                          <w:i/>
                          <w:color w:val="0D0D0D" w:themeColor="text1" w:themeTint="F2"/>
                          <w:szCs w:val="24"/>
                          <w14:textFill>
                            <w14:solidFill>
                              <w14:schemeClr w14:val="tx1">
                                <w14:lumMod w14:val="95000"/>
                                <w14:lumOff w14:val="5000"/>
                              </w14:schemeClr>
                            </w14:solidFill>
                          </w14:textFill>
                        </w:rPr>
                      </m:ctrlPr>
                    </m:sSubPr>
                    <m:e>
                      <m:r>
                        <m:rPr/>
                        <w:rPr>
                          <w:rFonts w:ascii="Cambria Math" w:hAnsi="Cambria Math"/>
                          <w:color w:val="0D0D0D" w:themeColor="text1" w:themeTint="F2"/>
                          <w14:textFill>
                            <w14:solidFill>
                              <w14:schemeClr w14:val="tx1">
                                <w14:lumMod w14:val="95000"/>
                                <w14:lumOff w14:val="5000"/>
                              </w14:schemeClr>
                            </w14:solidFill>
                          </w14:textFill>
                        </w:rPr>
                        <m:t>P</m:t>
                      </m:r>
                      <m:ctrlPr>
                        <w:rPr>
                          <w:rFonts w:ascii="Cambria Math" w:hAnsi="Cambria Math" w:cs="Times New Roman"/>
                          <w:i/>
                          <w:color w:val="0D0D0D" w:themeColor="text1" w:themeTint="F2"/>
                          <w:szCs w:val="24"/>
                          <w14:textFill>
                            <w14:solidFill>
                              <w14:schemeClr w14:val="tx1">
                                <w14:lumMod w14:val="95000"/>
                                <w14:lumOff w14:val="5000"/>
                              </w14:schemeClr>
                            </w14:solidFill>
                          </w14:textFill>
                        </w:rPr>
                      </m:ctrlPr>
                    </m:e>
                    <m:sub>
                      <m:r>
                        <m:rPr/>
                        <w:rPr>
                          <w:rFonts w:ascii="Cambria Math" w:hAnsi="Cambria Math"/>
                          <w:color w:val="0D0D0D" w:themeColor="text1" w:themeTint="F2"/>
                          <w14:textFill>
                            <w14:solidFill>
                              <w14:schemeClr w14:val="tx1">
                                <w14:lumMod w14:val="95000"/>
                                <w14:lumOff w14:val="5000"/>
                              </w14:schemeClr>
                            </w14:solidFill>
                          </w14:textFill>
                        </w:rPr>
                        <m:t>0</m:t>
                      </m:r>
                      <m:ctrlPr>
                        <w:rPr>
                          <w:rFonts w:ascii="Cambria Math" w:hAnsi="Cambria Math" w:cs="Times New Roman"/>
                          <w:i/>
                          <w:color w:val="0D0D0D" w:themeColor="text1" w:themeTint="F2"/>
                          <w:szCs w:val="24"/>
                          <w14:textFill>
                            <w14:solidFill>
                              <w14:schemeClr w14:val="tx1">
                                <w14:lumMod w14:val="95000"/>
                                <w14:lumOff w14:val="5000"/>
                              </w14:schemeClr>
                            </w14:solidFill>
                          </w14:textFill>
                        </w:rPr>
                      </m:ctrlPr>
                    </m:sub>
                  </m:sSub>
                  <m:r>
                    <m:rPr/>
                    <w:rPr>
                      <w:rFonts w:ascii="Cambria Math" w:hAnsi="Cambria Math"/>
                      <w:color w:val="0D0D0D" w:themeColor="text1" w:themeTint="F2"/>
                      <w14:textFill>
                        <w14:solidFill>
                          <w14:schemeClr w14:val="tx1">
                            <w14:lumMod w14:val="95000"/>
                            <w14:lumOff w14:val="5000"/>
                          </w14:schemeClr>
                        </w14:solidFill>
                      </w14:textFill>
                    </w:rPr>
                    <m:t>)</m:t>
                  </m:r>
                  <m:ctrlPr>
                    <w:rPr>
                      <w:rFonts w:ascii="Cambria Math" w:hAnsi="Cambria Math" w:cs="Times New Roman"/>
                      <w:i/>
                      <w:color w:val="0D0D0D" w:themeColor="text1" w:themeTint="F2"/>
                      <w:szCs w:val="24"/>
                      <w14:textFill>
                        <w14:solidFill>
                          <w14:schemeClr w14:val="tx1">
                            <w14:lumMod w14:val="95000"/>
                            <w14:lumOff w14:val="5000"/>
                          </w14:schemeClr>
                        </w14:solidFill>
                      </w14:textFill>
                    </w:rPr>
                  </m:ctrlPr>
                </m:num>
                <m:den>
                  <m:r>
                    <m:rPr/>
                    <w:rPr>
                      <w:rFonts w:ascii="Cambria Math" w:hAnsi="Cambria Math"/>
                      <w:color w:val="0D0D0D" w:themeColor="text1" w:themeTint="F2"/>
                      <w14:textFill>
                        <w14:solidFill>
                          <w14:schemeClr w14:val="tx1">
                            <w14:lumMod w14:val="95000"/>
                            <w14:lumOff w14:val="5000"/>
                          </w14:schemeClr>
                        </w14:solidFill>
                      </w14:textFill>
                    </w:rPr>
                    <m:t>ρ</m:t>
                  </m:r>
                  <m:ctrlPr>
                    <w:rPr>
                      <w:rFonts w:ascii="Cambria Math" w:hAnsi="Cambria Math" w:cs="Times New Roman"/>
                      <w:i/>
                      <w:color w:val="0D0D0D" w:themeColor="text1" w:themeTint="F2"/>
                      <w:szCs w:val="24"/>
                      <w14:textFill>
                        <w14:solidFill>
                          <w14:schemeClr w14:val="tx1">
                            <w14:lumMod w14:val="95000"/>
                            <w14:lumOff w14:val="5000"/>
                          </w14:schemeClr>
                        </w14:solidFill>
                      </w14:textFill>
                    </w:rPr>
                  </m:ctrlPr>
                </m:den>
              </m:f>
              <m:r>
                <m:rPr/>
                <w:rPr>
                  <w:rFonts w:ascii="Cambria Math" w:hAnsi="Cambria Math"/>
                  <w:color w:val="0D0D0D" w:themeColor="text1" w:themeTint="F2"/>
                  <w14:textFill>
                    <w14:solidFill>
                      <w14:schemeClr w14:val="tx1">
                        <w14:lumMod w14:val="95000"/>
                        <w14:lumOff w14:val="5000"/>
                      </w14:schemeClr>
                    </w14:solidFill>
                  </w14:textFill>
                </w:rPr>
                <m:t>+2gℎ</m:t>
              </m:r>
              <m:ctrlPr>
                <w:rPr>
                  <w:rFonts w:ascii="Cambria Math" w:hAnsi="Cambria Math" w:cs="Times New Roman"/>
                  <w:i/>
                  <w:color w:val="0D0D0D" w:themeColor="text1" w:themeTint="F2"/>
                  <w:szCs w:val="24"/>
                  <w14:textFill>
                    <w14:solidFill>
                      <w14:schemeClr w14:val="tx1">
                        <w14:lumMod w14:val="95000"/>
                        <w14:lumOff w14:val="5000"/>
                      </w14:schemeClr>
                    </w14:solidFill>
                  </w14:textFill>
                </w:rPr>
              </m:ctrlPr>
            </m:e>
          </m:rad>
        </m:oMath>
      </m:oMathPara>
    </w:p>
    <w:p w14:paraId="166D4A41">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cs="Times New Roman"/>
          <w:color w:val="0D0D0D" w:themeColor="text1" w:themeTint="F2"/>
          <w:kern w:val="0"/>
          <w:szCs w:val="24"/>
          <w14:textFill>
            <w14:solidFill>
              <w14:schemeClr w14:val="tx1">
                <w14:lumMod w14:val="95000"/>
                <w14:lumOff w14:val="5000"/>
              </w14:schemeClr>
            </w14:solidFill>
          </w14:textFill>
        </w:rPr>
        <w:t>式中：</w:t>
      </w:r>
    </w:p>
    <w:p w14:paraId="36F82E45">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cs="Times New Roman"/>
          <w:color w:val="0D0D0D" w:themeColor="text1" w:themeTint="F2"/>
          <w:kern w:val="0"/>
          <w:szCs w:val="24"/>
          <w14:textFill>
            <w14:solidFill>
              <w14:schemeClr w14:val="tx1">
                <w14:lumMod w14:val="95000"/>
                <w14:lumOff w14:val="5000"/>
              </w14:schemeClr>
            </w14:solidFill>
          </w14:textFill>
        </w:rPr>
        <w:t>Q</w:t>
      </w:r>
      <w:r>
        <w:rPr>
          <w:rFonts w:cs="Times New Roman"/>
          <w:color w:val="0D0D0D" w:themeColor="text1" w:themeTint="F2"/>
          <w:kern w:val="0"/>
          <w:szCs w:val="24"/>
          <w:vertAlign w:val="subscript"/>
          <w14:textFill>
            <w14:solidFill>
              <w14:schemeClr w14:val="tx1">
                <w14:lumMod w14:val="95000"/>
                <w14:lumOff w14:val="5000"/>
              </w14:schemeClr>
            </w14:solidFill>
          </w14:textFill>
        </w:rPr>
        <w:t>L</w:t>
      </w:r>
      <w:r>
        <w:rPr>
          <w:rFonts w:hint="eastAsia" w:cs="Times New Roman"/>
          <w:color w:val="0D0D0D" w:themeColor="text1" w:themeTint="F2"/>
          <w:kern w:val="0"/>
          <w:szCs w:val="24"/>
          <w14:textFill>
            <w14:solidFill>
              <w14:schemeClr w14:val="tx1">
                <w14:lumMod w14:val="95000"/>
                <w14:lumOff w14:val="5000"/>
              </w14:schemeClr>
            </w14:solidFill>
          </w14:textFill>
        </w:rPr>
        <w:t>——</w:t>
      </w:r>
      <w:r>
        <w:rPr>
          <w:rFonts w:cs="Times New Roman"/>
          <w:color w:val="0D0D0D" w:themeColor="text1" w:themeTint="F2"/>
          <w:kern w:val="0"/>
          <w:szCs w:val="24"/>
          <w14:textFill>
            <w14:solidFill>
              <w14:schemeClr w14:val="tx1">
                <w14:lumMod w14:val="95000"/>
                <w14:lumOff w14:val="5000"/>
              </w14:schemeClr>
            </w14:solidFill>
          </w14:textFill>
        </w:rPr>
        <w:t>液体泄漏速度，kg/s；</w:t>
      </w:r>
    </w:p>
    <w:p w14:paraId="6A13E45B">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cs="Times New Roman"/>
          <w:color w:val="0D0D0D" w:themeColor="text1" w:themeTint="F2"/>
          <w:kern w:val="0"/>
          <w:szCs w:val="24"/>
          <w14:textFill>
            <w14:solidFill>
              <w14:schemeClr w14:val="tx1">
                <w14:lumMod w14:val="95000"/>
                <w14:lumOff w14:val="5000"/>
              </w14:schemeClr>
            </w14:solidFill>
          </w14:textFill>
        </w:rPr>
        <w:t>C</w:t>
      </w:r>
      <w:r>
        <w:rPr>
          <w:rFonts w:cs="Times New Roman"/>
          <w:color w:val="0D0D0D" w:themeColor="text1" w:themeTint="F2"/>
          <w:kern w:val="0"/>
          <w:szCs w:val="24"/>
          <w:vertAlign w:val="subscript"/>
          <w14:textFill>
            <w14:solidFill>
              <w14:schemeClr w14:val="tx1">
                <w14:lumMod w14:val="95000"/>
                <w14:lumOff w14:val="5000"/>
              </w14:schemeClr>
            </w14:solidFill>
          </w14:textFill>
        </w:rPr>
        <w:t>d</w:t>
      </w:r>
      <w:r>
        <w:rPr>
          <w:rFonts w:hint="eastAsia" w:cs="Times New Roman"/>
          <w:color w:val="0D0D0D" w:themeColor="text1" w:themeTint="F2"/>
          <w:kern w:val="0"/>
          <w:szCs w:val="24"/>
          <w14:textFill>
            <w14:solidFill>
              <w14:schemeClr w14:val="tx1">
                <w14:lumMod w14:val="95000"/>
                <w14:lumOff w14:val="5000"/>
              </w14:schemeClr>
            </w14:solidFill>
          </w14:textFill>
        </w:rPr>
        <w:t>——</w:t>
      </w:r>
      <w:r>
        <w:rPr>
          <w:rFonts w:cs="Times New Roman"/>
          <w:color w:val="0D0D0D" w:themeColor="text1" w:themeTint="F2"/>
          <w:kern w:val="0"/>
          <w:szCs w:val="24"/>
          <w14:textFill>
            <w14:solidFill>
              <w14:schemeClr w14:val="tx1">
                <w14:lumMod w14:val="95000"/>
                <w14:lumOff w14:val="5000"/>
              </w14:schemeClr>
            </w14:solidFill>
          </w14:textFill>
        </w:rPr>
        <w:t>液体泄漏系数</w:t>
      </w:r>
      <w:r>
        <w:rPr>
          <w:rFonts w:hint="eastAsia" w:cs="Times New Roman"/>
          <w:color w:val="0D0D0D" w:themeColor="text1" w:themeTint="F2"/>
          <w:kern w:val="0"/>
          <w:szCs w:val="24"/>
          <w14:textFill>
            <w14:solidFill>
              <w14:schemeClr w14:val="tx1">
                <w14:lumMod w14:val="95000"/>
                <w14:lumOff w14:val="5000"/>
              </w14:schemeClr>
            </w14:solidFill>
          </w14:textFill>
        </w:rPr>
        <w:t>，取0</w:t>
      </w:r>
      <w:r>
        <w:rPr>
          <w:rFonts w:cs="Times New Roman"/>
          <w:color w:val="0D0D0D" w:themeColor="text1" w:themeTint="F2"/>
          <w:kern w:val="0"/>
          <w:szCs w:val="24"/>
          <w14:textFill>
            <w14:solidFill>
              <w14:schemeClr w14:val="tx1">
                <w14:lumMod w14:val="95000"/>
                <w14:lumOff w14:val="5000"/>
              </w14:schemeClr>
            </w14:solidFill>
          </w14:textFill>
        </w:rPr>
        <w:t>.63；</w:t>
      </w:r>
    </w:p>
    <w:p w14:paraId="182C685A">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cs="Times New Roman"/>
          <w:color w:val="0D0D0D" w:themeColor="text1" w:themeTint="F2"/>
          <w:kern w:val="0"/>
          <w:szCs w:val="24"/>
          <w14:textFill>
            <w14:solidFill>
              <w14:schemeClr w14:val="tx1">
                <w14:lumMod w14:val="95000"/>
                <w14:lumOff w14:val="5000"/>
              </w14:schemeClr>
            </w14:solidFill>
          </w14:textFill>
        </w:rPr>
        <w:t>A</w:t>
      </w:r>
      <w:r>
        <w:rPr>
          <w:rFonts w:hint="eastAsia" w:cs="Times New Roman"/>
          <w:color w:val="0D0D0D" w:themeColor="text1" w:themeTint="F2"/>
          <w:kern w:val="0"/>
          <w:szCs w:val="24"/>
          <w14:textFill>
            <w14:solidFill>
              <w14:schemeClr w14:val="tx1">
                <w14:lumMod w14:val="95000"/>
                <w14:lumOff w14:val="5000"/>
              </w14:schemeClr>
            </w14:solidFill>
          </w14:textFill>
        </w:rPr>
        <w:t>——</w:t>
      </w:r>
      <w:r>
        <w:rPr>
          <w:rFonts w:cs="Times New Roman"/>
          <w:color w:val="0D0D0D" w:themeColor="text1" w:themeTint="F2"/>
          <w:kern w:val="0"/>
          <w:szCs w:val="24"/>
          <w14:textFill>
            <w14:solidFill>
              <w14:schemeClr w14:val="tx1">
                <w14:lumMod w14:val="95000"/>
                <w14:lumOff w14:val="5000"/>
              </w14:schemeClr>
            </w14:solidFill>
          </w14:textFill>
        </w:rPr>
        <w:t>裂口面积，m</w:t>
      </w:r>
      <w:r>
        <w:rPr>
          <w:rFonts w:cs="Times New Roman"/>
          <w:color w:val="0D0D0D" w:themeColor="text1" w:themeTint="F2"/>
          <w:kern w:val="0"/>
          <w:szCs w:val="24"/>
          <w:vertAlign w:val="superscript"/>
          <w14:textFill>
            <w14:solidFill>
              <w14:schemeClr w14:val="tx1">
                <w14:lumMod w14:val="95000"/>
                <w14:lumOff w14:val="5000"/>
              </w14:schemeClr>
            </w14:solidFill>
          </w14:textFill>
        </w:rPr>
        <w:t>2</w:t>
      </w:r>
      <w:r>
        <w:rPr>
          <w:rFonts w:cs="Times New Roman"/>
          <w:color w:val="0D0D0D" w:themeColor="text1" w:themeTint="F2"/>
          <w:kern w:val="0"/>
          <w:szCs w:val="24"/>
          <w14:textFill>
            <w14:solidFill>
              <w14:schemeClr w14:val="tx1">
                <w14:lumMod w14:val="95000"/>
                <w14:lumOff w14:val="5000"/>
              </w14:schemeClr>
            </w14:solidFill>
          </w14:textFill>
        </w:rPr>
        <w:t>，裂口面积0.785cm</w:t>
      </w:r>
      <w:r>
        <w:rPr>
          <w:rFonts w:cs="Times New Roman"/>
          <w:color w:val="0D0D0D" w:themeColor="text1" w:themeTint="F2"/>
          <w:kern w:val="0"/>
          <w:szCs w:val="24"/>
          <w:vertAlign w:val="superscript"/>
          <w14:textFill>
            <w14:solidFill>
              <w14:schemeClr w14:val="tx1">
                <w14:lumMod w14:val="95000"/>
                <w14:lumOff w14:val="5000"/>
              </w14:schemeClr>
            </w14:solidFill>
          </w14:textFill>
        </w:rPr>
        <w:t>2</w:t>
      </w:r>
      <w:r>
        <w:rPr>
          <w:rFonts w:cs="Times New Roman"/>
          <w:color w:val="0D0D0D" w:themeColor="text1" w:themeTint="F2"/>
          <w:kern w:val="0"/>
          <w:szCs w:val="24"/>
          <w14:textFill>
            <w14:solidFill>
              <w14:schemeClr w14:val="tx1">
                <w14:lumMod w14:val="95000"/>
                <w14:lumOff w14:val="5000"/>
              </w14:schemeClr>
            </w14:solidFill>
          </w14:textFill>
        </w:rPr>
        <w:t>；</w:t>
      </w:r>
    </w:p>
    <w:p w14:paraId="7AAC10BF">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cs="Times New Roman"/>
          <w:color w:val="0D0D0D" w:themeColor="text1" w:themeTint="F2"/>
          <w:kern w:val="0"/>
          <w:szCs w:val="24"/>
          <w14:textFill>
            <w14:solidFill>
              <w14:schemeClr w14:val="tx1">
                <w14:lumMod w14:val="95000"/>
                <w14:lumOff w14:val="5000"/>
              </w14:schemeClr>
            </w14:solidFill>
          </w14:textFill>
        </w:rPr>
        <w:t>P</w:t>
      </w:r>
      <w:r>
        <w:rPr>
          <w:rFonts w:hint="eastAsia" w:cs="Times New Roman"/>
          <w:color w:val="0D0D0D" w:themeColor="text1" w:themeTint="F2"/>
          <w:kern w:val="0"/>
          <w:szCs w:val="24"/>
          <w14:textFill>
            <w14:solidFill>
              <w14:schemeClr w14:val="tx1">
                <w14:lumMod w14:val="95000"/>
                <w14:lumOff w14:val="5000"/>
              </w14:schemeClr>
            </w14:solidFill>
          </w14:textFill>
        </w:rPr>
        <w:t>——</w:t>
      </w:r>
      <w:r>
        <w:rPr>
          <w:rFonts w:cs="Times New Roman"/>
          <w:color w:val="0D0D0D" w:themeColor="text1" w:themeTint="F2"/>
          <w:kern w:val="0"/>
          <w:szCs w:val="24"/>
          <w14:textFill>
            <w14:solidFill>
              <w14:schemeClr w14:val="tx1">
                <w14:lumMod w14:val="95000"/>
                <w14:lumOff w14:val="5000"/>
              </w14:schemeClr>
            </w14:solidFill>
          </w14:textFill>
        </w:rPr>
        <w:t>容器内介质压力，Pa</w:t>
      </w:r>
      <w:r>
        <w:rPr>
          <w:rFonts w:hint="eastAsia" w:cs="Times New Roman"/>
          <w:color w:val="0D0D0D" w:themeColor="text1" w:themeTint="F2"/>
          <w:kern w:val="0"/>
          <w:szCs w:val="24"/>
          <w14:textFill>
            <w14:solidFill>
              <w14:schemeClr w14:val="tx1">
                <w14:lumMod w14:val="95000"/>
                <w14:lumOff w14:val="5000"/>
              </w14:schemeClr>
            </w14:solidFill>
          </w14:textFill>
        </w:rPr>
        <w:t>，取1</w:t>
      </w:r>
      <w:r>
        <w:rPr>
          <w:rFonts w:cs="Times New Roman"/>
          <w:color w:val="0D0D0D" w:themeColor="text1" w:themeTint="F2"/>
          <w:kern w:val="0"/>
          <w:szCs w:val="24"/>
          <w14:textFill>
            <w14:solidFill>
              <w14:schemeClr w14:val="tx1">
                <w14:lumMod w14:val="95000"/>
                <w14:lumOff w14:val="5000"/>
              </w14:schemeClr>
            </w14:solidFill>
          </w14:textFill>
        </w:rPr>
        <w:t>10kP</w:t>
      </w:r>
      <w:r>
        <w:rPr>
          <w:rFonts w:hint="eastAsia" w:cs="Times New Roman"/>
          <w:color w:val="0D0D0D" w:themeColor="text1" w:themeTint="F2"/>
          <w:kern w:val="0"/>
          <w:szCs w:val="24"/>
          <w14:textFill>
            <w14:solidFill>
              <w14:schemeClr w14:val="tx1">
                <w14:lumMod w14:val="95000"/>
                <w14:lumOff w14:val="5000"/>
              </w14:schemeClr>
            </w14:solidFill>
          </w14:textFill>
        </w:rPr>
        <w:t>a</w:t>
      </w:r>
      <w:r>
        <w:rPr>
          <w:rFonts w:cs="Times New Roman"/>
          <w:color w:val="0D0D0D" w:themeColor="text1" w:themeTint="F2"/>
          <w:kern w:val="0"/>
          <w:szCs w:val="24"/>
          <w14:textFill>
            <w14:solidFill>
              <w14:schemeClr w14:val="tx1">
                <w14:lumMod w14:val="95000"/>
                <w14:lumOff w14:val="5000"/>
              </w14:schemeClr>
            </w14:solidFill>
          </w14:textFill>
        </w:rPr>
        <w:t>；</w:t>
      </w:r>
    </w:p>
    <w:p w14:paraId="360B573D">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cs="Times New Roman"/>
          <w:color w:val="0D0D0D" w:themeColor="text1" w:themeTint="F2"/>
          <w:kern w:val="0"/>
          <w:szCs w:val="24"/>
          <w14:textFill>
            <w14:solidFill>
              <w14:schemeClr w14:val="tx1">
                <w14:lumMod w14:val="95000"/>
                <w14:lumOff w14:val="5000"/>
              </w14:schemeClr>
            </w14:solidFill>
          </w14:textFill>
        </w:rPr>
        <w:t>P</w:t>
      </w:r>
      <w:r>
        <w:rPr>
          <w:rFonts w:cs="Times New Roman"/>
          <w:color w:val="0D0D0D" w:themeColor="text1" w:themeTint="F2"/>
          <w:kern w:val="0"/>
          <w:szCs w:val="24"/>
          <w:vertAlign w:val="subscript"/>
          <w14:textFill>
            <w14:solidFill>
              <w14:schemeClr w14:val="tx1">
                <w14:lumMod w14:val="95000"/>
                <w14:lumOff w14:val="5000"/>
              </w14:schemeClr>
            </w14:solidFill>
          </w14:textFill>
        </w:rPr>
        <w:t>0</w:t>
      </w:r>
      <w:r>
        <w:rPr>
          <w:rFonts w:hint="eastAsia" w:cs="Times New Roman"/>
          <w:color w:val="0D0D0D" w:themeColor="text1" w:themeTint="F2"/>
          <w:kern w:val="0"/>
          <w:szCs w:val="24"/>
          <w14:textFill>
            <w14:solidFill>
              <w14:schemeClr w14:val="tx1">
                <w14:lumMod w14:val="95000"/>
                <w14:lumOff w14:val="5000"/>
              </w14:schemeClr>
            </w14:solidFill>
          </w14:textFill>
        </w:rPr>
        <w:t>——</w:t>
      </w:r>
      <w:r>
        <w:rPr>
          <w:rFonts w:cs="Times New Roman"/>
          <w:color w:val="0D0D0D" w:themeColor="text1" w:themeTint="F2"/>
          <w:kern w:val="0"/>
          <w:szCs w:val="24"/>
          <w14:textFill>
            <w14:solidFill>
              <w14:schemeClr w14:val="tx1">
                <w14:lumMod w14:val="95000"/>
                <w14:lumOff w14:val="5000"/>
              </w14:schemeClr>
            </w14:solidFill>
          </w14:textFill>
        </w:rPr>
        <w:t>环境压力，Pa</w:t>
      </w:r>
      <w:r>
        <w:rPr>
          <w:rFonts w:hint="eastAsia" w:cs="Times New Roman"/>
          <w:color w:val="0D0D0D" w:themeColor="text1" w:themeTint="F2"/>
          <w:kern w:val="0"/>
          <w:szCs w:val="24"/>
          <w14:textFill>
            <w14:solidFill>
              <w14:schemeClr w14:val="tx1">
                <w14:lumMod w14:val="95000"/>
                <w14:lumOff w14:val="5000"/>
              </w14:schemeClr>
            </w14:solidFill>
          </w14:textFill>
        </w:rPr>
        <w:t>，取1</w:t>
      </w:r>
      <w:r>
        <w:rPr>
          <w:rFonts w:cs="Times New Roman"/>
          <w:color w:val="0D0D0D" w:themeColor="text1" w:themeTint="F2"/>
          <w:kern w:val="0"/>
          <w:szCs w:val="24"/>
          <w14:textFill>
            <w14:solidFill>
              <w14:schemeClr w14:val="tx1">
                <w14:lumMod w14:val="95000"/>
                <w14:lumOff w14:val="5000"/>
              </w14:schemeClr>
            </w14:solidFill>
          </w14:textFill>
        </w:rPr>
        <w:t>01.325kPa；</w:t>
      </w:r>
    </w:p>
    <w:p w14:paraId="6C1E8FB5">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cs="Times New Roman"/>
          <w:color w:val="0D0D0D" w:themeColor="text1" w:themeTint="F2"/>
          <w:kern w:val="0"/>
          <w:szCs w:val="24"/>
          <w14:textFill>
            <w14:solidFill>
              <w14:schemeClr w14:val="tx1">
                <w14:lumMod w14:val="95000"/>
                <w14:lumOff w14:val="5000"/>
              </w14:schemeClr>
            </w14:solidFill>
          </w14:textFill>
        </w:rPr>
        <w:t>g</w:t>
      </w:r>
      <w:r>
        <w:rPr>
          <w:rFonts w:hint="eastAsia" w:cs="Times New Roman"/>
          <w:color w:val="0D0D0D" w:themeColor="text1" w:themeTint="F2"/>
          <w:kern w:val="0"/>
          <w:szCs w:val="24"/>
          <w14:textFill>
            <w14:solidFill>
              <w14:schemeClr w14:val="tx1">
                <w14:lumMod w14:val="95000"/>
                <w14:lumOff w14:val="5000"/>
              </w14:schemeClr>
            </w14:solidFill>
          </w14:textFill>
        </w:rPr>
        <w:t>——</w:t>
      </w:r>
      <w:r>
        <w:rPr>
          <w:rFonts w:cs="Times New Roman"/>
          <w:color w:val="0D0D0D" w:themeColor="text1" w:themeTint="F2"/>
          <w:kern w:val="0"/>
          <w:szCs w:val="24"/>
          <w14:textFill>
            <w14:solidFill>
              <w14:schemeClr w14:val="tx1">
                <w14:lumMod w14:val="95000"/>
                <w14:lumOff w14:val="5000"/>
              </w14:schemeClr>
            </w14:solidFill>
          </w14:textFill>
        </w:rPr>
        <w:t>重力加速度，9.81m/s</w:t>
      </w:r>
      <w:r>
        <w:rPr>
          <w:rFonts w:cs="Times New Roman"/>
          <w:color w:val="0D0D0D" w:themeColor="text1" w:themeTint="F2"/>
          <w:kern w:val="0"/>
          <w:szCs w:val="24"/>
          <w:vertAlign w:val="superscript"/>
          <w14:textFill>
            <w14:solidFill>
              <w14:schemeClr w14:val="tx1">
                <w14:lumMod w14:val="95000"/>
                <w14:lumOff w14:val="5000"/>
              </w14:schemeClr>
            </w14:solidFill>
          </w14:textFill>
        </w:rPr>
        <w:t>2</w:t>
      </w:r>
      <w:r>
        <w:rPr>
          <w:rFonts w:cs="Times New Roman"/>
          <w:color w:val="0D0D0D" w:themeColor="text1" w:themeTint="F2"/>
          <w:kern w:val="0"/>
          <w:szCs w:val="24"/>
          <w14:textFill>
            <w14:solidFill>
              <w14:schemeClr w14:val="tx1">
                <w14:lumMod w14:val="95000"/>
                <w14:lumOff w14:val="5000"/>
              </w14:schemeClr>
            </w14:solidFill>
          </w14:textFill>
        </w:rPr>
        <w:t>；</w:t>
      </w:r>
    </w:p>
    <w:p w14:paraId="6B7BF6B5">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cs="Times New Roman"/>
          <w:color w:val="0D0D0D" w:themeColor="text1" w:themeTint="F2"/>
          <w:kern w:val="0"/>
          <w:szCs w:val="24"/>
          <w14:textFill>
            <w14:solidFill>
              <w14:schemeClr w14:val="tx1">
                <w14:lumMod w14:val="95000"/>
                <w14:lumOff w14:val="5000"/>
              </w14:schemeClr>
            </w14:solidFill>
          </w14:textFill>
        </w:rPr>
        <w:t>ρ</w:t>
      </w:r>
      <w:r>
        <w:rPr>
          <w:rFonts w:hint="eastAsia" w:cs="Times New Roman"/>
          <w:color w:val="0D0D0D" w:themeColor="text1" w:themeTint="F2"/>
          <w:kern w:val="0"/>
          <w:szCs w:val="24"/>
          <w14:textFill>
            <w14:solidFill>
              <w14:schemeClr w14:val="tx1">
                <w14:lumMod w14:val="95000"/>
                <w14:lumOff w14:val="5000"/>
              </w14:schemeClr>
            </w14:solidFill>
          </w14:textFill>
        </w:rPr>
        <w:t>——</w:t>
      </w:r>
      <w:r>
        <w:rPr>
          <w:rFonts w:cs="Times New Roman"/>
          <w:color w:val="0D0D0D" w:themeColor="text1" w:themeTint="F2"/>
          <w:kern w:val="0"/>
          <w:szCs w:val="24"/>
          <w14:textFill>
            <w14:solidFill>
              <w14:schemeClr w14:val="tx1">
                <w14:lumMod w14:val="95000"/>
                <w14:lumOff w14:val="5000"/>
              </w14:schemeClr>
            </w14:solidFill>
          </w14:textFill>
        </w:rPr>
        <w:t>液体密度，kg/m</w:t>
      </w:r>
      <w:r>
        <w:rPr>
          <w:rFonts w:cs="Times New Roman"/>
          <w:color w:val="0D0D0D" w:themeColor="text1" w:themeTint="F2"/>
          <w:kern w:val="0"/>
          <w:szCs w:val="24"/>
          <w:vertAlign w:val="superscript"/>
          <w14:textFill>
            <w14:solidFill>
              <w14:schemeClr w14:val="tx1">
                <w14:lumMod w14:val="95000"/>
                <w14:lumOff w14:val="5000"/>
              </w14:schemeClr>
            </w14:solidFill>
          </w14:textFill>
        </w:rPr>
        <w:t>3</w:t>
      </w:r>
      <w:r>
        <w:rPr>
          <w:rFonts w:cs="Times New Roman"/>
          <w:color w:val="0D0D0D" w:themeColor="text1" w:themeTint="F2"/>
          <w:kern w:val="0"/>
          <w:szCs w:val="24"/>
          <w14:textFill>
            <w14:solidFill>
              <w14:schemeClr w14:val="tx1">
                <w14:lumMod w14:val="95000"/>
                <w14:lumOff w14:val="5000"/>
              </w14:schemeClr>
            </w14:solidFill>
          </w14:textFill>
        </w:rPr>
        <w:t>，</w:t>
      </w:r>
      <w:r>
        <w:rPr>
          <w:rFonts w:hint="eastAsia" w:cs="Times New Roman"/>
          <w:color w:val="0D0D0D" w:themeColor="text1" w:themeTint="F2"/>
          <w:kern w:val="0"/>
          <w:szCs w:val="24"/>
          <w14:textFill>
            <w14:solidFill>
              <w14:schemeClr w14:val="tx1">
                <w14:lumMod w14:val="95000"/>
                <w14:lumOff w14:val="5000"/>
              </w14:schemeClr>
            </w14:solidFill>
          </w14:textFill>
        </w:rPr>
        <w:t>本次生物柴油</w:t>
      </w:r>
      <w:r>
        <w:rPr>
          <w:rFonts w:cs="Times New Roman"/>
          <w:color w:val="0D0D0D" w:themeColor="text1" w:themeTint="F2"/>
          <w:kern w:val="0"/>
          <w:szCs w:val="24"/>
          <w14:textFill>
            <w14:solidFill>
              <w14:schemeClr w14:val="tx1">
                <w14:lumMod w14:val="95000"/>
                <w14:lumOff w14:val="5000"/>
              </w14:schemeClr>
            </w14:solidFill>
          </w14:textFill>
        </w:rPr>
        <w:t>密度</w:t>
      </w:r>
      <w:r>
        <w:rPr>
          <w:rFonts w:hint="eastAsia" w:cs="Times New Roman"/>
          <w:color w:val="0D0D0D" w:themeColor="text1" w:themeTint="F2"/>
          <w:kern w:val="0"/>
          <w:szCs w:val="24"/>
          <w14:textFill>
            <w14:solidFill>
              <w14:schemeClr w14:val="tx1">
                <w14:lumMod w14:val="95000"/>
                <w14:lumOff w14:val="5000"/>
              </w14:schemeClr>
            </w14:solidFill>
          </w14:textFill>
        </w:rPr>
        <w:t>取90</w:t>
      </w:r>
      <w:r>
        <w:rPr>
          <w:rFonts w:cs="Times New Roman"/>
          <w:color w:val="0D0D0D" w:themeColor="text1" w:themeTint="F2"/>
          <w:kern w:val="0"/>
          <w:szCs w:val="24"/>
          <w14:textFill>
            <w14:solidFill>
              <w14:schemeClr w14:val="tx1">
                <w14:lumMod w14:val="95000"/>
                <w14:lumOff w14:val="5000"/>
              </w14:schemeClr>
            </w14:solidFill>
          </w14:textFill>
        </w:rPr>
        <w:t>0kg/m</w:t>
      </w:r>
      <w:r>
        <w:rPr>
          <w:rFonts w:cs="Times New Roman"/>
          <w:color w:val="0D0D0D" w:themeColor="text1" w:themeTint="F2"/>
          <w:kern w:val="0"/>
          <w:szCs w:val="24"/>
          <w:vertAlign w:val="superscript"/>
          <w14:textFill>
            <w14:solidFill>
              <w14:schemeClr w14:val="tx1">
                <w14:lumMod w14:val="95000"/>
                <w14:lumOff w14:val="5000"/>
              </w14:schemeClr>
            </w14:solidFill>
          </w14:textFill>
        </w:rPr>
        <w:t>3</w:t>
      </w:r>
      <w:r>
        <w:rPr>
          <w:rFonts w:cs="Times New Roman"/>
          <w:color w:val="0D0D0D" w:themeColor="text1" w:themeTint="F2"/>
          <w:kern w:val="0"/>
          <w:szCs w:val="24"/>
          <w14:textFill>
            <w14:solidFill>
              <w14:schemeClr w14:val="tx1">
                <w14:lumMod w14:val="95000"/>
                <w14:lumOff w14:val="5000"/>
              </w14:schemeClr>
            </w14:solidFill>
          </w14:textFill>
        </w:rPr>
        <w:t>；</w:t>
      </w:r>
    </w:p>
    <w:p w14:paraId="0DB46396">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cs="Times New Roman"/>
          <w:color w:val="0D0D0D" w:themeColor="text1" w:themeTint="F2"/>
          <w:kern w:val="0"/>
          <w:szCs w:val="24"/>
          <w14:textFill>
            <w14:solidFill>
              <w14:schemeClr w14:val="tx1">
                <w14:lumMod w14:val="95000"/>
                <w14:lumOff w14:val="5000"/>
              </w14:schemeClr>
            </w14:solidFill>
          </w14:textFill>
        </w:rPr>
        <w:t>h</w:t>
      </w:r>
      <w:r>
        <w:rPr>
          <w:rFonts w:hint="eastAsia" w:cs="Times New Roman"/>
          <w:color w:val="0D0D0D" w:themeColor="text1" w:themeTint="F2"/>
          <w:kern w:val="0"/>
          <w:szCs w:val="24"/>
          <w14:textFill>
            <w14:solidFill>
              <w14:schemeClr w14:val="tx1">
                <w14:lumMod w14:val="95000"/>
                <w14:lumOff w14:val="5000"/>
              </w14:schemeClr>
            </w14:solidFill>
          </w14:textFill>
        </w:rPr>
        <w:t>——</w:t>
      </w:r>
      <w:r>
        <w:rPr>
          <w:rFonts w:cs="Times New Roman"/>
          <w:color w:val="0D0D0D" w:themeColor="text1" w:themeTint="F2"/>
          <w:kern w:val="0"/>
          <w:szCs w:val="24"/>
          <w14:textFill>
            <w14:solidFill>
              <w14:schemeClr w14:val="tx1">
                <w14:lumMod w14:val="95000"/>
                <w14:lumOff w14:val="5000"/>
              </w14:schemeClr>
            </w14:solidFill>
          </w14:textFill>
        </w:rPr>
        <w:t>裂口之上液位高度，m，本次取5m。</w:t>
      </w:r>
    </w:p>
    <w:p w14:paraId="5C5D1F46">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经计算，项目生物柴油泄漏速率Q</w:t>
      </w:r>
      <w:r>
        <w:rPr>
          <w:rFonts w:cs="Times New Roman"/>
          <w:color w:val="0D0D0D" w:themeColor="text1" w:themeTint="F2"/>
          <w:kern w:val="0"/>
          <w:szCs w:val="24"/>
          <w:vertAlign w:val="subscript"/>
          <w14:textFill>
            <w14:solidFill>
              <w14:schemeClr w14:val="tx1">
                <w14:lumMod w14:val="95000"/>
                <w14:lumOff w14:val="5000"/>
              </w14:schemeClr>
            </w14:solidFill>
          </w14:textFill>
        </w:rPr>
        <w:t>L</w:t>
      </w:r>
      <w:r>
        <w:rPr>
          <w:rFonts w:hint="eastAsia" w:cs="Times New Roman"/>
          <w:color w:val="0D0D0D" w:themeColor="text1" w:themeTint="F2"/>
          <w:kern w:val="0"/>
          <w:szCs w:val="24"/>
          <w14:textFill>
            <w14:solidFill>
              <w14:schemeClr w14:val="tx1">
                <w14:lumMod w14:val="95000"/>
                <w14:lumOff w14:val="5000"/>
              </w14:schemeClr>
            </w14:solidFill>
          </w14:textFill>
        </w:rPr>
        <w:t>为</w:t>
      </w:r>
      <w:r>
        <w:rPr>
          <w:rFonts w:cs="Times New Roman"/>
          <w:color w:val="0D0D0D" w:themeColor="text1" w:themeTint="F2"/>
          <w:kern w:val="0"/>
          <w:szCs w:val="24"/>
          <w14:textFill>
            <w14:solidFill>
              <w14:schemeClr w14:val="tx1">
                <w14:lumMod w14:val="95000"/>
                <w14:lumOff w14:val="5000"/>
              </w14:schemeClr>
            </w14:solidFill>
          </w14:textFill>
        </w:rPr>
        <w:t>0.472</w:t>
      </w:r>
      <w:r>
        <w:rPr>
          <w:rFonts w:hint="eastAsia" w:cs="Times New Roman"/>
          <w:color w:val="0D0D0D" w:themeColor="text1" w:themeTint="F2"/>
          <w:kern w:val="0"/>
          <w:szCs w:val="24"/>
          <w14:textFill>
            <w14:solidFill>
              <w14:schemeClr w14:val="tx1">
                <w14:lumMod w14:val="95000"/>
                <w14:lumOff w14:val="5000"/>
              </w14:schemeClr>
            </w14:solidFill>
          </w14:textFill>
        </w:rPr>
        <w:t>k</w:t>
      </w:r>
      <w:r>
        <w:rPr>
          <w:rFonts w:cs="Times New Roman"/>
          <w:color w:val="0D0D0D" w:themeColor="text1" w:themeTint="F2"/>
          <w:kern w:val="0"/>
          <w:szCs w:val="24"/>
          <w14:textFill>
            <w14:solidFill>
              <w14:schemeClr w14:val="tx1">
                <w14:lumMod w14:val="95000"/>
                <w14:lumOff w14:val="5000"/>
              </w14:schemeClr>
            </w14:solidFill>
          </w14:textFill>
        </w:rPr>
        <w:t>g/s</w:t>
      </w:r>
      <w:r>
        <w:rPr>
          <w:rFonts w:hint="eastAsia" w:cs="Times New Roman"/>
          <w:color w:val="0D0D0D" w:themeColor="text1" w:themeTint="F2"/>
          <w:kern w:val="0"/>
          <w:szCs w:val="24"/>
          <w14:textFill>
            <w14:solidFill>
              <w14:schemeClr w14:val="tx1">
                <w14:lumMod w14:val="95000"/>
                <w14:lumOff w14:val="5000"/>
              </w14:schemeClr>
            </w14:solidFill>
          </w14:textFill>
        </w:rPr>
        <w:t>。</w:t>
      </w:r>
    </w:p>
    <w:p w14:paraId="7B859997">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②生物柴油泄漏后火灾爆炸伴生/次生污染物产生量估算</w:t>
      </w:r>
    </w:p>
    <w:p w14:paraId="4F623BE7">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假定生物柴油储罐破裂泄露，遇火源发生剧烈的燃烧或爆炸，燃烧会产生伴生</w:t>
      </w:r>
      <w:r>
        <w:rPr>
          <w:rFonts w:cs="Times New Roman"/>
          <w:color w:val="0D0D0D" w:themeColor="text1" w:themeTint="F2"/>
          <w:kern w:val="0"/>
          <w:szCs w:val="24"/>
          <w14:textFill>
            <w14:solidFill>
              <w14:schemeClr w14:val="tx1">
                <w14:lumMod w14:val="95000"/>
                <w14:lumOff w14:val="5000"/>
              </w14:schemeClr>
            </w14:solidFill>
          </w14:textFill>
        </w:rPr>
        <w:t>/次生</w:t>
      </w:r>
      <w:r>
        <w:rPr>
          <w:rFonts w:hint="eastAsia" w:cs="Times New Roman"/>
          <w:color w:val="0D0D0D" w:themeColor="text1" w:themeTint="F2"/>
          <w:kern w:val="0"/>
          <w:szCs w:val="24"/>
          <w14:textFill>
            <w14:solidFill>
              <w14:schemeClr w14:val="tx1">
                <w14:lumMod w14:val="95000"/>
                <w14:lumOff w14:val="5000"/>
              </w14:schemeClr>
            </w14:solidFill>
          </w14:textFill>
        </w:rPr>
        <w:t>污染物</w:t>
      </w:r>
      <w:r>
        <w:rPr>
          <w:rFonts w:cs="Times New Roman"/>
          <w:color w:val="0D0D0D" w:themeColor="text1" w:themeTint="F2"/>
          <w:kern w:val="0"/>
          <w:szCs w:val="24"/>
          <w14:textFill>
            <w14:solidFill>
              <w14:schemeClr w14:val="tx1">
                <w14:lumMod w14:val="95000"/>
                <w14:lumOff w14:val="5000"/>
              </w14:schemeClr>
            </w14:solidFill>
          </w14:textFill>
        </w:rPr>
        <w:t>CO和SO</w:t>
      </w:r>
      <w:r>
        <w:rPr>
          <w:rFonts w:cs="Times New Roman"/>
          <w:color w:val="0D0D0D" w:themeColor="text1" w:themeTint="F2"/>
          <w:kern w:val="0"/>
          <w:szCs w:val="24"/>
          <w:vertAlign w:val="subscript"/>
          <w14:textFill>
            <w14:solidFill>
              <w14:schemeClr w14:val="tx1">
                <w14:lumMod w14:val="95000"/>
                <w14:lumOff w14:val="5000"/>
              </w14:schemeClr>
            </w14:solidFill>
          </w14:textFill>
        </w:rPr>
        <w:t>2</w:t>
      </w:r>
      <w:r>
        <w:rPr>
          <w:rFonts w:cs="Times New Roman"/>
          <w:color w:val="0D0D0D" w:themeColor="text1" w:themeTint="F2"/>
          <w:kern w:val="0"/>
          <w:szCs w:val="24"/>
          <w14:textFill>
            <w14:solidFill>
              <w14:schemeClr w14:val="tx1">
                <w14:lumMod w14:val="95000"/>
                <w14:lumOff w14:val="5000"/>
              </w14:schemeClr>
            </w14:solidFill>
          </w14:textFill>
        </w:rPr>
        <w:t>，从物质理化性质考虑，CO毒性较大，因此</w:t>
      </w:r>
      <w:r>
        <w:rPr>
          <w:rFonts w:hint="eastAsia" w:cs="Times New Roman"/>
          <w:color w:val="0D0D0D" w:themeColor="text1" w:themeTint="F2"/>
          <w:kern w:val="0"/>
          <w:szCs w:val="24"/>
          <w14:textFill>
            <w14:solidFill>
              <w14:schemeClr w14:val="tx1">
                <w14:lumMod w14:val="95000"/>
                <w14:lumOff w14:val="5000"/>
              </w14:schemeClr>
            </w14:solidFill>
          </w14:textFill>
        </w:rPr>
        <w:t>，本次评价</w:t>
      </w:r>
      <w:r>
        <w:rPr>
          <w:rFonts w:cs="Times New Roman"/>
          <w:color w:val="0D0D0D" w:themeColor="text1" w:themeTint="F2"/>
          <w:kern w:val="0"/>
          <w:szCs w:val="24"/>
          <w14:textFill>
            <w14:solidFill>
              <w14:schemeClr w14:val="tx1">
                <w14:lumMod w14:val="95000"/>
                <w14:lumOff w14:val="5000"/>
              </w14:schemeClr>
            </w14:solidFill>
          </w14:textFill>
        </w:rPr>
        <w:t>对燃烧伴生/次生的CO进</w:t>
      </w:r>
      <w:r>
        <w:rPr>
          <w:rFonts w:hint="eastAsia" w:cs="Times New Roman"/>
          <w:color w:val="0D0D0D" w:themeColor="text1" w:themeTint="F2"/>
          <w:kern w:val="0"/>
          <w:szCs w:val="24"/>
          <w14:textFill>
            <w14:solidFill>
              <w14:schemeClr w14:val="tx1">
                <w14:lumMod w14:val="95000"/>
                <w14:lumOff w14:val="5000"/>
              </w14:schemeClr>
            </w14:solidFill>
          </w14:textFill>
        </w:rPr>
        <w:t>行影响范围计算。</w:t>
      </w:r>
    </w:p>
    <w:p w14:paraId="06A0E51D">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cs="Times New Roman"/>
          <w:color w:val="0D0D0D" w:themeColor="text1" w:themeTint="F2"/>
          <w:kern w:val="0"/>
          <w:szCs w:val="24"/>
          <w14:textFill>
            <w14:solidFill>
              <w14:schemeClr w14:val="tx1">
                <w14:lumMod w14:val="95000"/>
                <w14:lumOff w14:val="5000"/>
              </w14:schemeClr>
            </w14:solidFill>
          </w14:textFill>
        </w:rPr>
        <w:t>CO产生量按下式计算：</w:t>
      </w:r>
    </w:p>
    <w:p w14:paraId="673C0751">
      <w:pPr>
        <w:ind w:firstLine="480" w:firstLineChars="200"/>
        <w:jc w:val="center"/>
        <w:rPr>
          <w:rFonts w:cs="Times New Roman"/>
          <w:color w:val="0D0D0D" w:themeColor="text1" w:themeTint="F2"/>
          <w:kern w:val="0"/>
          <w:szCs w:val="24"/>
          <w14:textFill>
            <w14:solidFill>
              <w14:schemeClr w14:val="tx1">
                <w14:lumMod w14:val="95000"/>
                <w14:lumOff w14:val="5000"/>
              </w14:schemeClr>
            </w14:solidFill>
          </w14:textFill>
        </w:rPr>
      </w:pPr>
      <w:r>
        <w:rPr>
          <w:rFonts w:cs="Times New Roman"/>
          <w:color w:val="0D0D0D" w:themeColor="text1" w:themeTint="F2"/>
          <w:kern w:val="0"/>
          <w:szCs w:val="24"/>
          <w14:textFill>
            <w14:solidFill>
              <w14:schemeClr w14:val="tx1">
                <w14:lumMod w14:val="95000"/>
                <w14:lumOff w14:val="5000"/>
              </w14:schemeClr>
            </w14:solidFill>
          </w14:textFill>
        </w:rPr>
        <w:t>G</w:t>
      </w:r>
      <w:r>
        <w:rPr>
          <w:rFonts w:cs="Times New Roman"/>
          <w:color w:val="0D0D0D" w:themeColor="text1" w:themeTint="F2"/>
          <w:kern w:val="0"/>
          <w:szCs w:val="24"/>
          <w:vertAlign w:val="subscript"/>
          <w14:textFill>
            <w14:solidFill>
              <w14:schemeClr w14:val="tx1">
                <w14:lumMod w14:val="95000"/>
                <w14:lumOff w14:val="5000"/>
              </w14:schemeClr>
            </w14:solidFill>
          </w14:textFill>
        </w:rPr>
        <w:t>CO</w:t>
      </w:r>
      <w:r>
        <w:rPr>
          <w:rFonts w:hint="eastAsia" w:cs="Times New Roman"/>
          <w:color w:val="0D0D0D" w:themeColor="text1" w:themeTint="F2"/>
          <w:kern w:val="0"/>
          <w:szCs w:val="24"/>
          <w14:textFill>
            <w14:solidFill>
              <w14:schemeClr w14:val="tx1">
                <w14:lumMod w14:val="95000"/>
                <w14:lumOff w14:val="5000"/>
              </w14:schemeClr>
            </w14:solidFill>
          </w14:textFill>
        </w:rPr>
        <w:t>=</w:t>
      </w:r>
      <w:r>
        <w:rPr>
          <w:rFonts w:cs="Times New Roman"/>
          <w:color w:val="0D0D0D" w:themeColor="text1" w:themeTint="F2"/>
          <w:kern w:val="0"/>
          <w:szCs w:val="24"/>
          <w14:textFill>
            <w14:solidFill>
              <w14:schemeClr w14:val="tx1">
                <w14:lumMod w14:val="95000"/>
                <w14:lumOff w14:val="5000"/>
              </w14:schemeClr>
            </w14:solidFill>
          </w14:textFill>
        </w:rPr>
        <w:t>2330</w:t>
      </w:r>
      <w:r>
        <w:rPr>
          <w:rFonts w:hint="eastAsia" w:cs="Times New Roman"/>
          <w:color w:val="0D0D0D" w:themeColor="text1" w:themeTint="F2"/>
          <w:kern w:val="0"/>
          <w:szCs w:val="24"/>
          <w14:textFill>
            <w14:solidFill>
              <w14:schemeClr w14:val="tx1">
                <w14:lumMod w14:val="95000"/>
                <w14:lumOff w14:val="5000"/>
              </w14:schemeClr>
            </w14:solidFill>
          </w14:textFill>
        </w:rPr>
        <w:t>×q×C×Q</w:t>
      </w:r>
    </w:p>
    <w:p w14:paraId="016C5465">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式中：</w:t>
      </w:r>
    </w:p>
    <w:p w14:paraId="33EE4CFB">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G</w:t>
      </w:r>
      <w:r>
        <w:rPr>
          <w:rFonts w:hint="eastAsia" w:cs="Times New Roman"/>
          <w:color w:val="0D0D0D" w:themeColor="text1" w:themeTint="F2"/>
          <w:kern w:val="0"/>
          <w:szCs w:val="24"/>
          <w:vertAlign w:val="subscript"/>
          <w14:textFill>
            <w14:solidFill>
              <w14:schemeClr w14:val="tx1">
                <w14:lumMod w14:val="95000"/>
                <w14:lumOff w14:val="5000"/>
              </w14:schemeClr>
            </w14:solidFill>
          </w14:textFill>
        </w:rPr>
        <w:t>C</w:t>
      </w:r>
      <w:r>
        <w:rPr>
          <w:rFonts w:cs="Times New Roman"/>
          <w:color w:val="0D0D0D" w:themeColor="text1" w:themeTint="F2"/>
          <w:kern w:val="0"/>
          <w:szCs w:val="24"/>
          <w:vertAlign w:val="subscript"/>
          <w14:textFill>
            <w14:solidFill>
              <w14:schemeClr w14:val="tx1">
                <w14:lumMod w14:val="95000"/>
                <w14:lumOff w14:val="5000"/>
              </w14:schemeClr>
            </w14:solidFill>
          </w14:textFill>
        </w:rPr>
        <w:t>O</w:t>
      </w:r>
      <w:r>
        <w:rPr>
          <w:rFonts w:hint="eastAsia" w:cs="Times New Roman"/>
          <w:color w:val="0D0D0D" w:themeColor="text1" w:themeTint="F2"/>
          <w:kern w:val="0"/>
          <w:szCs w:val="24"/>
          <w14:textFill>
            <w14:solidFill>
              <w14:schemeClr w14:val="tx1">
                <w14:lumMod w14:val="95000"/>
                <w14:lumOff w14:val="5000"/>
              </w14:schemeClr>
            </w14:solidFill>
          </w14:textFill>
        </w:rPr>
        <w:t>——产生量，k</w:t>
      </w:r>
      <w:r>
        <w:rPr>
          <w:rFonts w:cs="Times New Roman"/>
          <w:color w:val="0D0D0D" w:themeColor="text1" w:themeTint="F2"/>
          <w:kern w:val="0"/>
          <w:szCs w:val="24"/>
          <w14:textFill>
            <w14:solidFill>
              <w14:schemeClr w14:val="tx1">
                <w14:lumMod w14:val="95000"/>
                <w14:lumOff w14:val="5000"/>
              </w14:schemeClr>
            </w14:solidFill>
          </w14:textFill>
        </w:rPr>
        <w:t>g/s</w:t>
      </w:r>
      <w:r>
        <w:rPr>
          <w:rFonts w:hint="eastAsia" w:cs="Times New Roman"/>
          <w:color w:val="0D0D0D" w:themeColor="text1" w:themeTint="F2"/>
          <w:kern w:val="0"/>
          <w:szCs w:val="24"/>
          <w14:textFill>
            <w14:solidFill>
              <w14:schemeClr w14:val="tx1">
                <w14:lumMod w14:val="95000"/>
                <w14:lumOff w14:val="5000"/>
              </w14:schemeClr>
            </w14:solidFill>
          </w14:textFill>
        </w:rPr>
        <w:t>；</w:t>
      </w:r>
    </w:p>
    <w:p w14:paraId="580C0C0E">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cs="Times New Roman"/>
          <w:color w:val="0D0D0D" w:themeColor="text1" w:themeTint="F2"/>
          <w:kern w:val="0"/>
          <w:szCs w:val="24"/>
          <w14:textFill>
            <w14:solidFill>
              <w14:schemeClr w14:val="tx1">
                <w14:lumMod w14:val="95000"/>
                <w14:lumOff w14:val="5000"/>
              </w14:schemeClr>
            </w14:solidFill>
          </w14:textFill>
        </w:rPr>
        <w:t>C</w:t>
      </w:r>
      <w:r>
        <w:rPr>
          <w:rFonts w:hint="eastAsia" w:cs="Times New Roman"/>
          <w:color w:val="0D0D0D" w:themeColor="text1" w:themeTint="F2"/>
          <w:kern w:val="0"/>
          <w:szCs w:val="24"/>
          <w14:textFill>
            <w14:solidFill>
              <w14:schemeClr w14:val="tx1">
                <w14:lumMod w14:val="95000"/>
                <w14:lumOff w14:val="5000"/>
              </w14:schemeClr>
            </w14:solidFill>
          </w14:textFill>
        </w:rPr>
        <w:t>——物质中含碳量，取8</w:t>
      </w:r>
      <w:r>
        <w:rPr>
          <w:rFonts w:cs="Times New Roman"/>
          <w:color w:val="0D0D0D" w:themeColor="text1" w:themeTint="F2"/>
          <w:kern w:val="0"/>
          <w:szCs w:val="24"/>
          <w14:textFill>
            <w14:solidFill>
              <w14:schemeClr w14:val="tx1">
                <w14:lumMod w14:val="95000"/>
                <w14:lumOff w14:val="5000"/>
              </w14:schemeClr>
            </w14:solidFill>
          </w14:textFill>
        </w:rPr>
        <w:t>5</w:t>
      </w:r>
      <w:r>
        <w:rPr>
          <w:rFonts w:hint="eastAsia" w:cs="Times New Roman"/>
          <w:color w:val="0D0D0D" w:themeColor="text1" w:themeTint="F2"/>
          <w:kern w:val="0"/>
          <w:szCs w:val="24"/>
          <w14:textFill>
            <w14:solidFill>
              <w14:schemeClr w14:val="tx1">
                <w14:lumMod w14:val="95000"/>
                <w14:lumOff w14:val="5000"/>
              </w14:schemeClr>
            </w14:solidFill>
          </w14:textFill>
        </w:rPr>
        <w:t>%；</w:t>
      </w:r>
    </w:p>
    <w:p w14:paraId="61375661">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q——化学不完全燃烧值，取6</w:t>
      </w:r>
      <w:r>
        <w:rPr>
          <w:rFonts w:cs="Times New Roman"/>
          <w:color w:val="0D0D0D" w:themeColor="text1" w:themeTint="F2"/>
          <w:kern w:val="0"/>
          <w:szCs w:val="24"/>
          <w14:textFill>
            <w14:solidFill>
              <w14:schemeClr w14:val="tx1">
                <w14:lumMod w14:val="95000"/>
                <w14:lumOff w14:val="5000"/>
              </w14:schemeClr>
            </w14:solidFill>
          </w14:textFill>
        </w:rPr>
        <w:t>.0</w:t>
      </w:r>
      <w:r>
        <w:rPr>
          <w:rFonts w:hint="eastAsia" w:cs="Times New Roman"/>
          <w:color w:val="0D0D0D" w:themeColor="text1" w:themeTint="F2"/>
          <w:kern w:val="0"/>
          <w:szCs w:val="24"/>
          <w14:textFill>
            <w14:solidFill>
              <w14:schemeClr w14:val="tx1">
                <w14:lumMod w14:val="95000"/>
                <w14:lumOff w14:val="5000"/>
              </w14:schemeClr>
            </w14:solidFill>
          </w14:textFill>
        </w:rPr>
        <w:t>%；</w:t>
      </w:r>
    </w:p>
    <w:p w14:paraId="22F9AEF1">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Q——参与燃烧的物质量，t</w:t>
      </w:r>
      <w:r>
        <w:rPr>
          <w:rFonts w:cs="Times New Roman"/>
          <w:color w:val="0D0D0D" w:themeColor="text1" w:themeTint="F2"/>
          <w:kern w:val="0"/>
          <w:szCs w:val="24"/>
          <w14:textFill>
            <w14:solidFill>
              <w14:schemeClr w14:val="tx1">
                <w14:lumMod w14:val="95000"/>
                <w14:lumOff w14:val="5000"/>
              </w14:schemeClr>
            </w14:solidFill>
          </w14:textFill>
        </w:rPr>
        <w:t>/s</w:t>
      </w:r>
      <w:r>
        <w:rPr>
          <w:rFonts w:hint="eastAsia" w:cs="Times New Roman"/>
          <w:color w:val="0D0D0D" w:themeColor="text1" w:themeTint="F2"/>
          <w:kern w:val="0"/>
          <w:szCs w:val="24"/>
          <w14:textFill>
            <w14:solidFill>
              <w14:schemeClr w14:val="tx1">
                <w14:lumMod w14:val="95000"/>
                <w14:lumOff w14:val="5000"/>
              </w14:schemeClr>
            </w14:solidFill>
          </w14:textFill>
        </w:rPr>
        <w:t>，项目为0</w:t>
      </w:r>
      <w:r>
        <w:rPr>
          <w:rFonts w:cs="Times New Roman"/>
          <w:color w:val="0D0D0D" w:themeColor="text1" w:themeTint="F2"/>
          <w:kern w:val="0"/>
          <w:szCs w:val="24"/>
          <w14:textFill>
            <w14:solidFill>
              <w14:schemeClr w14:val="tx1">
                <w14:lumMod w14:val="95000"/>
                <w14:lumOff w14:val="5000"/>
              </w14:schemeClr>
            </w14:solidFill>
          </w14:textFill>
        </w:rPr>
        <w:t>.0004</w:t>
      </w:r>
      <w:r>
        <w:rPr>
          <w:rFonts w:hint="eastAsia" w:cs="Times New Roman"/>
          <w:color w:val="0D0D0D" w:themeColor="text1" w:themeTint="F2"/>
          <w:kern w:val="0"/>
          <w:szCs w:val="24"/>
          <w14:textFill>
            <w14:solidFill>
              <w14:schemeClr w14:val="tx1">
                <w14:lumMod w14:val="95000"/>
                <w14:lumOff w14:val="5000"/>
              </w14:schemeClr>
            </w14:solidFill>
          </w14:textFill>
        </w:rPr>
        <w:t>7</w:t>
      </w:r>
      <w:r>
        <w:rPr>
          <w:rFonts w:cs="Times New Roman"/>
          <w:color w:val="0D0D0D" w:themeColor="text1" w:themeTint="F2"/>
          <w:kern w:val="0"/>
          <w:szCs w:val="24"/>
          <w14:textFill>
            <w14:solidFill>
              <w14:schemeClr w14:val="tx1">
                <w14:lumMod w14:val="95000"/>
                <w14:lumOff w14:val="5000"/>
              </w14:schemeClr>
            </w14:solidFill>
          </w14:textFill>
        </w:rPr>
        <w:t>2t/s</w:t>
      </w:r>
      <w:r>
        <w:rPr>
          <w:rFonts w:hint="eastAsia" w:cs="Times New Roman"/>
          <w:color w:val="0D0D0D" w:themeColor="text1" w:themeTint="F2"/>
          <w:kern w:val="0"/>
          <w:szCs w:val="24"/>
          <w14:textFill>
            <w14:solidFill>
              <w14:schemeClr w14:val="tx1">
                <w14:lumMod w14:val="95000"/>
                <w14:lumOff w14:val="5000"/>
              </w14:schemeClr>
            </w14:solidFill>
          </w14:textFill>
        </w:rPr>
        <w:t>。</w:t>
      </w:r>
    </w:p>
    <w:p w14:paraId="7408ADCA">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经计算，项目生物柴油泄漏后火灾爆炸伴生/次生污染物C</w:t>
      </w:r>
      <w:r>
        <w:rPr>
          <w:rFonts w:cs="Times New Roman"/>
          <w:color w:val="0D0D0D" w:themeColor="text1" w:themeTint="F2"/>
          <w:kern w:val="0"/>
          <w:szCs w:val="24"/>
          <w14:textFill>
            <w14:solidFill>
              <w14:schemeClr w14:val="tx1">
                <w14:lumMod w14:val="95000"/>
                <w14:lumOff w14:val="5000"/>
              </w14:schemeClr>
            </w14:solidFill>
          </w14:textFill>
        </w:rPr>
        <w:t>O</w:t>
      </w:r>
      <w:r>
        <w:rPr>
          <w:rFonts w:hint="eastAsia" w:cs="Times New Roman"/>
          <w:color w:val="0D0D0D" w:themeColor="text1" w:themeTint="F2"/>
          <w:kern w:val="0"/>
          <w:szCs w:val="24"/>
          <w14:textFill>
            <w14:solidFill>
              <w14:schemeClr w14:val="tx1">
                <w14:lumMod w14:val="95000"/>
                <w14:lumOff w14:val="5000"/>
              </w14:schemeClr>
            </w14:solidFill>
          </w14:textFill>
        </w:rPr>
        <w:t>产生量为0</w:t>
      </w:r>
      <w:r>
        <w:rPr>
          <w:rFonts w:cs="Times New Roman"/>
          <w:color w:val="0D0D0D" w:themeColor="text1" w:themeTint="F2"/>
          <w:kern w:val="0"/>
          <w:szCs w:val="24"/>
          <w14:textFill>
            <w14:solidFill>
              <w14:schemeClr w14:val="tx1">
                <w14:lumMod w14:val="95000"/>
                <w14:lumOff w14:val="5000"/>
              </w14:schemeClr>
            </w14:solidFill>
          </w14:textFill>
        </w:rPr>
        <w:t>.056kg/s</w:t>
      </w:r>
      <w:r>
        <w:rPr>
          <w:rFonts w:hint="eastAsia" w:cs="Times New Roman"/>
          <w:color w:val="0D0D0D" w:themeColor="text1" w:themeTint="F2"/>
          <w:kern w:val="0"/>
          <w:szCs w:val="24"/>
          <w14:textFill>
            <w14:solidFill>
              <w14:schemeClr w14:val="tx1">
                <w14:lumMod w14:val="95000"/>
                <w14:lumOff w14:val="5000"/>
              </w14:schemeClr>
            </w14:solidFill>
          </w14:textFill>
        </w:rPr>
        <w:t>。</w:t>
      </w:r>
    </w:p>
    <w:p w14:paraId="549F3885">
      <w:pPr>
        <w:pStyle w:val="9"/>
      </w:pPr>
      <w:bookmarkStart w:id="199" w:name="_Toc204062657"/>
      <w:r>
        <w:rPr>
          <w:rFonts w:hint="eastAsia"/>
        </w:rPr>
        <w:t>环境风险影响与评价</w:t>
      </w:r>
      <w:bookmarkEnd w:id="199"/>
    </w:p>
    <w:p w14:paraId="1B9012FA">
      <w:pPr>
        <w:pStyle w:val="10"/>
      </w:pPr>
      <w:r>
        <w:rPr>
          <w:rFonts w:hint="eastAsia"/>
        </w:rPr>
        <w:t>大气环境风险预测与评价</w:t>
      </w:r>
    </w:p>
    <w:p w14:paraId="00837B98">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（1）连续排放与瞬时排放判定</w:t>
      </w:r>
    </w:p>
    <w:p w14:paraId="4F293130">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根据《建设项目环境风险评价技术导则》（</w:t>
      </w:r>
      <w:r>
        <w:rPr>
          <w:rFonts w:cs="Times New Roman"/>
          <w:color w:val="0D0D0D" w:themeColor="text1" w:themeTint="F2"/>
          <w:kern w:val="0"/>
          <w:szCs w:val="24"/>
          <w14:textFill>
            <w14:solidFill>
              <w14:schemeClr w14:val="tx1">
                <w14:lumMod w14:val="95000"/>
                <w14:lumOff w14:val="5000"/>
              </w14:schemeClr>
            </w14:solidFill>
          </w14:textFill>
        </w:rPr>
        <w:t>HJ169-2018）附录G，可以通过对比排</w:t>
      </w:r>
      <w:r>
        <w:rPr>
          <w:rFonts w:hint="eastAsia" w:cs="Times New Roman"/>
          <w:color w:val="0D0D0D" w:themeColor="text1" w:themeTint="F2"/>
          <w:kern w:val="0"/>
          <w:szCs w:val="24"/>
          <w14:textFill>
            <w14:solidFill>
              <w14:schemeClr w14:val="tx1">
                <w14:lumMod w14:val="95000"/>
                <w14:lumOff w14:val="5000"/>
              </w14:schemeClr>
            </w14:solidFill>
          </w14:textFill>
        </w:rPr>
        <w:t>放时间</w:t>
      </w:r>
      <w:r>
        <w:rPr>
          <w:rFonts w:cs="Times New Roman"/>
          <w:color w:val="0D0D0D" w:themeColor="text1" w:themeTint="F2"/>
          <w:kern w:val="0"/>
          <w:szCs w:val="24"/>
          <w14:textFill>
            <w14:solidFill>
              <w14:schemeClr w14:val="tx1">
                <w14:lumMod w14:val="95000"/>
                <w14:lumOff w14:val="5000"/>
              </w14:schemeClr>
            </w14:solidFill>
          </w14:textFill>
        </w:rPr>
        <w:t>T</w:t>
      </w:r>
      <w:r>
        <w:rPr>
          <w:rFonts w:cs="Times New Roman"/>
          <w:color w:val="0D0D0D" w:themeColor="text1" w:themeTint="F2"/>
          <w:kern w:val="0"/>
          <w:szCs w:val="24"/>
          <w:vertAlign w:val="subscript"/>
          <w14:textFill>
            <w14:solidFill>
              <w14:schemeClr w14:val="tx1">
                <w14:lumMod w14:val="95000"/>
                <w14:lumOff w14:val="5000"/>
              </w14:schemeClr>
            </w14:solidFill>
          </w14:textFill>
        </w:rPr>
        <w:t>d</w:t>
      </w:r>
      <w:r>
        <w:rPr>
          <w:rFonts w:cs="Times New Roman"/>
          <w:color w:val="0D0D0D" w:themeColor="text1" w:themeTint="F2"/>
          <w:kern w:val="0"/>
          <w:szCs w:val="24"/>
          <w14:textFill>
            <w14:solidFill>
              <w14:schemeClr w14:val="tx1">
                <w14:lumMod w14:val="95000"/>
                <w14:lumOff w14:val="5000"/>
              </w14:schemeClr>
            </w14:solidFill>
          </w14:textFill>
        </w:rPr>
        <w:t>和污染物到达最近的受体点（网格点或敏感点）的时间T确定。</w:t>
      </w:r>
    </w:p>
    <w:p w14:paraId="7A50D667">
      <w:pPr>
        <w:ind w:firstLine="480" w:firstLineChars="200"/>
        <w:jc w:val="center"/>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T=</w:t>
      </w:r>
      <w:r>
        <w:rPr>
          <w:rFonts w:cs="Times New Roman"/>
          <w:color w:val="0D0D0D" w:themeColor="text1" w:themeTint="F2"/>
          <w:kern w:val="0"/>
          <w:szCs w:val="24"/>
          <w14:textFill>
            <w14:solidFill>
              <w14:schemeClr w14:val="tx1">
                <w14:lumMod w14:val="95000"/>
                <w14:lumOff w14:val="5000"/>
              </w14:schemeClr>
            </w14:solidFill>
          </w14:textFill>
        </w:rPr>
        <w:t>2X/Ur</w:t>
      </w:r>
    </w:p>
    <w:p w14:paraId="4145B914">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式中：</w:t>
      </w:r>
    </w:p>
    <w:p w14:paraId="0A3E1C2A">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X——事故发生地与计算点的距离，m；</w:t>
      </w:r>
    </w:p>
    <w:p w14:paraId="0BCB3CB8">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cs="Times New Roman"/>
          <w:color w:val="0D0D0D" w:themeColor="text1" w:themeTint="F2"/>
          <w:kern w:val="0"/>
          <w:szCs w:val="24"/>
          <w14:textFill>
            <w14:solidFill>
              <w14:schemeClr w14:val="tx1">
                <w14:lumMod w14:val="95000"/>
                <w14:lumOff w14:val="5000"/>
              </w14:schemeClr>
            </w14:solidFill>
          </w14:textFill>
        </w:rPr>
        <w:t>Ur</w:t>
      </w:r>
      <w:r>
        <w:rPr>
          <w:rFonts w:hint="eastAsia" w:cs="Times New Roman"/>
          <w:color w:val="0D0D0D" w:themeColor="text1" w:themeTint="F2"/>
          <w:kern w:val="0"/>
          <w:szCs w:val="24"/>
          <w14:textFill>
            <w14:solidFill>
              <w14:schemeClr w14:val="tx1">
                <w14:lumMod w14:val="95000"/>
                <w14:lumOff w14:val="5000"/>
              </w14:schemeClr>
            </w14:solidFill>
          </w14:textFill>
        </w:rPr>
        <w:t>——</w:t>
      </w:r>
      <w:r>
        <w:rPr>
          <w:rFonts w:cs="Times New Roman"/>
          <w:color w:val="0D0D0D" w:themeColor="text1" w:themeTint="F2"/>
          <w:kern w:val="0"/>
          <w:szCs w:val="24"/>
          <w14:textFill>
            <w14:solidFill>
              <w14:schemeClr w14:val="tx1">
                <w14:lumMod w14:val="95000"/>
                <w14:lumOff w14:val="5000"/>
              </w14:schemeClr>
            </w14:solidFill>
          </w14:textFill>
        </w:rPr>
        <w:t>10m高处风速，m/s。假设风速和风向在T时间段内保持不变。</w:t>
      </w:r>
    </w:p>
    <w:p w14:paraId="0EE520EF">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cs="Times New Roman"/>
          <w:color w:val="0D0D0D" w:themeColor="text1" w:themeTint="F2"/>
          <w:kern w:val="0"/>
          <w:szCs w:val="24"/>
          <w14:textFill>
            <w14:solidFill>
              <w14:schemeClr w14:val="tx1">
                <w14:lumMod w14:val="95000"/>
                <w14:lumOff w14:val="5000"/>
              </w14:schemeClr>
            </w14:solidFill>
          </w14:textFill>
        </w:rPr>
        <w:t>当Td＞T时，可被认为是连续排放的；当Td≤T时，可被认为是瞬时排放。</w:t>
      </w:r>
    </w:p>
    <w:p w14:paraId="072D2C3F">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项目储罐发生泄漏后，监控系统中的嗅敏仪检测确认罐区范围内气体超标并启动事故报警，控制人员启动事故应急系统，工作人员迅速采取行动，工作人员迅速采取行动带压堵漏，可在3</w:t>
      </w:r>
      <w:r>
        <w:rPr>
          <w:rFonts w:cs="Times New Roman"/>
          <w:color w:val="0D0D0D" w:themeColor="text1" w:themeTint="F2"/>
          <w:kern w:val="0"/>
          <w:szCs w:val="24"/>
          <w14:textFill>
            <w14:solidFill>
              <w14:schemeClr w14:val="tx1">
                <w14:lumMod w14:val="95000"/>
                <w14:lumOff w14:val="5000"/>
              </w14:schemeClr>
            </w14:solidFill>
          </w14:textFill>
        </w:rPr>
        <w:t>0min</w:t>
      </w:r>
      <w:r>
        <w:rPr>
          <w:rFonts w:hint="eastAsia" w:cs="Times New Roman"/>
          <w:color w:val="0D0D0D" w:themeColor="text1" w:themeTint="F2"/>
          <w:kern w:val="0"/>
          <w:szCs w:val="24"/>
          <w14:textFill>
            <w14:solidFill>
              <w14:schemeClr w14:val="tx1">
                <w14:lumMod w14:val="95000"/>
                <w14:lumOff w14:val="5000"/>
              </w14:schemeClr>
            </w14:solidFill>
          </w14:textFill>
        </w:rPr>
        <w:t>内泄漏得到控制。因此，排放时间T</w:t>
      </w:r>
      <w:r>
        <w:rPr>
          <w:rFonts w:cs="Times New Roman"/>
          <w:color w:val="0D0D0D" w:themeColor="text1" w:themeTint="F2"/>
          <w:kern w:val="0"/>
          <w:szCs w:val="24"/>
          <w14:textFill>
            <w14:solidFill>
              <w14:schemeClr w14:val="tx1">
                <w14:lumMod w14:val="95000"/>
                <w14:lumOff w14:val="5000"/>
              </w14:schemeClr>
            </w14:solidFill>
          </w14:textFill>
        </w:rPr>
        <w:t>d</w:t>
      </w:r>
      <w:r>
        <w:rPr>
          <w:rFonts w:hint="eastAsia" w:cs="Times New Roman"/>
          <w:color w:val="0D0D0D" w:themeColor="text1" w:themeTint="F2"/>
          <w:kern w:val="0"/>
          <w:szCs w:val="24"/>
          <w14:textFill>
            <w14:solidFill>
              <w14:schemeClr w14:val="tx1">
                <w14:lumMod w14:val="95000"/>
                <w14:lumOff w14:val="5000"/>
              </w14:schemeClr>
            </w14:solidFill>
          </w14:textFill>
        </w:rPr>
        <w:t>取值为1</w:t>
      </w:r>
      <w:r>
        <w:rPr>
          <w:rFonts w:cs="Times New Roman"/>
          <w:color w:val="0D0D0D" w:themeColor="text1" w:themeTint="F2"/>
          <w:kern w:val="0"/>
          <w:szCs w:val="24"/>
          <w14:textFill>
            <w14:solidFill>
              <w14:schemeClr w14:val="tx1">
                <w14:lumMod w14:val="95000"/>
                <w14:lumOff w14:val="5000"/>
              </w14:schemeClr>
            </w14:solidFill>
          </w14:textFill>
        </w:rPr>
        <w:t>800s</w:t>
      </w:r>
      <w:r>
        <w:rPr>
          <w:rFonts w:hint="eastAsia" w:cs="Times New Roman"/>
          <w:color w:val="0D0D0D" w:themeColor="text1" w:themeTint="F2"/>
          <w:kern w:val="0"/>
          <w:szCs w:val="24"/>
          <w14:textFill>
            <w14:solidFill>
              <w14:schemeClr w14:val="tx1">
                <w14:lumMod w14:val="95000"/>
                <w14:lumOff w14:val="5000"/>
              </w14:schemeClr>
            </w14:solidFill>
          </w14:textFill>
        </w:rPr>
        <w:t>。</w:t>
      </w:r>
    </w:p>
    <w:p w14:paraId="08791508">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根据项目周边环境敏感目标调查和气象资料，U</w:t>
      </w:r>
      <w:r>
        <w:rPr>
          <w:rFonts w:cs="Times New Roman"/>
          <w:color w:val="0D0D0D" w:themeColor="text1" w:themeTint="F2"/>
          <w:kern w:val="0"/>
          <w:szCs w:val="24"/>
          <w14:textFill>
            <w14:solidFill>
              <w14:schemeClr w14:val="tx1">
                <w14:lumMod w14:val="95000"/>
                <w14:lumOff w14:val="5000"/>
              </w14:schemeClr>
            </w14:solidFill>
          </w14:textFill>
        </w:rPr>
        <w:t>r</w:t>
      </w:r>
      <w:r>
        <w:rPr>
          <w:rFonts w:hint="eastAsia" w:cs="Times New Roman"/>
          <w:color w:val="0D0D0D" w:themeColor="text1" w:themeTint="F2"/>
          <w:kern w:val="0"/>
          <w:szCs w:val="24"/>
          <w14:textFill>
            <w14:solidFill>
              <w14:schemeClr w14:val="tx1">
                <w14:lumMod w14:val="95000"/>
                <w14:lumOff w14:val="5000"/>
              </w14:schemeClr>
            </w14:solidFill>
          </w14:textFill>
        </w:rPr>
        <w:t>取值为2.2</w:t>
      </w:r>
      <w:r>
        <w:rPr>
          <w:rFonts w:cs="Times New Roman"/>
          <w:color w:val="0D0D0D" w:themeColor="text1" w:themeTint="F2"/>
          <w:kern w:val="0"/>
          <w:szCs w:val="24"/>
          <w14:textFill>
            <w14:solidFill>
              <w14:schemeClr w14:val="tx1">
                <w14:lumMod w14:val="95000"/>
                <w14:lumOff w14:val="5000"/>
              </w14:schemeClr>
            </w14:solidFill>
          </w14:textFill>
        </w:rPr>
        <w:t>m/s</w:t>
      </w:r>
      <w:r>
        <w:rPr>
          <w:rFonts w:hint="eastAsia" w:cs="Times New Roman"/>
          <w:color w:val="0D0D0D" w:themeColor="text1" w:themeTint="F2"/>
          <w:kern w:val="0"/>
          <w:szCs w:val="24"/>
          <w14:textFill>
            <w14:solidFill>
              <w14:schemeClr w14:val="tx1">
                <w14:lumMod w14:val="95000"/>
                <w14:lumOff w14:val="5000"/>
              </w14:schemeClr>
            </w14:solidFill>
          </w14:textFill>
        </w:rPr>
        <w:t>。</w:t>
      </w:r>
    </w:p>
    <w:p w14:paraId="6B0721EF">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经计算，T为1</w:t>
      </w:r>
      <w:r>
        <w:rPr>
          <w:rFonts w:cs="Times New Roman"/>
          <w:color w:val="0D0D0D" w:themeColor="text1" w:themeTint="F2"/>
          <w:kern w:val="0"/>
          <w:szCs w:val="24"/>
          <w14:textFill>
            <w14:solidFill>
              <w14:schemeClr w14:val="tx1">
                <w14:lumMod w14:val="95000"/>
                <w14:lumOff w14:val="5000"/>
              </w14:schemeClr>
            </w14:solidFill>
          </w14:textFill>
        </w:rPr>
        <w:t>58s</w:t>
      </w:r>
      <w:r>
        <w:rPr>
          <w:rFonts w:hint="eastAsia" w:cs="Times New Roman"/>
          <w:color w:val="0D0D0D" w:themeColor="text1" w:themeTint="F2"/>
          <w:kern w:val="0"/>
          <w:szCs w:val="24"/>
          <w14:textFill>
            <w14:solidFill>
              <w14:schemeClr w14:val="tx1">
                <w14:lumMod w14:val="95000"/>
                <w14:lumOff w14:val="5000"/>
              </w14:schemeClr>
            </w14:solidFill>
          </w14:textFill>
        </w:rPr>
        <w:t>＜T</w:t>
      </w:r>
      <w:r>
        <w:rPr>
          <w:rFonts w:cs="Times New Roman"/>
          <w:color w:val="0D0D0D" w:themeColor="text1" w:themeTint="F2"/>
          <w:kern w:val="0"/>
          <w:szCs w:val="24"/>
          <w14:textFill>
            <w14:solidFill>
              <w14:schemeClr w14:val="tx1">
                <w14:lumMod w14:val="95000"/>
                <w14:lumOff w14:val="5000"/>
              </w14:schemeClr>
            </w14:solidFill>
          </w14:textFill>
        </w:rPr>
        <w:t>d</w:t>
      </w:r>
      <w:r>
        <w:rPr>
          <w:rFonts w:hint="eastAsia" w:cs="Times New Roman"/>
          <w:color w:val="0D0D0D" w:themeColor="text1" w:themeTint="F2"/>
          <w:kern w:val="0"/>
          <w:szCs w:val="24"/>
          <w14:textFill>
            <w14:solidFill>
              <w14:schemeClr w14:val="tx1">
                <w14:lumMod w14:val="95000"/>
                <w14:lumOff w14:val="5000"/>
              </w14:schemeClr>
            </w14:solidFill>
          </w14:textFill>
        </w:rPr>
        <w:t>。</w:t>
      </w:r>
    </w:p>
    <w:p w14:paraId="0BADBEBF">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因此，甲醇泄漏可认为是连续排放。</w:t>
      </w:r>
    </w:p>
    <w:p w14:paraId="237B4EAD">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（2）气体性质判定</w:t>
      </w:r>
    </w:p>
    <w:p w14:paraId="39346108">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大气环境风险后果预测主要采用导则推荐的模型。重质气体排放的扩散</w:t>
      </w:r>
      <w:r>
        <w:rPr>
          <w:rFonts w:hint="eastAsia" w:cs="Times New Roman"/>
          <w:color w:val="0D0D0D" w:themeColor="text1" w:themeTint="F2"/>
          <w:kern w:val="0"/>
          <w:szCs w:val="24"/>
          <w:lang w:eastAsia="zh-CN"/>
          <w14:textFill>
            <w14:solidFill>
              <w14:schemeClr w14:val="tx1">
                <w14:lumMod w14:val="95000"/>
                <w14:lumOff w14:val="5000"/>
              </w14:schemeClr>
            </w14:solidFill>
          </w14:textFill>
        </w:rPr>
        <w:t>模式</w:t>
      </w:r>
      <w:r>
        <w:rPr>
          <w:rFonts w:hint="eastAsia" w:cs="Times New Roman"/>
          <w:color w:val="0D0D0D" w:themeColor="text1" w:themeTint="F2"/>
          <w:kern w:val="0"/>
          <w:szCs w:val="24"/>
          <w14:textFill>
            <w14:solidFill>
              <w14:schemeClr w14:val="tx1">
                <w14:lumMod w14:val="95000"/>
                <w14:lumOff w14:val="5000"/>
              </w14:schemeClr>
            </w14:solidFill>
          </w14:textFill>
        </w:rPr>
        <w:t>选用</w:t>
      </w:r>
      <w:r>
        <w:rPr>
          <w:rFonts w:cs="Times New Roman"/>
          <w:color w:val="0D0D0D" w:themeColor="text1" w:themeTint="F2"/>
          <w:kern w:val="0"/>
          <w:szCs w:val="24"/>
          <w14:textFill>
            <w14:solidFill>
              <w14:schemeClr w14:val="tx1">
                <w14:lumMod w14:val="95000"/>
                <w14:lumOff w14:val="5000"/>
              </w14:schemeClr>
            </w14:solidFill>
          </w14:textFill>
        </w:rPr>
        <w:t>SLAB模型，中性气体和轻质气体排放以及液池蒸发气体的扩散模拟选用AFTOX模型。重质气体和轻质气体采用理查德森数进行判定。</w:t>
      </w:r>
    </w:p>
    <w:p w14:paraId="4C85F98B">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cs="Times New Roman"/>
          <w:color w:val="0D0D0D" w:themeColor="text1" w:themeTint="F2"/>
          <w:kern w:val="0"/>
          <w:szCs w:val="24"/>
          <w14:textFill>
            <w14:solidFill>
              <w14:schemeClr w14:val="tx1">
                <w14:lumMod w14:val="95000"/>
                <w14:lumOff w14:val="5000"/>
              </w14:schemeClr>
            </w14:solidFill>
          </w14:textFill>
        </w:rPr>
        <w:t>本次评价采用导则附录G中的理查德森数Ri计算公式：</w:t>
      </w:r>
    </w:p>
    <w:p w14:paraId="4AC33A43">
      <w:pPr>
        <w:jc w:val="center"/>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drawing>
          <wp:inline distT="0" distB="0" distL="0" distR="0">
            <wp:extent cx="1845945" cy="618490"/>
            <wp:effectExtent l="0" t="0" r="190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894609" cy="634979"/>
                    </a:xfrm>
                    <a:prstGeom prst="rect">
                      <a:avLst/>
                    </a:prstGeom>
                    <a:noFill/>
                    <a:ln>
                      <a:noFill/>
                    </a:ln>
                  </pic:spPr>
                </pic:pic>
              </a:graphicData>
            </a:graphic>
          </wp:inline>
        </w:drawing>
      </w:r>
    </w:p>
    <w:p w14:paraId="1FA07114">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式中：</w:t>
      </w:r>
    </w:p>
    <w:p w14:paraId="3E9F0457">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cs="Times New Roman"/>
          <w:color w:val="0D0D0D" w:themeColor="text1" w:themeTint="F2"/>
          <w:kern w:val="0"/>
          <w:szCs w:val="24"/>
          <w14:textFill>
            <w14:solidFill>
              <w14:schemeClr w14:val="tx1">
                <w14:lumMod w14:val="95000"/>
                <w14:lumOff w14:val="5000"/>
              </w14:schemeClr>
            </w14:solidFill>
          </w14:textFill>
        </w:rPr>
        <w:t>ρ</w:t>
      </w:r>
      <w:r>
        <w:rPr>
          <w:rFonts w:cs="Times New Roman"/>
          <w:color w:val="0D0D0D" w:themeColor="text1" w:themeTint="F2"/>
          <w:kern w:val="0"/>
          <w:szCs w:val="24"/>
          <w:vertAlign w:val="subscript"/>
          <w14:textFill>
            <w14:solidFill>
              <w14:schemeClr w14:val="tx1">
                <w14:lumMod w14:val="95000"/>
                <w14:lumOff w14:val="5000"/>
              </w14:schemeClr>
            </w14:solidFill>
          </w14:textFill>
        </w:rPr>
        <w:t>rel</w:t>
      </w:r>
      <w:r>
        <w:rPr>
          <w:rFonts w:hint="eastAsia" w:cs="Times New Roman"/>
          <w:color w:val="0D0D0D" w:themeColor="text1" w:themeTint="F2"/>
          <w:kern w:val="0"/>
          <w:szCs w:val="24"/>
          <w14:textFill>
            <w14:solidFill>
              <w14:schemeClr w14:val="tx1">
                <w14:lumMod w14:val="95000"/>
                <w14:lumOff w14:val="5000"/>
              </w14:schemeClr>
            </w14:solidFill>
          </w14:textFill>
        </w:rPr>
        <w:t>——排放物质进入大气的初始密度</w:t>
      </w:r>
      <w:r>
        <w:rPr>
          <w:rFonts w:cs="Times New Roman"/>
          <w:color w:val="0D0D0D" w:themeColor="text1" w:themeTint="F2"/>
          <w:kern w:val="0"/>
          <w:szCs w:val="24"/>
          <w14:textFill>
            <w14:solidFill>
              <w14:schemeClr w14:val="tx1">
                <w14:lumMod w14:val="95000"/>
                <w14:lumOff w14:val="5000"/>
              </w14:schemeClr>
            </w14:solidFill>
          </w14:textFill>
        </w:rPr>
        <w:t>kg/m</w:t>
      </w:r>
      <w:r>
        <w:rPr>
          <w:rFonts w:cs="Times New Roman"/>
          <w:color w:val="0D0D0D" w:themeColor="text1" w:themeTint="F2"/>
          <w:kern w:val="0"/>
          <w:szCs w:val="24"/>
          <w:vertAlign w:val="superscript"/>
          <w14:textFill>
            <w14:solidFill>
              <w14:schemeClr w14:val="tx1">
                <w14:lumMod w14:val="95000"/>
                <w14:lumOff w14:val="5000"/>
              </w14:schemeClr>
            </w14:solidFill>
          </w14:textFill>
        </w:rPr>
        <w:t>3</w:t>
      </w:r>
      <w:r>
        <w:rPr>
          <w:rFonts w:hint="eastAsia" w:cs="Times New Roman"/>
          <w:color w:val="0D0D0D" w:themeColor="text1" w:themeTint="F2"/>
          <w:kern w:val="0"/>
          <w:szCs w:val="24"/>
          <w14:textFill>
            <w14:solidFill>
              <w14:schemeClr w14:val="tx1">
                <w14:lumMod w14:val="95000"/>
                <w14:lumOff w14:val="5000"/>
              </w14:schemeClr>
            </w14:solidFill>
          </w14:textFill>
        </w:rPr>
        <w:t>，取1.28</w:t>
      </w:r>
      <w:r>
        <w:rPr>
          <w:rFonts w:cs="Times New Roman"/>
          <w:color w:val="0D0D0D" w:themeColor="text1" w:themeTint="F2"/>
          <w:kern w:val="0"/>
          <w:szCs w:val="24"/>
          <w14:textFill>
            <w14:solidFill>
              <w14:schemeClr w14:val="tx1">
                <w14:lumMod w14:val="95000"/>
                <w14:lumOff w14:val="5000"/>
              </w14:schemeClr>
            </w14:solidFill>
          </w14:textFill>
        </w:rPr>
        <w:t>kg/m</w:t>
      </w:r>
      <w:r>
        <w:rPr>
          <w:rFonts w:cs="Times New Roman"/>
          <w:color w:val="0D0D0D" w:themeColor="text1" w:themeTint="F2"/>
          <w:kern w:val="0"/>
          <w:szCs w:val="24"/>
          <w:vertAlign w:val="superscript"/>
          <w14:textFill>
            <w14:solidFill>
              <w14:schemeClr w14:val="tx1">
                <w14:lumMod w14:val="95000"/>
                <w14:lumOff w14:val="5000"/>
              </w14:schemeClr>
            </w14:solidFill>
          </w14:textFill>
        </w:rPr>
        <w:t>3</w:t>
      </w:r>
      <w:r>
        <w:rPr>
          <w:rFonts w:cs="Times New Roman"/>
          <w:color w:val="0D0D0D" w:themeColor="text1" w:themeTint="F2"/>
          <w:kern w:val="0"/>
          <w:szCs w:val="24"/>
          <w14:textFill>
            <w14:solidFill>
              <w14:schemeClr w14:val="tx1">
                <w14:lumMod w14:val="95000"/>
                <w14:lumOff w14:val="5000"/>
              </w14:schemeClr>
            </w14:solidFill>
          </w14:textFill>
        </w:rPr>
        <w:t>；</w:t>
      </w:r>
    </w:p>
    <w:p w14:paraId="75765BF0">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cs="Times New Roman"/>
          <w:color w:val="0D0D0D" w:themeColor="text1" w:themeTint="F2"/>
          <w:kern w:val="0"/>
          <w:szCs w:val="24"/>
          <w14:textFill>
            <w14:solidFill>
              <w14:schemeClr w14:val="tx1">
                <w14:lumMod w14:val="95000"/>
                <w14:lumOff w14:val="5000"/>
              </w14:schemeClr>
            </w14:solidFill>
          </w14:textFill>
        </w:rPr>
        <w:t>ρ</w:t>
      </w:r>
      <w:r>
        <w:rPr>
          <w:rFonts w:cs="Times New Roman"/>
          <w:color w:val="0D0D0D" w:themeColor="text1" w:themeTint="F2"/>
          <w:kern w:val="0"/>
          <w:szCs w:val="24"/>
          <w:vertAlign w:val="subscript"/>
          <w14:textFill>
            <w14:solidFill>
              <w14:schemeClr w14:val="tx1">
                <w14:lumMod w14:val="95000"/>
                <w14:lumOff w14:val="5000"/>
              </w14:schemeClr>
            </w14:solidFill>
          </w14:textFill>
        </w:rPr>
        <w:t>a</w:t>
      </w:r>
      <w:r>
        <w:rPr>
          <w:rFonts w:hint="eastAsia" w:cs="Times New Roman"/>
          <w:color w:val="0D0D0D" w:themeColor="text1" w:themeTint="F2"/>
          <w:kern w:val="0"/>
          <w:szCs w:val="24"/>
          <w14:textFill>
            <w14:solidFill>
              <w14:schemeClr w14:val="tx1">
                <w14:lumMod w14:val="95000"/>
                <w14:lumOff w14:val="5000"/>
              </w14:schemeClr>
            </w14:solidFill>
          </w14:textFill>
        </w:rPr>
        <w:t>——环境空气密度，k</w:t>
      </w:r>
      <w:r>
        <w:rPr>
          <w:rFonts w:cs="Times New Roman"/>
          <w:color w:val="0D0D0D" w:themeColor="text1" w:themeTint="F2"/>
          <w:kern w:val="0"/>
          <w:szCs w:val="24"/>
          <w14:textFill>
            <w14:solidFill>
              <w14:schemeClr w14:val="tx1">
                <w14:lumMod w14:val="95000"/>
                <w14:lumOff w14:val="5000"/>
              </w14:schemeClr>
            </w14:solidFill>
          </w14:textFill>
        </w:rPr>
        <w:t>g/m</w:t>
      </w:r>
      <w:r>
        <w:rPr>
          <w:rFonts w:cs="Times New Roman"/>
          <w:color w:val="0D0D0D" w:themeColor="text1" w:themeTint="F2"/>
          <w:kern w:val="0"/>
          <w:szCs w:val="24"/>
          <w:vertAlign w:val="superscript"/>
          <w14:textFill>
            <w14:solidFill>
              <w14:schemeClr w14:val="tx1">
                <w14:lumMod w14:val="95000"/>
                <w14:lumOff w14:val="5000"/>
              </w14:schemeClr>
            </w14:solidFill>
          </w14:textFill>
        </w:rPr>
        <w:t>3</w:t>
      </w:r>
      <w:r>
        <w:rPr>
          <w:rFonts w:hint="eastAsia" w:cs="Times New Roman"/>
          <w:color w:val="0D0D0D" w:themeColor="text1" w:themeTint="F2"/>
          <w:kern w:val="0"/>
          <w:szCs w:val="24"/>
          <w14:textFill>
            <w14:solidFill>
              <w14:schemeClr w14:val="tx1">
                <w14:lumMod w14:val="95000"/>
                <w14:lumOff w14:val="5000"/>
              </w14:schemeClr>
            </w14:solidFill>
          </w14:textFill>
        </w:rPr>
        <w:t>，取</w:t>
      </w:r>
      <w:r>
        <w:rPr>
          <w:rFonts w:cs="Times New Roman"/>
          <w:color w:val="0D0D0D" w:themeColor="text1" w:themeTint="F2"/>
          <w:kern w:val="0"/>
          <w:szCs w:val="24"/>
          <w14:textFill>
            <w14:solidFill>
              <w14:schemeClr w14:val="tx1">
                <w14:lumMod w14:val="95000"/>
                <w14:lumOff w14:val="5000"/>
              </w14:schemeClr>
            </w14:solidFill>
          </w14:textFill>
        </w:rPr>
        <w:t>1.29kg/m</w:t>
      </w:r>
      <w:r>
        <w:rPr>
          <w:rFonts w:cs="Times New Roman"/>
          <w:color w:val="0D0D0D" w:themeColor="text1" w:themeTint="F2"/>
          <w:kern w:val="0"/>
          <w:szCs w:val="24"/>
          <w:vertAlign w:val="superscript"/>
          <w14:textFill>
            <w14:solidFill>
              <w14:schemeClr w14:val="tx1">
                <w14:lumMod w14:val="95000"/>
                <w14:lumOff w14:val="5000"/>
              </w14:schemeClr>
            </w14:solidFill>
          </w14:textFill>
        </w:rPr>
        <w:t>3</w:t>
      </w:r>
      <w:r>
        <w:rPr>
          <w:rFonts w:cs="Times New Roman"/>
          <w:color w:val="0D0D0D" w:themeColor="text1" w:themeTint="F2"/>
          <w:kern w:val="0"/>
          <w:szCs w:val="24"/>
          <w14:textFill>
            <w14:solidFill>
              <w14:schemeClr w14:val="tx1">
                <w14:lumMod w14:val="95000"/>
                <w14:lumOff w14:val="5000"/>
              </w14:schemeClr>
            </w14:solidFill>
          </w14:textFill>
        </w:rPr>
        <w:t>；</w:t>
      </w:r>
    </w:p>
    <w:p w14:paraId="58B1FA53">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cs="Times New Roman"/>
          <w:color w:val="0D0D0D" w:themeColor="text1" w:themeTint="F2"/>
          <w:kern w:val="0"/>
          <w:szCs w:val="24"/>
          <w14:textFill>
            <w14:solidFill>
              <w14:schemeClr w14:val="tx1">
                <w14:lumMod w14:val="95000"/>
                <w14:lumOff w14:val="5000"/>
              </w14:schemeClr>
            </w14:solidFill>
          </w14:textFill>
        </w:rPr>
        <w:t>Q</w:t>
      </w:r>
      <w:r>
        <w:rPr>
          <w:rFonts w:hint="eastAsia" w:cs="Times New Roman"/>
          <w:color w:val="0D0D0D" w:themeColor="text1" w:themeTint="F2"/>
          <w:kern w:val="0"/>
          <w:szCs w:val="24"/>
          <w14:textFill>
            <w14:solidFill>
              <w14:schemeClr w14:val="tx1">
                <w14:lumMod w14:val="95000"/>
                <w14:lumOff w14:val="5000"/>
              </w14:schemeClr>
            </w14:solidFill>
          </w14:textFill>
        </w:rPr>
        <w:t>——连续排放烟羽的排放速率，k</w:t>
      </w:r>
      <w:r>
        <w:rPr>
          <w:rFonts w:cs="Times New Roman"/>
          <w:color w:val="0D0D0D" w:themeColor="text1" w:themeTint="F2"/>
          <w:kern w:val="0"/>
          <w:szCs w:val="24"/>
          <w14:textFill>
            <w14:solidFill>
              <w14:schemeClr w14:val="tx1">
                <w14:lumMod w14:val="95000"/>
                <w14:lumOff w14:val="5000"/>
              </w14:schemeClr>
            </w14:solidFill>
          </w14:textFill>
        </w:rPr>
        <w:t>g/s；</w:t>
      </w:r>
    </w:p>
    <w:p w14:paraId="3EDD30F9">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cs="Times New Roman"/>
          <w:color w:val="0D0D0D" w:themeColor="text1" w:themeTint="F2"/>
          <w:kern w:val="0"/>
          <w:szCs w:val="24"/>
          <w14:textFill>
            <w14:solidFill>
              <w14:schemeClr w14:val="tx1">
                <w14:lumMod w14:val="95000"/>
                <w14:lumOff w14:val="5000"/>
              </w14:schemeClr>
            </w14:solidFill>
          </w14:textFill>
        </w:rPr>
        <w:t>D</w:t>
      </w:r>
      <w:r>
        <w:rPr>
          <w:rFonts w:cs="Times New Roman"/>
          <w:color w:val="0D0D0D" w:themeColor="text1" w:themeTint="F2"/>
          <w:kern w:val="0"/>
          <w:szCs w:val="24"/>
          <w:vertAlign w:val="subscript"/>
          <w14:textFill>
            <w14:solidFill>
              <w14:schemeClr w14:val="tx1">
                <w14:lumMod w14:val="95000"/>
                <w14:lumOff w14:val="5000"/>
              </w14:schemeClr>
            </w14:solidFill>
          </w14:textFill>
        </w:rPr>
        <w:t>rel</w:t>
      </w:r>
      <w:r>
        <w:rPr>
          <w:rFonts w:hint="eastAsia" w:cs="Times New Roman"/>
          <w:color w:val="0D0D0D" w:themeColor="text1" w:themeTint="F2"/>
          <w:kern w:val="0"/>
          <w:szCs w:val="24"/>
          <w14:textFill>
            <w14:solidFill>
              <w14:schemeClr w14:val="tx1">
                <w14:lumMod w14:val="95000"/>
                <w14:lumOff w14:val="5000"/>
              </w14:schemeClr>
            </w14:solidFill>
          </w14:textFill>
        </w:rPr>
        <w:t>——初始的烟团宽度，即源直径，</w:t>
      </w:r>
      <w:r>
        <w:rPr>
          <w:rFonts w:cs="Times New Roman"/>
          <w:color w:val="0D0D0D" w:themeColor="text1" w:themeTint="F2"/>
          <w:kern w:val="0"/>
          <w:szCs w:val="24"/>
          <w14:textFill>
            <w14:solidFill>
              <w14:schemeClr w14:val="tx1">
                <w14:lumMod w14:val="95000"/>
                <w14:lumOff w14:val="5000"/>
              </w14:schemeClr>
            </w14:solidFill>
          </w14:textFill>
        </w:rPr>
        <w:t>m</w:t>
      </w:r>
      <w:r>
        <w:rPr>
          <w:rFonts w:hint="eastAsia" w:cs="Times New Roman"/>
          <w:color w:val="0D0D0D" w:themeColor="text1" w:themeTint="F2"/>
          <w:kern w:val="0"/>
          <w:szCs w:val="24"/>
          <w14:textFill>
            <w14:solidFill>
              <w14:schemeClr w14:val="tx1">
                <w14:lumMod w14:val="95000"/>
                <w14:lumOff w14:val="5000"/>
              </w14:schemeClr>
            </w14:solidFill>
          </w14:textFill>
        </w:rPr>
        <w:t>，取1</w:t>
      </w:r>
      <w:r>
        <w:rPr>
          <w:rFonts w:cs="Times New Roman"/>
          <w:color w:val="0D0D0D" w:themeColor="text1" w:themeTint="F2"/>
          <w:kern w:val="0"/>
          <w:szCs w:val="24"/>
          <w14:textFill>
            <w14:solidFill>
              <w14:schemeClr w14:val="tx1">
                <w14:lumMod w14:val="95000"/>
                <w14:lumOff w14:val="5000"/>
              </w14:schemeClr>
            </w14:solidFill>
          </w14:textFill>
        </w:rPr>
        <w:t>0m；</w:t>
      </w:r>
    </w:p>
    <w:p w14:paraId="46AC8CBC">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cs="Times New Roman"/>
          <w:color w:val="0D0D0D" w:themeColor="text1" w:themeTint="F2"/>
          <w:kern w:val="0"/>
          <w:szCs w:val="24"/>
          <w14:textFill>
            <w14:solidFill>
              <w14:schemeClr w14:val="tx1">
                <w14:lumMod w14:val="95000"/>
                <w14:lumOff w14:val="5000"/>
              </w14:schemeClr>
            </w14:solidFill>
          </w14:textFill>
        </w:rPr>
        <w:t>U</w:t>
      </w:r>
      <w:r>
        <w:rPr>
          <w:rFonts w:cs="Times New Roman"/>
          <w:color w:val="0D0D0D" w:themeColor="text1" w:themeTint="F2"/>
          <w:kern w:val="0"/>
          <w:szCs w:val="24"/>
          <w:vertAlign w:val="subscript"/>
          <w14:textFill>
            <w14:solidFill>
              <w14:schemeClr w14:val="tx1">
                <w14:lumMod w14:val="95000"/>
                <w14:lumOff w14:val="5000"/>
              </w14:schemeClr>
            </w14:solidFill>
          </w14:textFill>
        </w:rPr>
        <w:t>r</w:t>
      </w:r>
      <w:r>
        <w:rPr>
          <w:rFonts w:hint="eastAsia" w:cs="Times New Roman"/>
          <w:color w:val="0D0D0D" w:themeColor="text1" w:themeTint="F2"/>
          <w:kern w:val="0"/>
          <w:szCs w:val="24"/>
          <w14:textFill>
            <w14:solidFill>
              <w14:schemeClr w14:val="tx1">
                <w14:lumMod w14:val="95000"/>
                <w14:lumOff w14:val="5000"/>
              </w14:schemeClr>
            </w14:solidFill>
          </w14:textFill>
        </w:rPr>
        <w:t>——1</w:t>
      </w:r>
      <w:r>
        <w:rPr>
          <w:rFonts w:cs="Times New Roman"/>
          <w:color w:val="0D0D0D" w:themeColor="text1" w:themeTint="F2"/>
          <w:kern w:val="0"/>
          <w:szCs w:val="24"/>
          <w14:textFill>
            <w14:solidFill>
              <w14:schemeClr w14:val="tx1">
                <w14:lumMod w14:val="95000"/>
                <w14:lumOff w14:val="5000"/>
              </w14:schemeClr>
            </w14:solidFill>
          </w14:textFill>
        </w:rPr>
        <w:t>0m</w:t>
      </w:r>
      <w:r>
        <w:rPr>
          <w:rFonts w:hint="eastAsia" w:cs="Times New Roman"/>
          <w:color w:val="0D0D0D" w:themeColor="text1" w:themeTint="F2"/>
          <w:kern w:val="0"/>
          <w:szCs w:val="24"/>
          <w14:textFill>
            <w14:solidFill>
              <w14:schemeClr w14:val="tx1">
                <w14:lumMod w14:val="95000"/>
                <w14:lumOff w14:val="5000"/>
              </w14:schemeClr>
            </w14:solidFill>
          </w14:textFill>
        </w:rPr>
        <w:t>高处风速，</w:t>
      </w:r>
      <w:r>
        <w:rPr>
          <w:rFonts w:cs="Times New Roman"/>
          <w:color w:val="0D0D0D" w:themeColor="text1" w:themeTint="F2"/>
          <w:kern w:val="0"/>
          <w:szCs w:val="24"/>
          <w14:textFill>
            <w14:solidFill>
              <w14:schemeClr w14:val="tx1">
                <w14:lumMod w14:val="95000"/>
                <w14:lumOff w14:val="5000"/>
              </w14:schemeClr>
            </w14:solidFill>
          </w14:textFill>
        </w:rPr>
        <w:t>m/s</w:t>
      </w:r>
      <w:r>
        <w:rPr>
          <w:rFonts w:hint="eastAsia" w:cs="Times New Roman"/>
          <w:color w:val="0D0D0D" w:themeColor="text1" w:themeTint="F2"/>
          <w:kern w:val="0"/>
          <w:szCs w:val="24"/>
          <w14:textFill>
            <w14:solidFill>
              <w14:schemeClr w14:val="tx1">
                <w14:lumMod w14:val="95000"/>
                <w14:lumOff w14:val="5000"/>
              </w14:schemeClr>
            </w14:solidFill>
          </w14:textFill>
        </w:rPr>
        <w:t>，取2.2</w:t>
      </w:r>
      <w:r>
        <w:rPr>
          <w:rFonts w:cs="Times New Roman"/>
          <w:color w:val="0D0D0D" w:themeColor="text1" w:themeTint="F2"/>
          <w:kern w:val="0"/>
          <w:szCs w:val="24"/>
          <w14:textFill>
            <w14:solidFill>
              <w14:schemeClr w14:val="tx1">
                <w14:lumMod w14:val="95000"/>
                <w14:lumOff w14:val="5000"/>
              </w14:schemeClr>
            </w14:solidFill>
          </w14:textFill>
        </w:rPr>
        <w:t>m/s；</w:t>
      </w:r>
    </w:p>
    <w:p w14:paraId="649FDEB0">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对于连续排放，当</w:t>
      </w:r>
      <w:r>
        <w:rPr>
          <w:rFonts w:cs="Times New Roman"/>
          <w:color w:val="0D0D0D" w:themeColor="text1" w:themeTint="F2"/>
          <w:kern w:val="0"/>
          <w:szCs w:val="24"/>
          <w14:textFill>
            <w14:solidFill>
              <w14:schemeClr w14:val="tx1">
                <w14:lumMod w14:val="95000"/>
                <w14:lumOff w14:val="5000"/>
              </w14:schemeClr>
            </w14:solidFill>
          </w14:textFill>
        </w:rPr>
        <w:t>Ri≥1/6为重质气体，Ri＜1/6为轻质气体；对于瞬时排放，当Ri＞0.04为重质气体，Ri≤0.04为轻质气体。</w:t>
      </w:r>
    </w:p>
    <w:p w14:paraId="642EF055">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经计算，项目R</w:t>
      </w:r>
      <w:r>
        <w:rPr>
          <w:rFonts w:cs="Times New Roman"/>
          <w:color w:val="0D0D0D" w:themeColor="text1" w:themeTint="F2"/>
          <w:kern w:val="0"/>
          <w:szCs w:val="24"/>
          <w14:textFill>
            <w14:solidFill>
              <w14:schemeClr w14:val="tx1">
                <w14:lumMod w14:val="95000"/>
                <w14:lumOff w14:val="5000"/>
              </w14:schemeClr>
            </w14:solidFill>
          </w14:textFill>
        </w:rPr>
        <w:t>i</w:t>
      </w:r>
      <w:r>
        <w:rPr>
          <w:rFonts w:hint="eastAsia" w:cs="Times New Roman"/>
          <w:color w:val="0D0D0D" w:themeColor="text1" w:themeTint="F2"/>
          <w:kern w:val="0"/>
          <w:szCs w:val="24"/>
          <w14:textFill>
            <w14:solidFill>
              <w14:schemeClr w14:val="tx1">
                <w14:lumMod w14:val="95000"/>
                <w14:lumOff w14:val="5000"/>
              </w14:schemeClr>
            </w14:solidFill>
          </w14:textFill>
        </w:rPr>
        <w:t>为-0.157＜</w:t>
      </w:r>
      <w:r>
        <w:rPr>
          <w:rFonts w:cs="Times New Roman"/>
          <w:color w:val="0D0D0D" w:themeColor="text1" w:themeTint="F2"/>
          <w:kern w:val="0"/>
          <w:szCs w:val="24"/>
          <w14:textFill>
            <w14:solidFill>
              <w14:schemeClr w14:val="tx1">
                <w14:lumMod w14:val="95000"/>
                <w14:lumOff w14:val="5000"/>
              </w14:schemeClr>
            </w14:solidFill>
          </w14:textFill>
        </w:rPr>
        <w:t>1/6</w:t>
      </w:r>
      <w:r>
        <w:rPr>
          <w:rFonts w:hint="eastAsia" w:cs="Times New Roman"/>
          <w:color w:val="0D0D0D" w:themeColor="text1" w:themeTint="F2"/>
          <w:kern w:val="0"/>
          <w:szCs w:val="24"/>
          <w14:textFill>
            <w14:solidFill>
              <w14:schemeClr w14:val="tx1">
                <w14:lumMod w14:val="95000"/>
                <w14:lumOff w14:val="5000"/>
              </w14:schemeClr>
            </w14:solidFill>
          </w14:textFill>
        </w:rPr>
        <w:t>，为轻质气体。</w:t>
      </w:r>
    </w:p>
    <w:p w14:paraId="77C6EA61">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（3）预测范围与计算点</w:t>
      </w:r>
    </w:p>
    <w:p w14:paraId="251A94F5">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根据《建设项目环境风险评价技术导则》（</w:t>
      </w:r>
      <w:r>
        <w:rPr>
          <w:rFonts w:cs="Times New Roman"/>
          <w:color w:val="0D0D0D" w:themeColor="text1" w:themeTint="F2"/>
          <w:kern w:val="0"/>
          <w:szCs w:val="24"/>
          <w14:textFill>
            <w14:solidFill>
              <w14:schemeClr w14:val="tx1">
                <w14:lumMod w14:val="95000"/>
                <w14:lumOff w14:val="5000"/>
              </w14:schemeClr>
            </w14:solidFill>
          </w14:textFill>
        </w:rPr>
        <w:t>HJ/T169</w:t>
      </w:r>
      <w:r>
        <w:rPr>
          <w:rFonts w:hint="eastAsia" w:cs="Times New Roman"/>
          <w:color w:val="0D0D0D" w:themeColor="text1" w:themeTint="F2"/>
          <w:kern w:val="0"/>
          <w:szCs w:val="24"/>
          <w14:textFill>
            <w14:solidFill>
              <w14:schemeClr w14:val="tx1">
                <w14:lumMod w14:val="95000"/>
                <w14:lumOff w14:val="5000"/>
              </w14:schemeClr>
            </w14:solidFill>
          </w14:textFill>
        </w:rPr>
        <w:t>-</w:t>
      </w:r>
      <w:r>
        <w:rPr>
          <w:rFonts w:cs="Times New Roman"/>
          <w:color w:val="0D0D0D" w:themeColor="text1" w:themeTint="F2"/>
          <w:kern w:val="0"/>
          <w:szCs w:val="24"/>
          <w14:textFill>
            <w14:solidFill>
              <w14:schemeClr w14:val="tx1">
                <w14:lumMod w14:val="95000"/>
                <w14:lumOff w14:val="5000"/>
              </w14:schemeClr>
            </w14:solidFill>
          </w14:textFill>
        </w:rPr>
        <w:t>2018），项目评价范围为5km，</w:t>
      </w:r>
      <w:r>
        <w:rPr>
          <w:rFonts w:hint="eastAsia" w:cs="Times New Roman"/>
          <w:color w:val="0D0D0D" w:themeColor="text1" w:themeTint="F2"/>
          <w:kern w:val="0"/>
          <w:szCs w:val="24"/>
          <w14:textFill>
            <w14:solidFill>
              <w14:schemeClr w14:val="tx1">
                <w14:lumMod w14:val="95000"/>
                <w14:lumOff w14:val="5000"/>
              </w14:schemeClr>
            </w14:solidFill>
          </w14:textFill>
        </w:rPr>
        <w:t>本次评价预测范围与评价范围一致。同时计算周边</w:t>
      </w:r>
      <w:r>
        <w:rPr>
          <w:rFonts w:cs="Times New Roman"/>
          <w:color w:val="0D0D0D" w:themeColor="text1" w:themeTint="F2"/>
          <w:kern w:val="0"/>
          <w:szCs w:val="24"/>
          <w14:textFill>
            <w14:solidFill>
              <w14:schemeClr w14:val="tx1">
                <w14:lumMod w14:val="95000"/>
                <w14:lumOff w14:val="5000"/>
              </w14:schemeClr>
            </w14:solidFill>
          </w14:textFill>
        </w:rPr>
        <w:t>2000m范围内代表性大气环境敏感目</w:t>
      </w:r>
      <w:r>
        <w:rPr>
          <w:rFonts w:hint="eastAsia" w:cs="Times New Roman"/>
          <w:color w:val="0D0D0D" w:themeColor="text1" w:themeTint="F2"/>
          <w:kern w:val="0"/>
          <w:szCs w:val="24"/>
          <w14:textFill>
            <w14:solidFill>
              <w14:schemeClr w14:val="tx1">
                <w14:lumMod w14:val="95000"/>
                <w14:lumOff w14:val="5000"/>
              </w14:schemeClr>
            </w14:solidFill>
          </w14:textFill>
        </w:rPr>
        <w:t>标浓度。</w:t>
      </w:r>
    </w:p>
    <w:p w14:paraId="07D14F74">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（4）预测模型主要参数</w:t>
      </w:r>
    </w:p>
    <w:p w14:paraId="03E1BD75">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项目风险评级等级为二级，选取最不利气象条件进行预测。</w:t>
      </w:r>
    </w:p>
    <w:p w14:paraId="620BEA34">
      <w:pPr>
        <w:pStyle w:val="11"/>
      </w:pPr>
      <w:r>
        <w:rPr>
          <w:rFonts w:hint="eastAsia"/>
        </w:rPr>
        <w:t xml:space="preserve"> 大气风险预测模型主要参数表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3"/>
        <w:gridCol w:w="2562"/>
        <w:gridCol w:w="2543"/>
        <w:gridCol w:w="2544"/>
      </w:tblGrid>
      <w:tr w14:paraId="1DF80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2" w:type="pct"/>
            <w:vAlign w:val="center"/>
          </w:tcPr>
          <w:p w14:paraId="0778FD99">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参数类型</w:t>
            </w:r>
          </w:p>
        </w:tc>
        <w:tc>
          <w:tcPr>
            <w:tcW w:w="1386" w:type="pct"/>
            <w:vAlign w:val="center"/>
          </w:tcPr>
          <w:p w14:paraId="47A585B6">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选项</w:t>
            </w:r>
          </w:p>
        </w:tc>
        <w:tc>
          <w:tcPr>
            <w:tcW w:w="2752" w:type="pct"/>
            <w:gridSpan w:val="2"/>
            <w:vAlign w:val="center"/>
          </w:tcPr>
          <w:p w14:paraId="34077A9F">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参数</w:t>
            </w:r>
          </w:p>
        </w:tc>
      </w:tr>
      <w:tr w14:paraId="76412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2" w:type="pct"/>
            <w:vMerge w:val="restart"/>
            <w:vAlign w:val="center"/>
          </w:tcPr>
          <w:p w14:paraId="4F577A22">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基本情况</w:t>
            </w:r>
          </w:p>
        </w:tc>
        <w:tc>
          <w:tcPr>
            <w:tcW w:w="1386" w:type="pct"/>
            <w:vAlign w:val="center"/>
          </w:tcPr>
          <w:p w14:paraId="69F5428A">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事故源经纬度</w:t>
            </w:r>
          </w:p>
        </w:tc>
        <w:tc>
          <w:tcPr>
            <w:tcW w:w="2752" w:type="pct"/>
            <w:gridSpan w:val="2"/>
            <w:vAlign w:val="center"/>
          </w:tcPr>
          <w:p w14:paraId="0106A052">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108.623444</w:t>
            </w:r>
            <w:r>
              <w:rPr>
                <w:rFonts w:hint="eastAsia" w:cs="Times New Roman"/>
                <w:color w:val="0D0D0D" w:themeColor="text1" w:themeTint="F2"/>
                <w:sz w:val="21"/>
                <w:szCs w:val="21"/>
                <w14:textFill>
                  <w14:solidFill>
                    <w14:schemeClr w14:val="tx1">
                      <w14:lumMod w14:val="95000"/>
                      <w14:lumOff w14:val="5000"/>
                    </w14:schemeClr>
                  </w14:solidFill>
                </w14:textFill>
              </w:rPr>
              <w:t>，</w:t>
            </w:r>
            <w:r>
              <w:rPr>
                <w:rFonts w:cs="Times New Roman"/>
                <w:color w:val="0D0D0D" w:themeColor="text1" w:themeTint="F2"/>
                <w:sz w:val="21"/>
                <w:szCs w:val="21"/>
                <w14:textFill>
                  <w14:solidFill>
                    <w14:schemeClr w14:val="tx1">
                      <w14:lumMod w14:val="95000"/>
                      <w14:lumOff w14:val="5000"/>
                    </w14:schemeClr>
                  </w14:solidFill>
                </w14:textFill>
              </w:rPr>
              <w:t>21.730981</w:t>
            </w:r>
          </w:p>
        </w:tc>
      </w:tr>
      <w:tr w14:paraId="0836B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2" w:type="pct"/>
            <w:vMerge w:val="continue"/>
            <w:vAlign w:val="center"/>
          </w:tcPr>
          <w:p w14:paraId="3D11F419">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1386" w:type="pct"/>
            <w:vAlign w:val="center"/>
          </w:tcPr>
          <w:p w14:paraId="74CE3B1F">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事故源类型</w:t>
            </w:r>
          </w:p>
        </w:tc>
        <w:tc>
          <w:tcPr>
            <w:tcW w:w="2752" w:type="pct"/>
            <w:gridSpan w:val="2"/>
            <w:vAlign w:val="center"/>
          </w:tcPr>
          <w:p w14:paraId="26BEFE83">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甲醇储罐液体泄漏</w:t>
            </w:r>
          </w:p>
        </w:tc>
      </w:tr>
      <w:tr w14:paraId="5CFC5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2" w:type="pct"/>
            <w:vMerge w:val="restart"/>
            <w:vAlign w:val="center"/>
          </w:tcPr>
          <w:p w14:paraId="352F0716">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气象参数</w:t>
            </w:r>
          </w:p>
        </w:tc>
        <w:tc>
          <w:tcPr>
            <w:tcW w:w="1386" w:type="pct"/>
            <w:vAlign w:val="center"/>
          </w:tcPr>
          <w:p w14:paraId="682FA24B">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气象条件</w:t>
            </w:r>
          </w:p>
        </w:tc>
        <w:tc>
          <w:tcPr>
            <w:tcW w:w="1376" w:type="pct"/>
            <w:vAlign w:val="center"/>
          </w:tcPr>
          <w:p w14:paraId="06720625">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最不利气象条件</w:t>
            </w:r>
          </w:p>
        </w:tc>
        <w:tc>
          <w:tcPr>
            <w:tcW w:w="1376" w:type="pct"/>
            <w:vAlign w:val="center"/>
          </w:tcPr>
          <w:p w14:paraId="5F626652">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最常见气象条件</w:t>
            </w:r>
          </w:p>
        </w:tc>
      </w:tr>
      <w:tr w14:paraId="7FE38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2" w:type="pct"/>
            <w:vMerge w:val="continue"/>
            <w:vAlign w:val="center"/>
          </w:tcPr>
          <w:p w14:paraId="56A62A02">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1386" w:type="pct"/>
            <w:vAlign w:val="center"/>
          </w:tcPr>
          <w:p w14:paraId="3FA66259">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风速m/s</w:t>
            </w:r>
          </w:p>
        </w:tc>
        <w:tc>
          <w:tcPr>
            <w:tcW w:w="1376" w:type="pct"/>
            <w:vAlign w:val="center"/>
          </w:tcPr>
          <w:p w14:paraId="6D17BF14">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1.5</w:t>
            </w:r>
          </w:p>
        </w:tc>
        <w:tc>
          <w:tcPr>
            <w:tcW w:w="1376" w:type="pct"/>
            <w:vAlign w:val="center"/>
          </w:tcPr>
          <w:p w14:paraId="430A5ECC">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2.2</w:t>
            </w:r>
          </w:p>
        </w:tc>
      </w:tr>
      <w:tr w14:paraId="789C8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2" w:type="pct"/>
            <w:vMerge w:val="continue"/>
            <w:vAlign w:val="center"/>
          </w:tcPr>
          <w:p w14:paraId="57C1F031">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1386" w:type="pct"/>
            <w:vAlign w:val="center"/>
          </w:tcPr>
          <w:p w14:paraId="462861F1">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环境温度/℃</w:t>
            </w:r>
          </w:p>
        </w:tc>
        <w:tc>
          <w:tcPr>
            <w:tcW w:w="1376" w:type="pct"/>
            <w:vAlign w:val="center"/>
          </w:tcPr>
          <w:p w14:paraId="164221BC">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25.00</w:t>
            </w:r>
          </w:p>
        </w:tc>
        <w:tc>
          <w:tcPr>
            <w:tcW w:w="1376" w:type="pct"/>
            <w:vAlign w:val="center"/>
          </w:tcPr>
          <w:p w14:paraId="0214F235">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22.9</w:t>
            </w:r>
          </w:p>
        </w:tc>
      </w:tr>
      <w:tr w14:paraId="43CE5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2" w:type="pct"/>
            <w:vMerge w:val="continue"/>
            <w:vAlign w:val="center"/>
          </w:tcPr>
          <w:p w14:paraId="27985F12">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1386" w:type="pct"/>
            <w:vAlign w:val="center"/>
          </w:tcPr>
          <w:p w14:paraId="1B83EC77">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相对湿度/%</w:t>
            </w:r>
          </w:p>
        </w:tc>
        <w:tc>
          <w:tcPr>
            <w:tcW w:w="1376" w:type="pct"/>
            <w:vAlign w:val="center"/>
          </w:tcPr>
          <w:p w14:paraId="2F134A2D">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50.0</w:t>
            </w:r>
          </w:p>
        </w:tc>
        <w:tc>
          <w:tcPr>
            <w:tcW w:w="1376" w:type="pct"/>
            <w:vAlign w:val="center"/>
          </w:tcPr>
          <w:p w14:paraId="12117BFD">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8</w:t>
            </w:r>
            <w:r>
              <w:rPr>
                <w:rFonts w:cs="Times New Roman"/>
                <w:color w:val="0D0D0D" w:themeColor="text1" w:themeTint="F2"/>
                <w:sz w:val="21"/>
                <w:szCs w:val="21"/>
                <w14:textFill>
                  <w14:solidFill>
                    <w14:schemeClr w14:val="tx1">
                      <w14:lumMod w14:val="95000"/>
                      <w14:lumOff w14:val="5000"/>
                    </w14:schemeClr>
                  </w14:solidFill>
                </w14:textFill>
              </w:rPr>
              <w:t>0.0</w:t>
            </w:r>
          </w:p>
        </w:tc>
      </w:tr>
      <w:tr w14:paraId="67B0F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2" w:type="pct"/>
            <w:vMerge w:val="continue"/>
            <w:vAlign w:val="center"/>
          </w:tcPr>
          <w:p w14:paraId="5D2CD9F0">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1386" w:type="pct"/>
            <w:vAlign w:val="center"/>
          </w:tcPr>
          <w:p w14:paraId="1CB1A368">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稳定度</w:t>
            </w:r>
          </w:p>
        </w:tc>
        <w:tc>
          <w:tcPr>
            <w:tcW w:w="1376" w:type="pct"/>
            <w:vAlign w:val="center"/>
          </w:tcPr>
          <w:p w14:paraId="65D690BD">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F（稳定）</w:t>
            </w:r>
          </w:p>
        </w:tc>
        <w:tc>
          <w:tcPr>
            <w:tcW w:w="1376" w:type="pct"/>
            <w:vAlign w:val="center"/>
          </w:tcPr>
          <w:p w14:paraId="737B9932">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r>
      <w:tr w14:paraId="6966A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2" w:type="pct"/>
            <w:vMerge w:val="restart"/>
            <w:vAlign w:val="center"/>
          </w:tcPr>
          <w:p w14:paraId="0B8C3994">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其他参数</w:t>
            </w:r>
          </w:p>
        </w:tc>
        <w:tc>
          <w:tcPr>
            <w:tcW w:w="1386" w:type="pct"/>
            <w:vAlign w:val="center"/>
          </w:tcPr>
          <w:p w14:paraId="1D8987A2">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地表粗糙度/m</w:t>
            </w:r>
          </w:p>
        </w:tc>
        <w:tc>
          <w:tcPr>
            <w:tcW w:w="2752" w:type="pct"/>
            <w:gridSpan w:val="2"/>
            <w:vAlign w:val="center"/>
          </w:tcPr>
          <w:p w14:paraId="4025136A">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0.5</w:t>
            </w:r>
          </w:p>
        </w:tc>
      </w:tr>
      <w:tr w14:paraId="0DBC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2" w:type="pct"/>
            <w:vMerge w:val="continue"/>
            <w:vAlign w:val="center"/>
          </w:tcPr>
          <w:p w14:paraId="21368346">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1386" w:type="pct"/>
            <w:vAlign w:val="center"/>
          </w:tcPr>
          <w:p w14:paraId="4356DC5C">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是否考虑地形</w:t>
            </w:r>
          </w:p>
        </w:tc>
        <w:tc>
          <w:tcPr>
            <w:tcW w:w="2752" w:type="pct"/>
            <w:gridSpan w:val="2"/>
            <w:vAlign w:val="center"/>
          </w:tcPr>
          <w:p w14:paraId="76509DA5">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hint="eastAsia" w:cs="Times New Roman"/>
                <w:color w:val="0D0D0D" w:themeColor="text1" w:themeTint="F2"/>
                <w:sz w:val="21"/>
                <w:szCs w:val="21"/>
                <w14:textFill>
                  <w14:solidFill>
                    <w14:schemeClr w14:val="tx1">
                      <w14:lumMod w14:val="95000"/>
                      <w14:lumOff w14:val="5000"/>
                    </w14:schemeClr>
                  </w14:solidFill>
                </w14:textFill>
              </w:rPr>
              <w:t>否</w:t>
            </w:r>
          </w:p>
        </w:tc>
      </w:tr>
      <w:tr w14:paraId="44FA9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2" w:type="pct"/>
            <w:vMerge w:val="continue"/>
            <w:vAlign w:val="center"/>
          </w:tcPr>
          <w:p w14:paraId="1BA5EAA4">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p>
        </w:tc>
        <w:tc>
          <w:tcPr>
            <w:tcW w:w="1386" w:type="pct"/>
            <w:vAlign w:val="center"/>
          </w:tcPr>
          <w:p w14:paraId="47274695">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地形数据经度/m</w:t>
            </w:r>
          </w:p>
        </w:tc>
        <w:tc>
          <w:tcPr>
            <w:tcW w:w="2752" w:type="pct"/>
            <w:gridSpan w:val="2"/>
            <w:vAlign w:val="center"/>
          </w:tcPr>
          <w:p w14:paraId="48CB9406">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90</w:t>
            </w:r>
          </w:p>
        </w:tc>
      </w:tr>
    </w:tbl>
    <w:p w14:paraId="04799C4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（5）预测模型主要参数</w:t>
      </w:r>
    </w:p>
    <w:p w14:paraId="486E051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根据《建设项目环境风险评价技术导则》（HJ/T169-2018）附录H，选择甲醇大气毒性终点浓度值作为预测评价标准，甲醇1级和2级大气毒性终点浓度值分别为9400mg/m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、2700mg/m</w:t>
      </w:r>
      <w:r>
        <w:rPr>
          <w:rFonts w:hint="eastAsia"/>
          <w:color w:val="0D0D0D" w:themeColor="text1" w:themeTint="F2"/>
          <w:vertAlign w:val="super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w:t>
      </w:r>
    </w:p>
    <w:p w14:paraId="755A391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（6）预测结果与评价</w:t>
      </w:r>
    </w:p>
    <w:p w14:paraId="231F80D9">
      <w:pPr>
        <w:ind w:firstLine="480" w:firstLineChars="200"/>
      </w:pPr>
      <w:r>
        <w:rPr>
          <w:rFonts w:hint="eastAsia"/>
        </w:rPr>
        <w:t>预测结果详见表5.9-23~表5.9-25。</w:t>
      </w:r>
    </w:p>
    <w:p w14:paraId="60B5FA73">
      <w:pPr>
        <w:pStyle w:val="11"/>
      </w:pPr>
      <w:r>
        <w:rPr>
          <w:rFonts w:hint="eastAsia"/>
        </w:rPr>
        <w:t xml:space="preserve"> 风险事故情形分析表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5"/>
        <w:gridCol w:w="1490"/>
        <w:gridCol w:w="1449"/>
        <w:gridCol w:w="813"/>
        <w:gridCol w:w="1386"/>
        <w:gridCol w:w="1327"/>
        <w:gridCol w:w="912"/>
      </w:tblGrid>
      <w:tr w14:paraId="1CC78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7"/>
            <w:vAlign w:val="center"/>
          </w:tcPr>
          <w:p w14:paraId="6DE8F33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风险事故情形分析</w:t>
            </w:r>
          </w:p>
        </w:tc>
      </w:tr>
      <w:tr w14:paraId="533A4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9" w:type="pct"/>
            <w:vAlign w:val="center"/>
          </w:tcPr>
          <w:p w14:paraId="2C9DD5C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代表性风险事故情形描述</w:t>
            </w:r>
          </w:p>
        </w:tc>
        <w:tc>
          <w:tcPr>
            <w:tcW w:w="3991" w:type="pct"/>
            <w:gridSpan w:val="6"/>
            <w:vAlign w:val="center"/>
          </w:tcPr>
          <w:p w14:paraId="3E1F563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储罐破裂，甲醇泄漏造成的风险</w:t>
            </w:r>
          </w:p>
        </w:tc>
      </w:tr>
      <w:tr w14:paraId="79CAF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9" w:type="pct"/>
            <w:vAlign w:val="center"/>
          </w:tcPr>
          <w:p w14:paraId="7D7341F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环境风险类型</w:t>
            </w:r>
          </w:p>
        </w:tc>
        <w:tc>
          <w:tcPr>
            <w:tcW w:w="3991" w:type="pct"/>
            <w:gridSpan w:val="6"/>
            <w:vAlign w:val="center"/>
          </w:tcPr>
          <w:p w14:paraId="49B682F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泄漏</w:t>
            </w:r>
          </w:p>
        </w:tc>
      </w:tr>
      <w:tr w14:paraId="73A97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9" w:type="pct"/>
            <w:vAlign w:val="center"/>
          </w:tcPr>
          <w:p w14:paraId="7A57C72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泄漏设备类型</w:t>
            </w:r>
          </w:p>
        </w:tc>
        <w:tc>
          <w:tcPr>
            <w:tcW w:w="806" w:type="pct"/>
            <w:vAlign w:val="center"/>
          </w:tcPr>
          <w:p w14:paraId="147F313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常温常压液体容器</w:t>
            </w:r>
          </w:p>
        </w:tc>
        <w:tc>
          <w:tcPr>
            <w:tcW w:w="784" w:type="pct"/>
            <w:vAlign w:val="center"/>
          </w:tcPr>
          <w:p w14:paraId="6E8F673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操作温度/℃</w:t>
            </w:r>
          </w:p>
        </w:tc>
        <w:tc>
          <w:tcPr>
            <w:tcW w:w="440" w:type="pct"/>
            <w:vAlign w:val="center"/>
          </w:tcPr>
          <w:p w14:paraId="0E7876B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25</w:t>
            </w:r>
          </w:p>
        </w:tc>
        <w:tc>
          <w:tcPr>
            <w:tcW w:w="750" w:type="pct"/>
            <w:vAlign w:val="center"/>
          </w:tcPr>
          <w:p w14:paraId="3E6EFF2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操作压力/MPa</w:t>
            </w:r>
          </w:p>
        </w:tc>
        <w:tc>
          <w:tcPr>
            <w:tcW w:w="1211" w:type="pct"/>
            <w:gridSpan w:val="2"/>
            <w:vAlign w:val="center"/>
          </w:tcPr>
          <w:p w14:paraId="433F6F9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0.101325</w:t>
            </w:r>
          </w:p>
        </w:tc>
      </w:tr>
      <w:tr w14:paraId="3D1D9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9" w:type="pct"/>
            <w:vAlign w:val="center"/>
          </w:tcPr>
          <w:p w14:paraId="46739CA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泄漏危险物质</w:t>
            </w:r>
          </w:p>
        </w:tc>
        <w:tc>
          <w:tcPr>
            <w:tcW w:w="806" w:type="pct"/>
            <w:vAlign w:val="center"/>
          </w:tcPr>
          <w:p w14:paraId="5C4CAC9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甲醇</w:t>
            </w:r>
          </w:p>
        </w:tc>
        <w:tc>
          <w:tcPr>
            <w:tcW w:w="784" w:type="pct"/>
            <w:vAlign w:val="center"/>
          </w:tcPr>
          <w:p w14:paraId="04872B5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最大存在量/t</w:t>
            </w:r>
          </w:p>
        </w:tc>
        <w:tc>
          <w:tcPr>
            <w:tcW w:w="440" w:type="pct"/>
            <w:vAlign w:val="center"/>
          </w:tcPr>
          <w:p w14:paraId="5095E7A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239.63</w:t>
            </w:r>
          </w:p>
        </w:tc>
        <w:tc>
          <w:tcPr>
            <w:tcW w:w="750" w:type="pct"/>
            <w:vAlign w:val="center"/>
          </w:tcPr>
          <w:p w14:paraId="21E46C4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泄漏孔径/mm</w:t>
            </w:r>
          </w:p>
        </w:tc>
        <w:tc>
          <w:tcPr>
            <w:tcW w:w="1211" w:type="pct"/>
            <w:gridSpan w:val="2"/>
            <w:vAlign w:val="center"/>
          </w:tcPr>
          <w:p w14:paraId="531A9045">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r>
      <w:tr w14:paraId="5D7CB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9" w:type="pct"/>
            <w:vAlign w:val="center"/>
          </w:tcPr>
          <w:p w14:paraId="32E6936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泄漏速率/（</w:t>
            </w:r>
            <w:r>
              <w:rPr>
                <w:rFonts w:cs="Times New Roman"/>
                <w:color w:val="0D0D0D" w:themeColor="text1" w:themeTint="F2"/>
                <w:sz w:val="21"/>
                <w:szCs w:val="21"/>
                <w:u w:val="single"/>
                <w14:textFill>
                  <w14:solidFill>
                    <w14:schemeClr w14:val="tx1">
                      <w14:lumMod w14:val="95000"/>
                      <w14:lumOff w14:val="5000"/>
                    </w14:schemeClr>
                  </w14:solidFill>
                </w14:textFill>
              </w:rPr>
              <w:t>kg/s</w:t>
            </w: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c>
          <w:tcPr>
            <w:tcW w:w="806" w:type="pct"/>
            <w:vAlign w:val="center"/>
          </w:tcPr>
          <w:p w14:paraId="52B27BD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0.4420</w:t>
            </w:r>
          </w:p>
        </w:tc>
        <w:tc>
          <w:tcPr>
            <w:tcW w:w="784" w:type="pct"/>
            <w:vAlign w:val="center"/>
          </w:tcPr>
          <w:p w14:paraId="2445A64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泄漏时间/min</w:t>
            </w:r>
          </w:p>
        </w:tc>
        <w:tc>
          <w:tcPr>
            <w:tcW w:w="440" w:type="pct"/>
            <w:vAlign w:val="center"/>
          </w:tcPr>
          <w:p w14:paraId="1F0883A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30</w:t>
            </w:r>
          </w:p>
        </w:tc>
        <w:tc>
          <w:tcPr>
            <w:tcW w:w="750" w:type="pct"/>
            <w:vAlign w:val="center"/>
          </w:tcPr>
          <w:p w14:paraId="24AE73C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泄漏量/kg</w:t>
            </w:r>
          </w:p>
        </w:tc>
        <w:tc>
          <w:tcPr>
            <w:tcW w:w="1211" w:type="pct"/>
            <w:gridSpan w:val="2"/>
            <w:vAlign w:val="center"/>
          </w:tcPr>
          <w:p w14:paraId="539D882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795.6</w:t>
            </w:r>
          </w:p>
        </w:tc>
      </w:tr>
      <w:tr w14:paraId="7EF87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9" w:type="pct"/>
            <w:vAlign w:val="center"/>
          </w:tcPr>
          <w:p w14:paraId="13E8425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泄漏高度/</w:t>
            </w:r>
            <w:r>
              <w:rPr>
                <w:rFonts w:cs="Times New Roman"/>
                <w:color w:val="0D0D0D" w:themeColor="text1" w:themeTint="F2"/>
                <w:sz w:val="21"/>
                <w:szCs w:val="21"/>
                <w:u w:val="single"/>
                <w14:textFill>
                  <w14:solidFill>
                    <w14:schemeClr w14:val="tx1">
                      <w14:lumMod w14:val="95000"/>
                      <w14:lumOff w14:val="5000"/>
                    </w14:schemeClr>
                  </w14:solidFill>
                </w14:textFill>
              </w:rPr>
              <w:t>m</w:t>
            </w:r>
          </w:p>
        </w:tc>
        <w:tc>
          <w:tcPr>
            <w:tcW w:w="806" w:type="pct"/>
            <w:vAlign w:val="center"/>
          </w:tcPr>
          <w:p w14:paraId="504648E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1</w:t>
            </w:r>
          </w:p>
        </w:tc>
        <w:tc>
          <w:tcPr>
            <w:tcW w:w="784" w:type="pct"/>
            <w:vAlign w:val="center"/>
          </w:tcPr>
          <w:p w14:paraId="336736A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泄漏液体蒸发量/kg</w:t>
            </w:r>
          </w:p>
        </w:tc>
        <w:tc>
          <w:tcPr>
            <w:tcW w:w="440" w:type="pct"/>
            <w:vAlign w:val="center"/>
          </w:tcPr>
          <w:p w14:paraId="19A7BC9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c>
          <w:tcPr>
            <w:tcW w:w="750" w:type="pct"/>
            <w:vAlign w:val="center"/>
          </w:tcPr>
          <w:p w14:paraId="52FAE19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泄漏频率</w:t>
            </w:r>
          </w:p>
        </w:tc>
        <w:tc>
          <w:tcPr>
            <w:tcW w:w="1211" w:type="pct"/>
            <w:gridSpan w:val="2"/>
            <w:vAlign w:val="center"/>
          </w:tcPr>
          <w:p w14:paraId="7DAD5DE8">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1.0×10</w:t>
            </w:r>
            <w:r>
              <w:rPr>
                <w:rFonts w:cs="Times New Roman"/>
                <w:color w:val="0D0D0D" w:themeColor="text1" w:themeTint="F2"/>
                <w:sz w:val="21"/>
                <w:szCs w:val="21"/>
                <w:u w:val="single"/>
                <w:vertAlign w:val="superscript"/>
                <w14:textFill>
                  <w14:solidFill>
                    <w14:schemeClr w14:val="tx1">
                      <w14:lumMod w14:val="95000"/>
                      <w14:lumOff w14:val="5000"/>
                    </w14:schemeClr>
                  </w14:solidFill>
                </w14:textFill>
              </w:rPr>
              <w:t>-4</w:t>
            </w:r>
            <w:r>
              <w:rPr>
                <w:rFonts w:cs="Times New Roman"/>
                <w:color w:val="0D0D0D" w:themeColor="text1" w:themeTint="F2"/>
                <w:sz w:val="21"/>
                <w:szCs w:val="21"/>
                <w:u w:val="single"/>
                <w14:textFill>
                  <w14:solidFill>
                    <w14:schemeClr w14:val="tx1">
                      <w14:lumMod w14:val="95000"/>
                      <w14:lumOff w14:val="5000"/>
                    </w14:schemeClr>
                  </w14:solidFill>
                </w14:textFill>
              </w:rPr>
              <w:t>/a</w:t>
            </w:r>
          </w:p>
        </w:tc>
      </w:tr>
      <w:tr w14:paraId="6FD0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7"/>
            <w:vAlign w:val="center"/>
          </w:tcPr>
          <w:p w14:paraId="1D08A5D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事故后果预测</w:t>
            </w:r>
          </w:p>
        </w:tc>
      </w:tr>
      <w:tr w14:paraId="64BDD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9" w:type="pct"/>
            <w:vMerge w:val="restart"/>
            <w:vAlign w:val="center"/>
          </w:tcPr>
          <w:p w14:paraId="1FD7531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大气</w:t>
            </w:r>
          </w:p>
        </w:tc>
        <w:tc>
          <w:tcPr>
            <w:tcW w:w="806" w:type="pct"/>
            <w:vAlign w:val="center"/>
          </w:tcPr>
          <w:p w14:paraId="229AF11F">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危险物质</w:t>
            </w:r>
          </w:p>
        </w:tc>
        <w:tc>
          <w:tcPr>
            <w:tcW w:w="3185" w:type="pct"/>
            <w:gridSpan w:val="5"/>
            <w:vAlign w:val="center"/>
          </w:tcPr>
          <w:p w14:paraId="2D20F75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大气环境影响</w:t>
            </w:r>
          </w:p>
        </w:tc>
      </w:tr>
      <w:tr w14:paraId="66DCD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9" w:type="pct"/>
            <w:vMerge w:val="continue"/>
            <w:vAlign w:val="center"/>
          </w:tcPr>
          <w:p w14:paraId="61EBAB93">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806" w:type="pct"/>
            <w:vMerge w:val="restart"/>
            <w:vAlign w:val="center"/>
          </w:tcPr>
          <w:p w14:paraId="2921FFF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甲醇</w:t>
            </w:r>
          </w:p>
        </w:tc>
        <w:tc>
          <w:tcPr>
            <w:tcW w:w="3185" w:type="pct"/>
            <w:gridSpan w:val="5"/>
            <w:vAlign w:val="center"/>
          </w:tcPr>
          <w:p w14:paraId="18649CB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cs="Times New Roman"/>
                <w:color w:val="0D0D0D" w:themeColor="text1" w:themeTint="F2"/>
                <w:sz w:val="21"/>
                <w:szCs w:val="21"/>
                <w:u w:val="single"/>
                <w14:textFill>
                  <w14:solidFill>
                    <w14:schemeClr w14:val="tx1">
                      <w14:lumMod w14:val="95000"/>
                      <w14:lumOff w14:val="5000"/>
                    </w14:schemeClr>
                  </w14:solidFill>
                </w14:textFill>
              </w:rPr>
              <w:t>F稳定度，1.5m/s，25℃，湿度50%</w:t>
            </w:r>
          </w:p>
        </w:tc>
      </w:tr>
      <w:tr w14:paraId="63981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9" w:type="pct"/>
            <w:vMerge w:val="continue"/>
            <w:vAlign w:val="center"/>
          </w:tcPr>
          <w:p w14:paraId="41F06C00">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806" w:type="pct"/>
            <w:vMerge w:val="continue"/>
            <w:vAlign w:val="center"/>
          </w:tcPr>
          <w:p w14:paraId="3F6C15D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1224" w:type="pct"/>
            <w:gridSpan w:val="2"/>
            <w:vAlign w:val="center"/>
          </w:tcPr>
          <w:p w14:paraId="308EAAC7">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指标</w:t>
            </w:r>
          </w:p>
        </w:tc>
        <w:tc>
          <w:tcPr>
            <w:tcW w:w="750" w:type="pct"/>
            <w:vAlign w:val="center"/>
          </w:tcPr>
          <w:p w14:paraId="6C3A6DA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浓度值/（</w:t>
            </w:r>
            <w:r>
              <w:rPr>
                <w:rFonts w:cs="Times New Roman"/>
                <w:color w:val="0D0D0D" w:themeColor="text1" w:themeTint="F2"/>
                <w:sz w:val="21"/>
                <w:szCs w:val="21"/>
                <w:u w:val="single"/>
                <w14:textFill>
                  <w14:solidFill>
                    <w14:schemeClr w14:val="tx1">
                      <w14:lumMod w14:val="95000"/>
                      <w14:lumOff w14:val="5000"/>
                    </w14:schemeClr>
                  </w14:solidFill>
                </w14:textFill>
              </w:rPr>
              <w:t>mg/m</w:t>
            </w:r>
            <w:r>
              <w:rPr>
                <w:rFonts w:cs="Times New Roman"/>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s="Times New Roman"/>
                <w:color w:val="0D0D0D" w:themeColor="text1" w:themeTint="F2"/>
                <w:sz w:val="21"/>
                <w:szCs w:val="21"/>
                <w:u w:val="single"/>
                <w14:textFill>
                  <w14:solidFill>
                    <w14:schemeClr w14:val="tx1">
                      <w14:lumMod w14:val="95000"/>
                      <w14:lumOff w14:val="5000"/>
                    </w14:schemeClr>
                  </w14:solidFill>
                </w14:textFill>
              </w:rPr>
              <w:t>）</w:t>
            </w:r>
          </w:p>
        </w:tc>
        <w:tc>
          <w:tcPr>
            <w:tcW w:w="718" w:type="pct"/>
            <w:vAlign w:val="center"/>
          </w:tcPr>
          <w:p w14:paraId="188EA0C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最远影响距离/</w:t>
            </w:r>
            <w:r>
              <w:rPr>
                <w:rFonts w:cs="Times New Roman"/>
                <w:color w:val="0D0D0D" w:themeColor="text1" w:themeTint="F2"/>
                <w:sz w:val="21"/>
                <w:szCs w:val="21"/>
                <w:u w:val="single"/>
                <w14:textFill>
                  <w14:solidFill>
                    <w14:schemeClr w14:val="tx1">
                      <w14:lumMod w14:val="95000"/>
                      <w14:lumOff w14:val="5000"/>
                    </w14:schemeClr>
                  </w14:solidFill>
                </w14:textFill>
              </w:rPr>
              <w:t>m</w:t>
            </w:r>
          </w:p>
        </w:tc>
        <w:tc>
          <w:tcPr>
            <w:tcW w:w="493" w:type="pct"/>
            <w:vAlign w:val="center"/>
          </w:tcPr>
          <w:p w14:paraId="32BBA43A">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到达时间/</w:t>
            </w:r>
            <w:r>
              <w:rPr>
                <w:rFonts w:cs="Times New Roman"/>
                <w:color w:val="0D0D0D" w:themeColor="text1" w:themeTint="F2"/>
                <w:sz w:val="21"/>
                <w:szCs w:val="21"/>
                <w:u w:val="single"/>
                <w14:textFill>
                  <w14:solidFill>
                    <w14:schemeClr w14:val="tx1">
                      <w14:lumMod w14:val="95000"/>
                      <w14:lumOff w14:val="5000"/>
                    </w14:schemeClr>
                  </w14:solidFill>
                </w14:textFill>
              </w:rPr>
              <w:t>s</w:t>
            </w:r>
          </w:p>
        </w:tc>
      </w:tr>
      <w:tr w14:paraId="7E20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9" w:type="pct"/>
            <w:vMerge w:val="continue"/>
            <w:vAlign w:val="center"/>
          </w:tcPr>
          <w:p w14:paraId="5BD2DA3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806" w:type="pct"/>
            <w:vMerge w:val="continue"/>
            <w:vAlign w:val="center"/>
          </w:tcPr>
          <w:p w14:paraId="430B510B">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1224" w:type="pct"/>
            <w:gridSpan w:val="2"/>
            <w:vAlign w:val="center"/>
          </w:tcPr>
          <w:p w14:paraId="2430E8A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大气毒性终点浓度-1</w:t>
            </w:r>
          </w:p>
        </w:tc>
        <w:tc>
          <w:tcPr>
            <w:tcW w:w="750" w:type="pct"/>
            <w:vAlign w:val="center"/>
          </w:tcPr>
          <w:p w14:paraId="0359A6A9">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9400</w:t>
            </w:r>
          </w:p>
        </w:tc>
        <w:tc>
          <w:tcPr>
            <w:tcW w:w="718" w:type="pct"/>
            <w:vAlign w:val="center"/>
          </w:tcPr>
          <w:p w14:paraId="215B550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10.50</w:t>
            </w:r>
          </w:p>
        </w:tc>
        <w:tc>
          <w:tcPr>
            <w:tcW w:w="493" w:type="pct"/>
            <w:vAlign w:val="center"/>
          </w:tcPr>
          <w:p w14:paraId="47D9806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0.21</w:t>
            </w:r>
          </w:p>
        </w:tc>
      </w:tr>
      <w:tr w14:paraId="7E744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9" w:type="pct"/>
            <w:vMerge w:val="continue"/>
            <w:vAlign w:val="center"/>
          </w:tcPr>
          <w:p w14:paraId="45A9BC5C">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806" w:type="pct"/>
            <w:vMerge w:val="continue"/>
            <w:vAlign w:val="center"/>
          </w:tcPr>
          <w:p w14:paraId="1BAC00A6">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p>
        </w:tc>
        <w:tc>
          <w:tcPr>
            <w:tcW w:w="1224" w:type="pct"/>
            <w:gridSpan w:val="2"/>
            <w:vAlign w:val="center"/>
          </w:tcPr>
          <w:p w14:paraId="30A19102">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大气毒性终点浓度-2</w:t>
            </w:r>
          </w:p>
        </w:tc>
        <w:tc>
          <w:tcPr>
            <w:tcW w:w="750" w:type="pct"/>
            <w:vAlign w:val="center"/>
          </w:tcPr>
          <w:p w14:paraId="4144D61D">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2700</w:t>
            </w:r>
          </w:p>
        </w:tc>
        <w:tc>
          <w:tcPr>
            <w:tcW w:w="718" w:type="pct"/>
            <w:vAlign w:val="center"/>
          </w:tcPr>
          <w:p w14:paraId="08D6EEF4">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24.40</w:t>
            </w:r>
          </w:p>
        </w:tc>
        <w:tc>
          <w:tcPr>
            <w:tcW w:w="493" w:type="pct"/>
            <w:vAlign w:val="center"/>
          </w:tcPr>
          <w:p w14:paraId="3899C701">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0.44</w:t>
            </w:r>
          </w:p>
        </w:tc>
      </w:tr>
    </w:tbl>
    <w:p w14:paraId="3C9D534F">
      <w:pPr>
        <w:pStyle w:val="11"/>
      </w:pPr>
      <w:r>
        <w:rPr>
          <w:rFonts w:hint="eastAsia"/>
        </w:rPr>
        <w:t xml:space="preserve"> 风险源最大影响统计表</w:t>
      </w:r>
    </w:p>
    <w:tbl>
      <w:tblPr>
        <w:tblStyle w:val="30"/>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4907"/>
        <w:gridCol w:w="1290"/>
        <w:gridCol w:w="1769"/>
        <w:gridCol w:w="1080"/>
      </w:tblGrid>
      <w:tr w14:paraId="411E35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397" w:hRule="atLeast"/>
        </w:trPr>
        <w:tc>
          <w:tcPr>
            <w:tcW w:w="5000" w:type="pct"/>
            <w:gridSpan w:val="4"/>
            <w:vAlign w:val="center"/>
          </w:tcPr>
          <w:p w14:paraId="3CE8916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最不利</w:t>
            </w:r>
            <w:r>
              <w:rPr>
                <w:rFonts w:hint="eastAsia"/>
                <w:color w:val="0D0D0D" w:themeColor="text1" w:themeTint="F2"/>
                <w:sz w:val="21"/>
                <w:szCs w:val="21"/>
                <w:u w:val="single"/>
                <w:lang w:eastAsia="zh-CN"/>
                <w14:textFill>
                  <w14:solidFill>
                    <w14:schemeClr w14:val="tx1">
                      <w14:lumMod w14:val="95000"/>
                      <w14:lumOff w14:val="5000"/>
                    </w14:schemeClr>
                  </w14:solidFill>
                </w14:textFill>
              </w:rPr>
              <w:t>气象条件</w:t>
            </w:r>
          </w:p>
        </w:tc>
      </w:tr>
      <w:tr w14:paraId="1285AEE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397" w:hRule="atLeast"/>
        </w:trPr>
        <w:tc>
          <w:tcPr>
            <w:tcW w:w="2712" w:type="pct"/>
            <w:vAlign w:val="center"/>
          </w:tcPr>
          <w:p w14:paraId="3EF3208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风险源名称</w:t>
            </w:r>
          </w:p>
        </w:tc>
        <w:tc>
          <w:tcPr>
            <w:tcW w:w="713" w:type="pct"/>
            <w:vAlign w:val="center"/>
          </w:tcPr>
          <w:p w14:paraId="1033EE2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下风向距离</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m</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978" w:type="pct"/>
            <w:vAlign w:val="center"/>
          </w:tcPr>
          <w:p w14:paraId="334330F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最大浓度值</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mg/m</w:t>
            </w:r>
            <w:r>
              <w:rPr>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597" w:type="pct"/>
            <w:vAlign w:val="center"/>
          </w:tcPr>
          <w:p w14:paraId="33BA70C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出现时刻</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s</w:t>
            </w:r>
            <w:r>
              <w:rPr>
                <w:rFonts w:hint="eastAsia"/>
                <w:color w:val="0D0D0D" w:themeColor="text1" w:themeTint="F2"/>
                <w:sz w:val="21"/>
                <w:szCs w:val="21"/>
                <w:u w:val="single"/>
                <w14:textFill>
                  <w14:solidFill>
                    <w14:schemeClr w14:val="tx1">
                      <w14:lumMod w14:val="95000"/>
                      <w14:lumOff w14:val="5000"/>
                    </w14:schemeClr>
                  </w14:solidFill>
                </w14:textFill>
              </w:rPr>
              <w:t>）</w:t>
            </w:r>
          </w:p>
        </w:tc>
      </w:tr>
      <w:tr w14:paraId="34FE04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397" w:hRule="atLeast"/>
        </w:trPr>
        <w:tc>
          <w:tcPr>
            <w:tcW w:w="2712" w:type="pct"/>
            <w:vAlign w:val="center"/>
          </w:tcPr>
          <w:p w14:paraId="2D94A71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常温常压液体容器-aftox泄漏源-中性气体扩散模型</w:t>
            </w:r>
            <w:r>
              <w:rPr>
                <w:rFonts w:hint="eastAsia"/>
                <w:color w:val="0D0D0D" w:themeColor="text1" w:themeTint="F2"/>
                <w:sz w:val="21"/>
                <w:szCs w:val="21"/>
                <w:u w:val="single"/>
                <w14:textFill>
                  <w14:solidFill>
                    <w14:schemeClr w14:val="tx1">
                      <w14:lumMod w14:val="95000"/>
                      <w14:lumOff w14:val="5000"/>
                    </w14:schemeClr>
                  </w14:solidFill>
                </w14:textFill>
              </w:rPr>
              <w:t>（</w:t>
            </w:r>
            <w:r>
              <w:rPr>
                <w:color w:val="0D0D0D" w:themeColor="text1" w:themeTint="F2"/>
                <w:sz w:val="21"/>
                <w:szCs w:val="21"/>
                <w:u w:val="single"/>
                <w14:textFill>
                  <w14:solidFill>
                    <w14:schemeClr w14:val="tx1">
                      <w14:lumMod w14:val="95000"/>
                      <w14:lumOff w14:val="5000"/>
                    </w14:schemeClr>
                  </w14:solidFill>
                </w14:textFill>
              </w:rPr>
              <w:t>Aftox</w:t>
            </w:r>
            <w:r>
              <w:rPr>
                <w:rFonts w:hint="eastAsia"/>
                <w:color w:val="0D0D0D" w:themeColor="text1" w:themeTint="F2"/>
                <w:sz w:val="21"/>
                <w:szCs w:val="21"/>
                <w:u w:val="single"/>
                <w14:textFill>
                  <w14:solidFill>
                    <w14:schemeClr w14:val="tx1">
                      <w14:lumMod w14:val="95000"/>
                      <w14:lumOff w14:val="5000"/>
                    </w14:schemeClr>
                  </w14:solidFill>
                </w14:textFill>
              </w:rPr>
              <w:t>）</w:t>
            </w:r>
          </w:p>
        </w:tc>
        <w:tc>
          <w:tcPr>
            <w:tcW w:w="713" w:type="pct"/>
            <w:vAlign w:val="center"/>
          </w:tcPr>
          <w:p w14:paraId="3ADC0EC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0.5</w:t>
            </w:r>
          </w:p>
        </w:tc>
        <w:tc>
          <w:tcPr>
            <w:tcW w:w="978" w:type="pct"/>
            <w:vAlign w:val="center"/>
          </w:tcPr>
          <w:p w14:paraId="272EC85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2424579</w:t>
            </w:r>
          </w:p>
        </w:tc>
        <w:tc>
          <w:tcPr>
            <w:tcW w:w="597" w:type="pct"/>
            <w:vAlign w:val="center"/>
          </w:tcPr>
          <w:p w14:paraId="48C7D33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3</w:t>
            </w:r>
          </w:p>
        </w:tc>
      </w:tr>
    </w:tbl>
    <w:p w14:paraId="791769E4">
      <w:pPr>
        <w:spacing w:line="240" w:lineRule="auto"/>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（涉密，公示本已删除）</w:t>
      </w:r>
    </w:p>
    <w:p w14:paraId="487F555F">
      <w:pPr>
        <w:pStyle w:val="12"/>
      </w:pPr>
      <w:r>
        <w:rPr>
          <w:rFonts w:hint="eastAsia"/>
        </w:rPr>
        <w:t xml:space="preserve"> 在最不利气象条件下甲醇达到毒性终点浓度的最大影响范围图</w:t>
      </w:r>
    </w:p>
    <w:p w14:paraId="35267BFE">
      <w:pPr>
        <w:pStyle w:val="11"/>
      </w:pPr>
      <w:r>
        <w:rPr>
          <w:rFonts w:hint="eastAsia"/>
        </w:rPr>
        <w:t xml:space="preserve"> 甲醇泄漏预测结果表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4030"/>
        <w:gridCol w:w="2131"/>
        <w:gridCol w:w="2211"/>
      </w:tblGrid>
      <w:tr w14:paraId="4BD3E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71" w:type="pct"/>
            <w:vAlign w:val="center"/>
          </w:tcPr>
          <w:p w14:paraId="41AA8799">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序号</w:t>
            </w:r>
          </w:p>
        </w:tc>
        <w:tc>
          <w:tcPr>
            <w:tcW w:w="2180" w:type="pct"/>
            <w:vAlign w:val="center"/>
          </w:tcPr>
          <w:p w14:paraId="4620C682">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下风向距离（m）</w:t>
            </w:r>
          </w:p>
        </w:tc>
        <w:tc>
          <w:tcPr>
            <w:tcW w:w="1153" w:type="pct"/>
            <w:vAlign w:val="center"/>
          </w:tcPr>
          <w:p w14:paraId="726C3F77">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出现时间（s）</w:t>
            </w:r>
          </w:p>
        </w:tc>
        <w:tc>
          <w:tcPr>
            <w:tcW w:w="1197" w:type="pct"/>
            <w:vAlign w:val="center"/>
          </w:tcPr>
          <w:p w14:paraId="3DCBBB0E">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浓度（mg/m</w:t>
            </w:r>
            <w:r>
              <w:rPr>
                <w:rFonts w:hint="eastAsia" w:cs="宋体"/>
                <w:color w:val="0D0D0D" w:themeColor="text1" w:themeTint="F2"/>
                <w:kern w:val="0"/>
                <w:sz w:val="21"/>
                <w:szCs w:val="21"/>
                <w:u w:val="single"/>
                <w:vertAlign w:val="superscript"/>
                <w14:textFill>
                  <w14:solidFill>
                    <w14:schemeClr w14:val="tx1">
                      <w14:lumMod w14:val="95000"/>
                      <w14:lumOff w14:val="5000"/>
                    </w14:schemeClr>
                  </w14:solidFill>
                </w14:textFill>
              </w:rPr>
              <w:t>3</w:t>
            </w:r>
            <w:r>
              <w:rPr>
                <w:rFonts w:hint="eastAsia" w:cs="宋体"/>
                <w:color w:val="0D0D0D" w:themeColor="text1" w:themeTint="F2"/>
                <w:kern w:val="0"/>
                <w:sz w:val="21"/>
                <w:szCs w:val="21"/>
                <w:u w:val="single"/>
                <w14:textFill>
                  <w14:solidFill>
                    <w14:schemeClr w14:val="tx1">
                      <w14:lumMod w14:val="95000"/>
                      <w14:lumOff w14:val="5000"/>
                    </w14:schemeClr>
                  </w14:solidFill>
                </w14:textFill>
              </w:rPr>
              <w:t>）</w:t>
            </w:r>
          </w:p>
        </w:tc>
      </w:tr>
      <w:tr w14:paraId="64E00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1B6988F1">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w:t>
            </w:r>
          </w:p>
        </w:tc>
        <w:tc>
          <w:tcPr>
            <w:tcW w:w="2180" w:type="pct"/>
            <w:vAlign w:val="center"/>
          </w:tcPr>
          <w:p w14:paraId="3AB758A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0.5</w:t>
            </w:r>
          </w:p>
        </w:tc>
        <w:tc>
          <w:tcPr>
            <w:tcW w:w="1153" w:type="pct"/>
            <w:vAlign w:val="center"/>
          </w:tcPr>
          <w:p w14:paraId="26D09CA4">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w:t>
            </w:r>
          </w:p>
        </w:tc>
        <w:tc>
          <w:tcPr>
            <w:tcW w:w="1197" w:type="pct"/>
            <w:vAlign w:val="center"/>
          </w:tcPr>
          <w:p w14:paraId="2C160C3B">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2424579</w:t>
            </w:r>
          </w:p>
        </w:tc>
      </w:tr>
      <w:tr w14:paraId="4AAE9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015EB422">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w:t>
            </w:r>
          </w:p>
        </w:tc>
        <w:tc>
          <w:tcPr>
            <w:tcW w:w="2180" w:type="pct"/>
            <w:vAlign w:val="center"/>
          </w:tcPr>
          <w:p w14:paraId="29312F01">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w:t>
            </w:r>
          </w:p>
        </w:tc>
        <w:tc>
          <w:tcPr>
            <w:tcW w:w="1153" w:type="pct"/>
            <w:vAlign w:val="center"/>
          </w:tcPr>
          <w:p w14:paraId="5EE50B1C">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w:t>
            </w:r>
          </w:p>
        </w:tc>
        <w:tc>
          <w:tcPr>
            <w:tcW w:w="1197" w:type="pct"/>
            <w:vAlign w:val="center"/>
          </w:tcPr>
          <w:p w14:paraId="13E81D09">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737246.1</w:t>
            </w:r>
          </w:p>
        </w:tc>
      </w:tr>
      <w:tr w14:paraId="3FC8E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26887400">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w:t>
            </w:r>
          </w:p>
        </w:tc>
        <w:tc>
          <w:tcPr>
            <w:tcW w:w="2180" w:type="pct"/>
            <w:vAlign w:val="center"/>
          </w:tcPr>
          <w:p w14:paraId="5BD6EE7A">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w:t>
            </w:r>
          </w:p>
        </w:tc>
        <w:tc>
          <w:tcPr>
            <w:tcW w:w="1153" w:type="pct"/>
            <w:vAlign w:val="center"/>
          </w:tcPr>
          <w:p w14:paraId="5F87AD4A">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w:t>
            </w:r>
          </w:p>
        </w:tc>
        <w:tc>
          <w:tcPr>
            <w:tcW w:w="1197" w:type="pct"/>
            <w:vAlign w:val="center"/>
          </w:tcPr>
          <w:p w14:paraId="730FCA18">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205773.4</w:t>
            </w:r>
          </w:p>
        </w:tc>
      </w:tr>
      <w:tr w14:paraId="636C8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1A8E95A9">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w:t>
            </w:r>
          </w:p>
        </w:tc>
        <w:tc>
          <w:tcPr>
            <w:tcW w:w="2180" w:type="pct"/>
            <w:vAlign w:val="center"/>
          </w:tcPr>
          <w:p w14:paraId="6B102518">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w:t>
            </w:r>
          </w:p>
        </w:tc>
        <w:tc>
          <w:tcPr>
            <w:tcW w:w="1153" w:type="pct"/>
            <w:vAlign w:val="center"/>
          </w:tcPr>
          <w:p w14:paraId="656C0C77">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6</w:t>
            </w:r>
          </w:p>
        </w:tc>
        <w:tc>
          <w:tcPr>
            <w:tcW w:w="1197" w:type="pct"/>
            <w:vAlign w:val="center"/>
          </w:tcPr>
          <w:p w14:paraId="7D273015">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94742.27</w:t>
            </w:r>
          </w:p>
        </w:tc>
      </w:tr>
      <w:tr w14:paraId="38068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54F6DDFE">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5</w:t>
            </w:r>
          </w:p>
        </w:tc>
        <w:tc>
          <w:tcPr>
            <w:tcW w:w="2180" w:type="pct"/>
            <w:vAlign w:val="center"/>
          </w:tcPr>
          <w:p w14:paraId="1DAF471F">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w:t>
            </w:r>
          </w:p>
        </w:tc>
        <w:tc>
          <w:tcPr>
            <w:tcW w:w="1153" w:type="pct"/>
            <w:vAlign w:val="center"/>
          </w:tcPr>
          <w:p w14:paraId="68482EAD">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6</w:t>
            </w:r>
          </w:p>
        </w:tc>
        <w:tc>
          <w:tcPr>
            <w:tcW w:w="1197" w:type="pct"/>
            <w:vAlign w:val="center"/>
          </w:tcPr>
          <w:p w14:paraId="34338874">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54108.38</w:t>
            </w:r>
          </w:p>
        </w:tc>
      </w:tr>
      <w:tr w14:paraId="0B997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6DCE53E5">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6</w:t>
            </w:r>
          </w:p>
        </w:tc>
        <w:tc>
          <w:tcPr>
            <w:tcW w:w="2180" w:type="pct"/>
            <w:vAlign w:val="center"/>
          </w:tcPr>
          <w:p w14:paraId="1F755AE0">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5</w:t>
            </w:r>
          </w:p>
        </w:tc>
        <w:tc>
          <w:tcPr>
            <w:tcW w:w="1153" w:type="pct"/>
            <w:vAlign w:val="center"/>
          </w:tcPr>
          <w:p w14:paraId="742BFF64">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6</w:t>
            </w:r>
          </w:p>
        </w:tc>
        <w:tc>
          <w:tcPr>
            <w:tcW w:w="1197" w:type="pct"/>
            <w:vAlign w:val="center"/>
          </w:tcPr>
          <w:p w14:paraId="56F18C1F">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34876.97</w:t>
            </w:r>
          </w:p>
        </w:tc>
      </w:tr>
      <w:tr w14:paraId="36B3B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198D14FA">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7</w:t>
            </w:r>
          </w:p>
        </w:tc>
        <w:tc>
          <w:tcPr>
            <w:tcW w:w="2180" w:type="pct"/>
            <w:vAlign w:val="center"/>
          </w:tcPr>
          <w:p w14:paraId="546A74BD">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6</w:t>
            </w:r>
          </w:p>
        </w:tc>
        <w:tc>
          <w:tcPr>
            <w:tcW w:w="1153" w:type="pct"/>
            <w:vAlign w:val="center"/>
          </w:tcPr>
          <w:p w14:paraId="130D602A">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12</w:t>
            </w:r>
          </w:p>
        </w:tc>
        <w:tc>
          <w:tcPr>
            <w:tcW w:w="1197" w:type="pct"/>
            <w:vAlign w:val="center"/>
          </w:tcPr>
          <w:p w14:paraId="032ED52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24316.27</w:t>
            </w:r>
          </w:p>
        </w:tc>
      </w:tr>
      <w:tr w14:paraId="022FA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2721487C">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8</w:t>
            </w:r>
          </w:p>
        </w:tc>
        <w:tc>
          <w:tcPr>
            <w:tcW w:w="2180" w:type="pct"/>
            <w:vAlign w:val="center"/>
          </w:tcPr>
          <w:p w14:paraId="42E67252">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7</w:t>
            </w:r>
          </w:p>
        </w:tc>
        <w:tc>
          <w:tcPr>
            <w:tcW w:w="1153" w:type="pct"/>
            <w:vAlign w:val="center"/>
          </w:tcPr>
          <w:p w14:paraId="1DBC9340">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12</w:t>
            </w:r>
          </w:p>
        </w:tc>
        <w:tc>
          <w:tcPr>
            <w:tcW w:w="1197" w:type="pct"/>
            <w:vAlign w:val="center"/>
          </w:tcPr>
          <w:p w14:paraId="6669C175">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17988.13</w:t>
            </w:r>
          </w:p>
        </w:tc>
      </w:tr>
      <w:tr w14:paraId="3DEB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789046F3">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9</w:t>
            </w:r>
          </w:p>
        </w:tc>
        <w:tc>
          <w:tcPr>
            <w:tcW w:w="2180" w:type="pct"/>
            <w:vAlign w:val="center"/>
          </w:tcPr>
          <w:p w14:paraId="51FECED1">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8</w:t>
            </w:r>
          </w:p>
        </w:tc>
        <w:tc>
          <w:tcPr>
            <w:tcW w:w="1153" w:type="pct"/>
            <w:vAlign w:val="center"/>
          </w:tcPr>
          <w:p w14:paraId="3751001E">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12</w:t>
            </w:r>
          </w:p>
        </w:tc>
        <w:tc>
          <w:tcPr>
            <w:tcW w:w="1197" w:type="pct"/>
            <w:vAlign w:val="center"/>
          </w:tcPr>
          <w:p w14:paraId="397E50B9">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14017.08</w:t>
            </w:r>
          </w:p>
        </w:tc>
      </w:tr>
      <w:tr w14:paraId="35C7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10207FF8">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10</w:t>
            </w:r>
          </w:p>
        </w:tc>
        <w:tc>
          <w:tcPr>
            <w:tcW w:w="2180" w:type="pct"/>
            <w:vAlign w:val="center"/>
          </w:tcPr>
          <w:p w14:paraId="49DA1998">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9</w:t>
            </w:r>
          </w:p>
        </w:tc>
        <w:tc>
          <w:tcPr>
            <w:tcW w:w="1153" w:type="pct"/>
            <w:vAlign w:val="center"/>
          </w:tcPr>
          <w:p w14:paraId="4F14C784">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12</w:t>
            </w:r>
          </w:p>
        </w:tc>
        <w:tc>
          <w:tcPr>
            <w:tcW w:w="1197" w:type="pct"/>
            <w:vAlign w:val="center"/>
          </w:tcPr>
          <w:p w14:paraId="6B36F0FC">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11435.95</w:t>
            </w:r>
          </w:p>
        </w:tc>
      </w:tr>
      <w:tr w14:paraId="07D7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52A28149">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11</w:t>
            </w:r>
          </w:p>
        </w:tc>
        <w:tc>
          <w:tcPr>
            <w:tcW w:w="2180" w:type="pct"/>
            <w:vAlign w:val="center"/>
          </w:tcPr>
          <w:p w14:paraId="3F46BEA9">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10</w:t>
            </w:r>
          </w:p>
        </w:tc>
        <w:tc>
          <w:tcPr>
            <w:tcW w:w="1153" w:type="pct"/>
            <w:vAlign w:val="center"/>
          </w:tcPr>
          <w:p w14:paraId="180D3DE0">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12</w:t>
            </w:r>
          </w:p>
        </w:tc>
        <w:tc>
          <w:tcPr>
            <w:tcW w:w="1197" w:type="pct"/>
            <w:vAlign w:val="center"/>
          </w:tcPr>
          <w:p w14:paraId="4F0B841B">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9678.783</w:t>
            </w:r>
          </w:p>
        </w:tc>
      </w:tr>
      <w:tr w14:paraId="30CD3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7D3E9890">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12</w:t>
            </w:r>
          </w:p>
        </w:tc>
        <w:tc>
          <w:tcPr>
            <w:tcW w:w="2180" w:type="pct"/>
            <w:vAlign w:val="center"/>
          </w:tcPr>
          <w:p w14:paraId="656FBD14">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20</w:t>
            </w:r>
          </w:p>
        </w:tc>
        <w:tc>
          <w:tcPr>
            <w:tcW w:w="1153" w:type="pct"/>
            <w:vAlign w:val="center"/>
          </w:tcPr>
          <w:p w14:paraId="0AB59058">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24</w:t>
            </w:r>
          </w:p>
        </w:tc>
        <w:tc>
          <w:tcPr>
            <w:tcW w:w="1197" w:type="pct"/>
            <w:vAlign w:val="center"/>
          </w:tcPr>
          <w:p w14:paraId="726F3EE8">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3493.938</w:t>
            </w:r>
          </w:p>
        </w:tc>
      </w:tr>
      <w:tr w14:paraId="5ABD5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4C4264BA">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13</w:t>
            </w:r>
          </w:p>
        </w:tc>
        <w:tc>
          <w:tcPr>
            <w:tcW w:w="2180" w:type="pct"/>
            <w:vAlign w:val="center"/>
          </w:tcPr>
          <w:p w14:paraId="2A1F1BB9">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30</w:t>
            </w:r>
          </w:p>
        </w:tc>
        <w:tc>
          <w:tcPr>
            <w:tcW w:w="1153" w:type="pct"/>
            <w:vAlign w:val="center"/>
          </w:tcPr>
          <w:p w14:paraId="06774E1E">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30</w:t>
            </w:r>
          </w:p>
        </w:tc>
        <w:tc>
          <w:tcPr>
            <w:tcW w:w="1197" w:type="pct"/>
            <w:vAlign w:val="center"/>
          </w:tcPr>
          <w:p w14:paraId="29FC9A6F">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1706.054</w:t>
            </w:r>
          </w:p>
        </w:tc>
      </w:tr>
      <w:tr w14:paraId="2CB33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2DB42FE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14</w:t>
            </w:r>
          </w:p>
        </w:tc>
        <w:tc>
          <w:tcPr>
            <w:tcW w:w="2180" w:type="pct"/>
            <w:vAlign w:val="center"/>
          </w:tcPr>
          <w:p w14:paraId="749E6657">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40</w:t>
            </w:r>
          </w:p>
        </w:tc>
        <w:tc>
          <w:tcPr>
            <w:tcW w:w="1153" w:type="pct"/>
            <w:vAlign w:val="center"/>
          </w:tcPr>
          <w:p w14:paraId="7BC904FF">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48</w:t>
            </w:r>
          </w:p>
        </w:tc>
        <w:tc>
          <w:tcPr>
            <w:tcW w:w="1197" w:type="pct"/>
            <w:vAlign w:val="center"/>
          </w:tcPr>
          <w:p w14:paraId="69D1B254">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980.0905</w:t>
            </w:r>
          </w:p>
        </w:tc>
      </w:tr>
      <w:tr w14:paraId="3C96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7381A79E">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15</w:t>
            </w:r>
          </w:p>
        </w:tc>
        <w:tc>
          <w:tcPr>
            <w:tcW w:w="2180" w:type="pct"/>
            <w:vAlign w:val="center"/>
          </w:tcPr>
          <w:p w14:paraId="500847F7">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50</w:t>
            </w:r>
          </w:p>
        </w:tc>
        <w:tc>
          <w:tcPr>
            <w:tcW w:w="1153" w:type="pct"/>
            <w:vAlign w:val="center"/>
          </w:tcPr>
          <w:p w14:paraId="68BDBA6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60</w:t>
            </w:r>
          </w:p>
        </w:tc>
        <w:tc>
          <w:tcPr>
            <w:tcW w:w="1197" w:type="pct"/>
            <w:vAlign w:val="center"/>
          </w:tcPr>
          <w:p w14:paraId="51A4DBEE">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627.9232</w:t>
            </w:r>
          </w:p>
        </w:tc>
      </w:tr>
      <w:tr w14:paraId="6C16D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66DC26B5">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16</w:t>
            </w:r>
          </w:p>
        </w:tc>
        <w:tc>
          <w:tcPr>
            <w:tcW w:w="2180" w:type="pct"/>
            <w:vAlign w:val="center"/>
          </w:tcPr>
          <w:p w14:paraId="26C5E5B7">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60</w:t>
            </w:r>
          </w:p>
        </w:tc>
        <w:tc>
          <w:tcPr>
            <w:tcW w:w="1153" w:type="pct"/>
            <w:vAlign w:val="center"/>
          </w:tcPr>
          <w:p w14:paraId="110A6FE8">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60</w:t>
            </w:r>
          </w:p>
        </w:tc>
        <w:tc>
          <w:tcPr>
            <w:tcW w:w="1197" w:type="pct"/>
            <w:vAlign w:val="center"/>
          </w:tcPr>
          <w:p w14:paraId="5873C343">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433.644</w:t>
            </w:r>
          </w:p>
        </w:tc>
      </w:tr>
      <w:tr w14:paraId="41DAB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42AC9C21">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17</w:t>
            </w:r>
          </w:p>
        </w:tc>
        <w:tc>
          <w:tcPr>
            <w:tcW w:w="2180" w:type="pct"/>
            <w:vAlign w:val="center"/>
          </w:tcPr>
          <w:p w14:paraId="72EE6D2F">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70</w:t>
            </w:r>
          </w:p>
        </w:tc>
        <w:tc>
          <w:tcPr>
            <w:tcW w:w="1153" w:type="pct"/>
            <w:vAlign w:val="center"/>
          </w:tcPr>
          <w:p w14:paraId="3FDFA40D">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90</w:t>
            </w:r>
          </w:p>
        </w:tc>
        <w:tc>
          <w:tcPr>
            <w:tcW w:w="1197" w:type="pct"/>
            <w:vAlign w:val="center"/>
          </w:tcPr>
          <w:p w14:paraId="01A569DB">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316.0923</w:t>
            </w:r>
          </w:p>
        </w:tc>
      </w:tr>
      <w:tr w14:paraId="232DE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7E82F860">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w:t>
            </w:r>
          </w:p>
        </w:tc>
        <w:tc>
          <w:tcPr>
            <w:tcW w:w="2180" w:type="pct"/>
            <w:vAlign w:val="center"/>
          </w:tcPr>
          <w:p w14:paraId="017F830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80</w:t>
            </w:r>
          </w:p>
        </w:tc>
        <w:tc>
          <w:tcPr>
            <w:tcW w:w="1153" w:type="pct"/>
            <w:vAlign w:val="center"/>
          </w:tcPr>
          <w:p w14:paraId="13D2324F">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90</w:t>
            </w:r>
          </w:p>
        </w:tc>
        <w:tc>
          <w:tcPr>
            <w:tcW w:w="1197" w:type="pct"/>
            <w:vAlign w:val="center"/>
          </w:tcPr>
          <w:p w14:paraId="01E0ABDD">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239.9276</w:t>
            </w:r>
          </w:p>
        </w:tc>
      </w:tr>
      <w:tr w14:paraId="64619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340B8F7E">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19</w:t>
            </w:r>
          </w:p>
        </w:tc>
        <w:tc>
          <w:tcPr>
            <w:tcW w:w="2180" w:type="pct"/>
            <w:vAlign w:val="center"/>
          </w:tcPr>
          <w:p w14:paraId="3A8CB731">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90</w:t>
            </w:r>
          </w:p>
        </w:tc>
        <w:tc>
          <w:tcPr>
            <w:tcW w:w="1153" w:type="pct"/>
            <w:vAlign w:val="center"/>
          </w:tcPr>
          <w:p w14:paraId="435CAFE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90</w:t>
            </w:r>
          </w:p>
        </w:tc>
        <w:tc>
          <w:tcPr>
            <w:tcW w:w="1197" w:type="pct"/>
            <w:vAlign w:val="center"/>
          </w:tcPr>
          <w:p w14:paraId="55D4EBA9">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187.9246</w:t>
            </w:r>
          </w:p>
        </w:tc>
      </w:tr>
      <w:tr w14:paraId="4E853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0FA39092">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20</w:t>
            </w:r>
          </w:p>
        </w:tc>
        <w:tc>
          <w:tcPr>
            <w:tcW w:w="2180" w:type="pct"/>
            <w:vAlign w:val="center"/>
          </w:tcPr>
          <w:p w14:paraId="10EDFD3F">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100</w:t>
            </w:r>
          </w:p>
        </w:tc>
        <w:tc>
          <w:tcPr>
            <w:tcW w:w="1153" w:type="pct"/>
            <w:vAlign w:val="center"/>
          </w:tcPr>
          <w:p w14:paraId="151902F3">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120</w:t>
            </w:r>
          </w:p>
        </w:tc>
        <w:tc>
          <w:tcPr>
            <w:tcW w:w="1197" w:type="pct"/>
            <w:vAlign w:val="center"/>
          </w:tcPr>
          <w:p w14:paraId="7B92EC6E">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150.9231</w:t>
            </w:r>
          </w:p>
        </w:tc>
      </w:tr>
      <w:tr w14:paraId="2F5CC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67529A61">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21</w:t>
            </w:r>
          </w:p>
        </w:tc>
        <w:tc>
          <w:tcPr>
            <w:tcW w:w="2180" w:type="pct"/>
            <w:vAlign w:val="center"/>
          </w:tcPr>
          <w:p w14:paraId="66F97213">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110</w:t>
            </w:r>
          </w:p>
        </w:tc>
        <w:tc>
          <w:tcPr>
            <w:tcW w:w="1153" w:type="pct"/>
            <w:vAlign w:val="center"/>
          </w:tcPr>
          <w:p w14:paraId="0A9A1FE4">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120</w:t>
            </w:r>
          </w:p>
        </w:tc>
        <w:tc>
          <w:tcPr>
            <w:tcW w:w="1197" w:type="pct"/>
            <w:vAlign w:val="center"/>
          </w:tcPr>
          <w:p w14:paraId="55C63143">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123.7045</w:t>
            </w:r>
          </w:p>
        </w:tc>
      </w:tr>
      <w:tr w14:paraId="65058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14C363D5">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22</w:t>
            </w:r>
          </w:p>
        </w:tc>
        <w:tc>
          <w:tcPr>
            <w:tcW w:w="2180" w:type="pct"/>
            <w:vAlign w:val="center"/>
          </w:tcPr>
          <w:p w14:paraId="26D98D51">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120</w:t>
            </w:r>
          </w:p>
        </w:tc>
        <w:tc>
          <w:tcPr>
            <w:tcW w:w="1153" w:type="pct"/>
            <w:vAlign w:val="center"/>
          </w:tcPr>
          <w:p w14:paraId="030F12FA">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120</w:t>
            </w:r>
          </w:p>
        </w:tc>
        <w:tc>
          <w:tcPr>
            <w:tcW w:w="1197" w:type="pct"/>
            <w:vAlign w:val="center"/>
          </w:tcPr>
          <w:p w14:paraId="7457BD49">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103.1264</w:t>
            </w:r>
          </w:p>
        </w:tc>
      </w:tr>
      <w:tr w14:paraId="319A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2082F281">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23</w:t>
            </w:r>
          </w:p>
        </w:tc>
        <w:tc>
          <w:tcPr>
            <w:tcW w:w="2180" w:type="pct"/>
            <w:vAlign w:val="center"/>
          </w:tcPr>
          <w:p w14:paraId="5A9E1195">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130</w:t>
            </w:r>
          </w:p>
        </w:tc>
        <w:tc>
          <w:tcPr>
            <w:tcW w:w="1153" w:type="pct"/>
            <w:vAlign w:val="center"/>
          </w:tcPr>
          <w:p w14:paraId="7D156F58">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150</w:t>
            </w:r>
          </w:p>
        </w:tc>
        <w:tc>
          <w:tcPr>
            <w:tcW w:w="1197" w:type="pct"/>
            <w:vAlign w:val="center"/>
          </w:tcPr>
          <w:p w14:paraId="3A5D8A97">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87.20804</w:t>
            </w:r>
          </w:p>
        </w:tc>
      </w:tr>
      <w:tr w14:paraId="39376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122CB957">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24</w:t>
            </w:r>
          </w:p>
        </w:tc>
        <w:tc>
          <w:tcPr>
            <w:tcW w:w="2180" w:type="pct"/>
            <w:vAlign w:val="center"/>
          </w:tcPr>
          <w:p w14:paraId="58CF0350">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140</w:t>
            </w:r>
          </w:p>
        </w:tc>
        <w:tc>
          <w:tcPr>
            <w:tcW w:w="1153" w:type="pct"/>
            <w:vAlign w:val="center"/>
          </w:tcPr>
          <w:p w14:paraId="18BF038F">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150</w:t>
            </w:r>
          </w:p>
        </w:tc>
        <w:tc>
          <w:tcPr>
            <w:tcW w:w="1197" w:type="pct"/>
            <w:vAlign w:val="center"/>
          </w:tcPr>
          <w:p w14:paraId="72F8433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74.6522</w:t>
            </w:r>
          </w:p>
        </w:tc>
      </w:tr>
      <w:tr w14:paraId="097AB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1E4FE3DD">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25</w:t>
            </w:r>
          </w:p>
        </w:tc>
        <w:tc>
          <w:tcPr>
            <w:tcW w:w="2180" w:type="pct"/>
            <w:vAlign w:val="center"/>
          </w:tcPr>
          <w:p w14:paraId="79E55AAA">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150</w:t>
            </w:r>
          </w:p>
        </w:tc>
        <w:tc>
          <w:tcPr>
            <w:tcW w:w="1153" w:type="pct"/>
            <w:vAlign w:val="center"/>
          </w:tcPr>
          <w:p w14:paraId="6ED4339A">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150</w:t>
            </w:r>
          </w:p>
        </w:tc>
        <w:tc>
          <w:tcPr>
            <w:tcW w:w="1197" w:type="pct"/>
            <w:vAlign w:val="center"/>
          </w:tcPr>
          <w:p w14:paraId="5DCC80EC">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64.58167</w:t>
            </w:r>
          </w:p>
        </w:tc>
      </w:tr>
      <w:tr w14:paraId="77A29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451D85D9">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26</w:t>
            </w:r>
          </w:p>
        </w:tc>
        <w:tc>
          <w:tcPr>
            <w:tcW w:w="2180" w:type="pct"/>
            <w:vAlign w:val="center"/>
          </w:tcPr>
          <w:p w14:paraId="18A4B644">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160</w:t>
            </w:r>
          </w:p>
        </w:tc>
        <w:tc>
          <w:tcPr>
            <w:tcW w:w="1153" w:type="pct"/>
            <w:vAlign w:val="center"/>
          </w:tcPr>
          <w:p w14:paraId="01F11FC8">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w:t>
            </w:r>
          </w:p>
        </w:tc>
        <w:tc>
          <w:tcPr>
            <w:tcW w:w="1197" w:type="pct"/>
            <w:vAlign w:val="center"/>
          </w:tcPr>
          <w:p w14:paraId="1A5CDD4D">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56.3863</w:t>
            </w:r>
          </w:p>
        </w:tc>
      </w:tr>
      <w:tr w14:paraId="220C4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34400D98">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27</w:t>
            </w:r>
          </w:p>
        </w:tc>
        <w:tc>
          <w:tcPr>
            <w:tcW w:w="2180" w:type="pct"/>
            <w:vAlign w:val="center"/>
          </w:tcPr>
          <w:p w14:paraId="18565F75">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170</w:t>
            </w:r>
          </w:p>
        </w:tc>
        <w:tc>
          <w:tcPr>
            <w:tcW w:w="1153" w:type="pct"/>
            <w:vAlign w:val="center"/>
          </w:tcPr>
          <w:p w14:paraId="4498B9CF">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w:t>
            </w:r>
          </w:p>
        </w:tc>
        <w:tc>
          <w:tcPr>
            <w:tcW w:w="1197" w:type="pct"/>
            <w:vAlign w:val="center"/>
          </w:tcPr>
          <w:p w14:paraId="321D1DC8">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49.63152</w:t>
            </w:r>
          </w:p>
        </w:tc>
      </w:tr>
      <w:tr w14:paraId="12AD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4BAC7083">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28</w:t>
            </w:r>
          </w:p>
        </w:tc>
        <w:tc>
          <w:tcPr>
            <w:tcW w:w="2180" w:type="pct"/>
            <w:vAlign w:val="center"/>
          </w:tcPr>
          <w:p w14:paraId="31652A28">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w:t>
            </w:r>
          </w:p>
        </w:tc>
        <w:tc>
          <w:tcPr>
            <w:tcW w:w="1153" w:type="pct"/>
            <w:vAlign w:val="center"/>
          </w:tcPr>
          <w:p w14:paraId="110F0ED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w:t>
            </w:r>
          </w:p>
        </w:tc>
        <w:tc>
          <w:tcPr>
            <w:tcW w:w="1197" w:type="pct"/>
            <w:vAlign w:val="center"/>
          </w:tcPr>
          <w:p w14:paraId="09B8D41A">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44.00113</w:t>
            </w:r>
          </w:p>
        </w:tc>
      </w:tr>
      <w:tr w14:paraId="2862A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2C77B83B">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29</w:t>
            </w:r>
          </w:p>
        </w:tc>
        <w:tc>
          <w:tcPr>
            <w:tcW w:w="2180" w:type="pct"/>
            <w:vAlign w:val="center"/>
          </w:tcPr>
          <w:p w14:paraId="07E3806F">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190</w:t>
            </w:r>
          </w:p>
        </w:tc>
        <w:tc>
          <w:tcPr>
            <w:tcW w:w="1153" w:type="pct"/>
            <w:vAlign w:val="center"/>
          </w:tcPr>
          <w:p w14:paraId="3DC2E35D">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w:t>
            </w:r>
          </w:p>
        </w:tc>
        <w:tc>
          <w:tcPr>
            <w:tcW w:w="1197" w:type="pct"/>
            <w:vAlign w:val="center"/>
          </w:tcPr>
          <w:p w14:paraId="789933BC">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39.26077</w:t>
            </w:r>
          </w:p>
        </w:tc>
      </w:tr>
      <w:tr w14:paraId="424C9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6AEF4574">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30</w:t>
            </w:r>
          </w:p>
        </w:tc>
        <w:tc>
          <w:tcPr>
            <w:tcW w:w="2180" w:type="pct"/>
            <w:vAlign w:val="center"/>
          </w:tcPr>
          <w:p w14:paraId="78485B9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200</w:t>
            </w:r>
          </w:p>
        </w:tc>
        <w:tc>
          <w:tcPr>
            <w:tcW w:w="1153" w:type="pct"/>
            <w:vAlign w:val="center"/>
          </w:tcPr>
          <w:p w14:paraId="0AEE91CA">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210</w:t>
            </w:r>
          </w:p>
        </w:tc>
        <w:tc>
          <w:tcPr>
            <w:tcW w:w="1197" w:type="pct"/>
            <w:vAlign w:val="center"/>
          </w:tcPr>
          <w:p w14:paraId="7D5BB571">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35.23377</w:t>
            </w:r>
          </w:p>
        </w:tc>
      </w:tr>
      <w:tr w14:paraId="69F2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10973C05">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31</w:t>
            </w:r>
          </w:p>
        </w:tc>
        <w:tc>
          <w:tcPr>
            <w:tcW w:w="2180" w:type="pct"/>
            <w:vAlign w:val="center"/>
          </w:tcPr>
          <w:p w14:paraId="14E642D1">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210</w:t>
            </w:r>
          </w:p>
        </w:tc>
        <w:tc>
          <w:tcPr>
            <w:tcW w:w="1153" w:type="pct"/>
            <w:vAlign w:val="center"/>
          </w:tcPr>
          <w:p w14:paraId="609E0BD7">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210</w:t>
            </w:r>
          </w:p>
        </w:tc>
        <w:tc>
          <w:tcPr>
            <w:tcW w:w="1197" w:type="pct"/>
            <w:vAlign w:val="center"/>
          </w:tcPr>
          <w:p w14:paraId="2A390EA0">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31.78506</w:t>
            </w:r>
          </w:p>
        </w:tc>
      </w:tr>
      <w:tr w14:paraId="67610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222CB24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32</w:t>
            </w:r>
          </w:p>
        </w:tc>
        <w:tc>
          <w:tcPr>
            <w:tcW w:w="2180" w:type="pct"/>
            <w:vAlign w:val="center"/>
          </w:tcPr>
          <w:p w14:paraId="27BFEA0B">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220</w:t>
            </w:r>
          </w:p>
        </w:tc>
        <w:tc>
          <w:tcPr>
            <w:tcW w:w="1153" w:type="pct"/>
            <w:vAlign w:val="center"/>
          </w:tcPr>
          <w:p w14:paraId="08826DD5">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210</w:t>
            </w:r>
          </w:p>
        </w:tc>
        <w:tc>
          <w:tcPr>
            <w:tcW w:w="1197" w:type="pct"/>
            <w:vAlign w:val="center"/>
          </w:tcPr>
          <w:p w14:paraId="0EBC42F3">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28.80992</w:t>
            </w:r>
          </w:p>
        </w:tc>
      </w:tr>
      <w:tr w14:paraId="3A5C8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10F34EA5">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33</w:t>
            </w:r>
          </w:p>
        </w:tc>
        <w:tc>
          <w:tcPr>
            <w:tcW w:w="2180" w:type="pct"/>
            <w:vAlign w:val="center"/>
          </w:tcPr>
          <w:p w14:paraId="611CC8E3">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230</w:t>
            </w:r>
          </w:p>
        </w:tc>
        <w:tc>
          <w:tcPr>
            <w:tcW w:w="1153" w:type="pct"/>
            <w:vAlign w:val="center"/>
          </w:tcPr>
          <w:p w14:paraId="2853881B">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240</w:t>
            </w:r>
          </w:p>
        </w:tc>
        <w:tc>
          <w:tcPr>
            <w:tcW w:w="1197" w:type="pct"/>
            <w:vAlign w:val="center"/>
          </w:tcPr>
          <w:p w14:paraId="27992CE8">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26.22618</w:t>
            </w:r>
          </w:p>
        </w:tc>
      </w:tr>
      <w:tr w14:paraId="1DB47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0A2D4FFE">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34</w:t>
            </w:r>
          </w:p>
        </w:tc>
        <w:tc>
          <w:tcPr>
            <w:tcW w:w="2180" w:type="pct"/>
            <w:vAlign w:val="center"/>
          </w:tcPr>
          <w:p w14:paraId="0762873D">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240</w:t>
            </w:r>
          </w:p>
        </w:tc>
        <w:tc>
          <w:tcPr>
            <w:tcW w:w="1153" w:type="pct"/>
            <w:vAlign w:val="center"/>
          </w:tcPr>
          <w:p w14:paraId="69EAD8F8">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240</w:t>
            </w:r>
          </w:p>
        </w:tc>
        <w:tc>
          <w:tcPr>
            <w:tcW w:w="1197" w:type="pct"/>
            <w:vAlign w:val="center"/>
          </w:tcPr>
          <w:p w14:paraId="71928991">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23.96867</w:t>
            </w:r>
          </w:p>
        </w:tc>
      </w:tr>
      <w:tr w14:paraId="1FBEE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2FB796A1">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35</w:t>
            </w:r>
          </w:p>
        </w:tc>
        <w:tc>
          <w:tcPr>
            <w:tcW w:w="2180" w:type="pct"/>
            <w:vAlign w:val="center"/>
          </w:tcPr>
          <w:p w14:paraId="311A642C">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250</w:t>
            </w:r>
          </w:p>
        </w:tc>
        <w:tc>
          <w:tcPr>
            <w:tcW w:w="1153" w:type="pct"/>
            <w:vAlign w:val="center"/>
          </w:tcPr>
          <w:p w14:paraId="5C81C2FA">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240</w:t>
            </w:r>
          </w:p>
        </w:tc>
        <w:tc>
          <w:tcPr>
            <w:tcW w:w="1197" w:type="pct"/>
            <w:vAlign w:val="center"/>
          </w:tcPr>
          <w:p w14:paraId="7921C63C">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21.98517</w:t>
            </w:r>
          </w:p>
        </w:tc>
      </w:tr>
      <w:tr w14:paraId="6FFB8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7AD8091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36</w:t>
            </w:r>
          </w:p>
        </w:tc>
        <w:tc>
          <w:tcPr>
            <w:tcW w:w="2180" w:type="pct"/>
            <w:vAlign w:val="center"/>
          </w:tcPr>
          <w:p w14:paraId="4CE19CCF">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260</w:t>
            </w:r>
          </w:p>
        </w:tc>
        <w:tc>
          <w:tcPr>
            <w:tcW w:w="1153" w:type="pct"/>
            <w:vAlign w:val="center"/>
          </w:tcPr>
          <w:p w14:paraId="064988F2">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270</w:t>
            </w:r>
          </w:p>
        </w:tc>
        <w:tc>
          <w:tcPr>
            <w:tcW w:w="1197" w:type="pct"/>
            <w:vAlign w:val="center"/>
          </w:tcPr>
          <w:p w14:paraId="4E1753ED">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20.23346</w:t>
            </w:r>
          </w:p>
        </w:tc>
      </w:tr>
      <w:tr w14:paraId="792F8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1F21FD1F">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37</w:t>
            </w:r>
          </w:p>
        </w:tc>
        <w:tc>
          <w:tcPr>
            <w:tcW w:w="2180" w:type="pct"/>
            <w:vAlign w:val="center"/>
          </w:tcPr>
          <w:p w14:paraId="75F84987">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270</w:t>
            </w:r>
          </w:p>
        </w:tc>
        <w:tc>
          <w:tcPr>
            <w:tcW w:w="1153" w:type="pct"/>
            <w:vAlign w:val="center"/>
          </w:tcPr>
          <w:p w14:paraId="5129B3E2">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270</w:t>
            </w:r>
          </w:p>
        </w:tc>
        <w:tc>
          <w:tcPr>
            <w:tcW w:w="1197" w:type="pct"/>
            <w:vAlign w:val="center"/>
          </w:tcPr>
          <w:p w14:paraId="47E6B80C">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18.6791</w:t>
            </w:r>
          </w:p>
        </w:tc>
      </w:tr>
      <w:tr w14:paraId="338BC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2E795728">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38</w:t>
            </w:r>
          </w:p>
        </w:tc>
        <w:tc>
          <w:tcPr>
            <w:tcW w:w="2180" w:type="pct"/>
            <w:vAlign w:val="center"/>
          </w:tcPr>
          <w:p w14:paraId="00116BBB">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280</w:t>
            </w:r>
          </w:p>
        </w:tc>
        <w:tc>
          <w:tcPr>
            <w:tcW w:w="1153" w:type="pct"/>
            <w:vAlign w:val="center"/>
          </w:tcPr>
          <w:p w14:paraId="375EA260">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270</w:t>
            </w:r>
          </w:p>
        </w:tc>
        <w:tc>
          <w:tcPr>
            <w:tcW w:w="1197" w:type="pct"/>
            <w:vAlign w:val="center"/>
          </w:tcPr>
          <w:p w14:paraId="4488149E">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17.29378</w:t>
            </w:r>
          </w:p>
        </w:tc>
      </w:tr>
      <w:tr w14:paraId="13137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1554111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39</w:t>
            </w:r>
          </w:p>
        </w:tc>
        <w:tc>
          <w:tcPr>
            <w:tcW w:w="2180" w:type="pct"/>
            <w:vAlign w:val="center"/>
          </w:tcPr>
          <w:p w14:paraId="55202799">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290</w:t>
            </w:r>
          </w:p>
        </w:tc>
        <w:tc>
          <w:tcPr>
            <w:tcW w:w="1153" w:type="pct"/>
            <w:vAlign w:val="center"/>
          </w:tcPr>
          <w:p w14:paraId="4D9BF1AC">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270</w:t>
            </w:r>
          </w:p>
        </w:tc>
        <w:tc>
          <w:tcPr>
            <w:tcW w:w="1197" w:type="pct"/>
            <w:vAlign w:val="center"/>
          </w:tcPr>
          <w:p w14:paraId="72932C32">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16.05408</w:t>
            </w:r>
          </w:p>
        </w:tc>
      </w:tr>
      <w:tr w14:paraId="4E1B4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6DA635C1">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40</w:t>
            </w:r>
          </w:p>
        </w:tc>
        <w:tc>
          <w:tcPr>
            <w:tcW w:w="2180" w:type="pct"/>
            <w:vAlign w:val="center"/>
          </w:tcPr>
          <w:p w14:paraId="1C69230E">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300</w:t>
            </w:r>
          </w:p>
        </w:tc>
        <w:tc>
          <w:tcPr>
            <w:tcW w:w="1153" w:type="pct"/>
            <w:vAlign w:val="center"/>
          </w:tcPr>
          <w:p w14:paraId="08727FF8">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300</w:t>
            </w:r>
          </w:p>
        </w:tc>
        <w:tc>
          <w:tcPr>
            <w:tcW w:w="1197" w:type="pct"/>
            <w:vAlign w:val="center"/>
          </w:tcPr>
          <w:p w14:paraId="2BA40332">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14.94046</w:t>
            </w:r>
          </w:p>
        </w:tc>
      </w:tr>
      <w:tr w14:paraId="26FDF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089343AF">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41</w:t>
            </w:r>
          </w:p>
        </w:tc>
        <w:tc>
          <w:tcPr>
            <w:tcW w:w="2180" w:type="pct"/>
            <w:vAlign w:val="center"/>
          </w:tcPr>
          <w:p w14:paraId="1498458D">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310</w:t>
            </w:r>
          </w:p>
        </w:tc>
        <w:tc>
          <w:tcPr>
            <w:tcW w:w="1153" w:type="pct"/>
            <w:vAlign w:val="center"/>
          </w:tcPr>
          <w:p w14:paraId="30B0F5CF">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300</w:t>
            </w:r>
          </w:p>
        </w:tc>
        <w:tc>
          <w:tcPr>
            <w:tcW w:w="1197" w:type="pct"/>
            <w:vAlign w:val="center"/>
          </w:tcPr>
          <w:p w14:paraId="0FD2D9E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13.93656</w:t>
            </w:r>
          </w:p>
        </w:tc>
      </w:tr>
      <w:tr w14:paraId="5A8F3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78B5EBB0">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42</w:t>
            </w:r>
          </w:p>
        </w:tc>
        <w:tc>
          <w:tcPr>
            <w:tcW w:w="2180" w:type="pct"/>
            <w:vAlign w:val="center"/>
          </w:tcPr>
          <w:p w14:paraId="761FBB2A">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320</w:t>
            </w:r>
          </w:p>
        </w:tc>
        <w:tc>
          <w:tcPr>
            <w:tcW w:w="1153" w:type="pct"/>
            <w:vAlign w:val="center"/>
          </w:tcPr>
          <w:p w14:paraId="3A5C40C1">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300</w:t>
            </w:r>
          </w:p>
        </w:tc>
        <w:tc>
          <w:tcPr>
            <w:tcW w:w="1197" w:type="pct"/>
            <w:vAlign w:val="center"/>
          </w:tcPr>
          <w:p w14:paraId="002D07C1">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13.02854</w:t>
            </w:r>
          </w:p>
        </w:tc>
      </w:tr>
      <w:tr w14:paraId="50010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42394AD4">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43</w:t>
            </w:r>
          </w:p>
        </w:tc>
        <w:tc>
          <w:tcPr>
            <w:tcW w:w="2180" w:type="pct"/>
            <w:vAlign w:val="center"/>
          </w:tcPr>
          <w:p w14:paraId="2AF88C9F">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330</w:t>
            </w:r>
          </w:p>
        </w:tc>
        <w:tc>
          <w:tcPr>
            <w:tcW w:w="1153" w:type="pct"/>
            <w:vAlign w:val="center"/>
          </w:tcPr>
          <w:p w14:paraId="1C376EEE">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330</w:t>
            </w:r>
          </w:p>
        </w:tc>
        <w:tc>
          <w:tcPr>
            <w:tcW w:w="1197" w:type="pct"/>
            <w:vAlign w:val="center"/>
          </w:tcPr>
          <w:p w14:paraId="15A758A9">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12.2047</w:t>
            </w:r>
          </w:p>
        </w:tc>
      </w:tr>
      <w:tr w14:paraId="63288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5291B36C">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44</w:t>
            </w:r>
          </w:p>
        </w:tc>
        <w:tc>
          <w:tcPr>
            <w:tcW w:w="2180" w:type="pct"/>
            <w:vAlign w:val="center"/>
          </w:tcPr>
          <w:p w14:paraId="3A9D1C10">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340</w:t>
            </w:r>
          </w:p>
        </w:tc>
        <w:tc>
          <w:tcPr>
            <w:tcW w:w="1153" w:type="pct"/>
            <w:vAlign w:val="center"/>
          </w:tcPr>
          <w:p w14:paraId="384A65E2">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330</w:t>
            </w:r>
          </w:p>
        </w:tc>
        <w:tc>
          <w:tcPr>
            <w:tcW w:w="1197" w:type="pct"/>
            <w:vAlign w:val="center"/>
          </w:tcPr>
          <w:p w14:paraId="1933614D">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11.45503</w:t>
            </w:r>
          </w:p>
        </w:tc>
      </w:tr>
      <w:tr w14:paraId="6E0F6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246CAE40">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45</w:t>
            </w:r>
          </w:p>
        </w:tc>
        <w:tc>
          <w:tcPr>
            <w:tcW w:w="2180" w:type="pct"/>
            <w:vAlign w:val="center"/>
          </w:tcPr>
          <w:p w14:paraId="78659B9F">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350</w:t>
            </w:r>
          </w:p>
        </w:tc>
        <w:tc>
          <w:tcPr>
            <w:tcW w:w="1153" w:type="pct"/>
            <w:vAlign w:val="center"/>
          </w:tcPr>
          <w:p w14:paraId="6D1022D0">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330</w:t>
            </w:r>
          </w:p>
        </w:tc>
        <w:tc>
          <w:tcPr>
            <w:tcW w:w="1197" w:type="pct"/>
            <w:vAlign w:val="center"/>
          </w:tcPr>
          <w:p w14:paraId="1F146FBD">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10.77098</w:t>
            </w:r>
          </w:p>
        </w:tc>
      </w:tr>
      <w:tr w14:paraId="7EE8E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60148BC7">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46</w:t>
            </w:r>
          </w:p>
        </w:tc>
        <w:tc>
          <w:tcPr>
            <w:tcW w:w="2180" w:type="pct"/>
            <w:vAlign w:val="center"/>
          </w:tcPr>
          <w:p w14:paraId="0F4346B5">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360</w:t>
            </w:r>
          </w:p>
        </w:tc>
        <w:tc>
          <w:tcPr>
            <w:tcW w:w="1153" w:type="pct"/>
            <w:vAlign w:val="center"/>
          </w:tcPr>
          <w:p w14:paraId="22FC596F">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360</w:t>
            </w:r>
          </w:p>
        </w:tc>
        <w:tc>
          <w:tcPr>
            <w:tcW w:w="1197" w:type="pct"/>
            <w:vAlign w:val="center"/>
          </w:tcPr>
          <w:p w14:paraId="45FFBC55">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10.14519</w:t>
            </w:r>
          </w:p>
        </w:tc>
      </w:tr>
      <w:tr w14:paraId="59563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48FACB3F">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47</w:t>
            </w:r>
          </w:p>
        </w:tc>
        <w:tc>
          <w:tcPr>
            <w:tcW w:w="2180" w:type="pct"/>
            <w:vAlign w:val="center"/>
          </w:tcPr>
          <w:p w14:paraId="58540920">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370</w:t>
            </w:r>
          </w:p>
        </w:tc>
        <w:tc>
          <w:tcPr>
            <w:tcW w:w="1153" w:type="pct"/>
            <w:vAlign w:val="center"/>
          </w:tcPr>
          <w:p w14:paraId="2AEEF747">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360</w:t>
            </w:r>
          </w:p>
        </w:tc>
        <w:tc>
          <w:tcPr>
            <w:tcW w:w="1197" w:type="pct"/>
            <w:vAlign w:val="center"/>
          </w:tcPr>
          <w:p w14:paraId="2C9132CA">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9.571271</w:t>
            </w:r>
          </w:p>
        </w:tc>
      </w:tr>
      <w:tr w14:paraId="07DF8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5C135A99">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48</w:t>
            </w:r>
          </w:p>
        </w:tc>
        <w:tc>
          <w:tcPr>
            <w:tcW w:w="2180" w:type="pct"/>
            <w:vAlign w:val="center"/>
          </w:tcPr>
          <w:p w14:paraId="6D8776F2">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380</w:t>
            </w:r>
          </w:p>
        </w:tc>
        <w:tc>
          <w:tcPr>
            <w:tcW w:w="1153" w:type="pct"/>
            <w:vAlign w:val="center"/>
          </w:tcPr>
          <w:p w14:paraId="00EB1A2E">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360</w:t>
            </w:r>
          </w:p>
        </w:tc>
        <w:tc>
          <w:tcPr>
            <w:tcW w:w="1197" w:type="pct"/>
            <w:vAlign w:val="center"/>
          </w:tcPr>
          <w:p w14:paraId="5657F85A">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9.043714</w:t>
            </w:r>
          </w:p>
        </w:tc>
      </w:tr>
      <w:tr w14:paraId="3679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24D3960D">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49</w:t>
            </w:r>
          </w:p>
        </w:tc>
        <w:tc>
          <w:tcPr>
            <w:tcW w:w="2180" w:type="pct"/>
            <w:vAlign w:val="center"/>
          </w:tcPr>
          <w:p w14:paraId="58B9A015">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390</w:t>
            </w:r>
          </w:p>
          <w:p w14:paraId="64302A7E">
            <w:pPr>
              <w:pStyle w:val="2"/>
              <w:spacing w:after="0" w:line="240" w:lineRule="auto"/>
              <w:ind w:firstLine="0" w:firstLineChars="0"/>
              <w:jc w:val="center"/>
              <w:rPr>
                <w:sz w:val="21"/>
                <w:szCs w:val="21"/>
                <w:u w:val="single"/>
              </w:rPr>
            </w:pPr>
            <w:r>
              <w:rPr>
                <w:rFonts w:hint="eastAsia"/>
                <w:sz w:val="21"/>
                <w:szCs w:val="21"/>
                <w:u w:val="single"/>
              </w:rPr>
              <w:t>（独山红树林斑块）</w:t>
            </w:r>
          </w:p>
        </w:tc>
        <w:tc>
          <w:tcPr>
            <w:tcW w:w="1153" w:type="pct"/>
            <w:vAlign w:val="center"/>
          </w:tcPr>
          <w:p w14:paraId="26DAFF5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360</w:t>
            </w:r>
          </w:p>
        </w:tc>
        <w:tc>
          <w:tcPr>
            <w:tcW w:w="1197" w:type="pct"/>
            <w:vAlign w:val="center"/>
          </w:tcPr>
          <w:p w14:paraId="3A825EBC">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8.557706</w:t>
            </w:r>
          </w:p>
        </w:tc>
      </w:tr>
      <w:tr w14:paraId="5012F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5ED90C54">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50</w:t>
            </w:r>
          </w:p>
        </w:tc>
        <w:tc>
          <w:tcPr>
            <w:tcW w:w="2180" w:type="pct"/>
            <w:vAlign w:val="center"/>
          </w:tcPr>
          <w:p w14:paraId="47BAE05C">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400</w:t>
            </w:r>
          </w:p>
        </w:tc>
        <w:tc>
          <w:tcPr>
            <w:tcW w:w="1153" w:type="pct"/>
            <w:vAlign w:val="center"/>
          </w:tcPr>
          <w:p w14:paraId="673E0E33">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390</w:t>
            </w:r>
          </w:p>
        </w:tc>
        <w:tc>
          <w:tcPr>
            <w:tcW w:w="1197" w:type="pct"/>
            <w:vAlign w:val="center"/>
          </w:tcPr>
          <w:p w14:paraId="52B3A021">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8.109035</w:t>
            </w:r>
          </w:p>
        </w:tc>
      </w:tr>
      <w:tr w14:paraId="23EE1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02AE6184">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51</w:t>
            </w:r>
          </w:p>
        </w:tc>
        <w:tc>
          <w:tcPr>
            <w:tcW w:w="2180" w:type="pct"/>
            <w:vAlign w:val="center"/>
          </w:tcPr>
          <w:p w14:paraId="76DFC144">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410</w:t>
            </w:r>
          </w:p>
        </w:tc>
        <w:tc>
          <w:tcPr>
            <w:tcW w:w="1153" w:type="pct"/>
            <w:vAlign w:val="center"/>
          </w:tcPr>
          <w:p w14:paraId="01065661">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390</w:t>
            </w:r>
          </w:p>
        </w:tc>
        <w:tc>
          <w:tcPr>
            <w:tcW w:w="1197" w:type="pct"/>
            <w:vAlign w:val="center"/>
          </w:tcPr>
          <w:p w14:paraId="6B2C776A">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7.694013</w:t>
            </w:r>
          </w:p>
        </w:tc>
      </w:tr>
      <w:tr w14:paraId="0DB0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7FC8D9E7">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52</w:t>
            </w:r>
          </w:p>
        </w:tc>
        <w:tc>
          <w:tcPr>
            <w:tcW w:w="2180" w:type="pct"/>
            <w:vAlign w:val="center"/>
          </w:tcPr>
          <w:p w14:paraId="575C7C5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420</w:t>
            </w:r>
          </w:p>
        </w:tc>
        <w:tc>
          <w:tcPr>
            <w:tcW w:w="1153" w:type="pct"/>
            <w:vAlign w:val="center"/>
          </w:tcPr>
          <w:p w14:paraId="121ACE2E">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390</w:t>
            </w:r>
          </w:p>
        </w:tc>
        <w:tc>
          <w:tcPr>
            <w:tcW w:w="1197" w:type="pct"/>
            <w:vAlign w:val="center"/>
          </w:tcPr>
          <w:p w14:paraId="29647382">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7.309386</w:t>
            </w:r>
          </w:p>
        </w:tc>
      </w:tr>
      <w:tr w14:paraId="71DA1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365FDECD">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53</w:t>
            </w:r>
          </w:p>
        </w:tc>
        <w:tc>
          <w:tcPr>
            <w:tcW w:w="2180" w:type="pct"/>
            <w:vAlign w:val="center"/>
          </w:tcPr>
          <w:p w14:paraId="16F320F0">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430</w:t>
            </w:r>
          </w:p>
        </w:tc>
        <w:tc>
          <w:tcPr>
            <w:tcW w:w="1153" w:type="pct"/>
            <w:vAlign w:val="center"/>
          </w:tcPr>
          <w:p w14:paraId="08434F1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420</w:t>
            </w:r>
          </w:p>
        </w:tc>
        <w:tc>
          <w:tcPr>
            <w:tcW w:w="1197" w:type="pct"/>
            <w:vAlign w:val="center"/>
          </w:tcPr>
          <w:p w14:paraId="193DC5CD">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6.95229</w:t>
            </w:r>
          </w:p>
        </w:tc>
      </w:tr>
      <w:tr w14:paraId="2A68E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5686FCE2">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54</w:t>
            </w:r>
          </w:p>
        </w:tc>
        <w:tc>
          <w:tcPr>
            <w:tcW w:w="2180" w:type="pct"/>
            <w:vAlign w:val="center"/>
          </w:tcPr>
          <w:p w14:paraId="13A04C5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440</w:t>
            </w:r>
          </w:p>
        </w:tc>
        <w:tc>
          <w:tcPr>
            <w:tcW w:w="1153" w:type="pct"/>
            <w:vAlign w:val="center"/>
          </w:tcPr>
          <w:p w14:paraId="079D37BE">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420</w:t>
            </w:r>
          </w:p>
        </w:tc>
        <w:tc>
          <w:tcPr>
            <w:tcW w:w="1197" w:type="pct"/>
            <w:vAlign w:val="center"/>
          </w:tcPr>
          <w:p w14:paraId="357025DA">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6.620185</w:t>
            </w:r>
          </w:p>
        </w:tc>
      </w:tr>
      <w:tr w14:paraId="75966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167FF6C8">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55</w:t>
            </w:r>
          </w:p>
        </w:tc>
        <w:tc>
          <w:tcPr>
            <w:tcW w:w="2180" w:type="pct"/>
            <w:vAlign w:val="center"/>
          </w:tcPr>
          <w:p w14:paraId="462B1CA4">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450</w:t>
            </w:r>
          </w:p>
        </w:tc>
        <w:tc>
          <w:tcPr>
            <w:tcW w:w="1153" w:type="pct"/>
            <w:vAlign w:val="center"/>
          </w:tcPr>
          <w:p w14:paraId="7EF68C14">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420</w:t>
            </w:r>
          </w:p>
        </w:tc>
        <w:tc>
          <w:tcPr>
            <w:tcW w:w="1197" w:type="pct"/>
            <w:vAlign w:val="center"/>
          </w:tcPr>
          <w:p w14:paraId="5368C690">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6.310817</w:t>
            </w:r>
          </w:p>
        </w:tc>
      </w:tr>
      <w:tr w14:paraId="0BB52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24FB0E99">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56</w:t>
            </w:r>
          </w:p>
        </w:tc>
        <w:tc>
          <w:tcPr>
            <w:tcW w:w="2180" w:type="pct"/>
            <w:vAlign w:val="center"/>
          </w:tcPr>
          <w:p w14:paraId="4E6BDC85">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460</w:t>
            </w:r>
          </w:p>
        </w:tc>
        <w:tc>
          <w:tcPr>
            <w:tcW w:w="1153" w:type="pct"/>
            <w:vAlign w:val="center"/>
          </w:tcPr>
          <w:p w14:paraId="1AF7CB7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450</w:t>
            </w:r>
          </w:p>
        </w:tc>
        <w:tc>
          <w:tcPr>
            <w:tcW w:w="1197" w:type="pct"/>
            <w:vAlign w:val="center"/>
          </w:tcPr>
          <w:p w14:paraId="2F452BFC">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6.022175</w:t>
            </w:r>
          </w:p>
        </w:tc>
      </w:tr>
      <w:tr w14:paraId="2CE55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40706F71">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57</w:t>
            </w:r>
          </w:p>
        </w:tc>
        <w:tc>
          <w:tcPr>
            <w:tcW w:w="2180" w:type="pct"/>
            <w:vAlign w:val="center"/>
          </w:tcPr>
          <w:p w14:paraId="34701F1D">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470</w:t>
            </w:r>
          </w:p>
        </w:tc>
        <w:tc>
          <w:tcPr>
            <w:tcW w:w="1153" w:type="pct"/>
            <w:vAlign w:val="center"/>
          </w:tcPr>
          <w:p w14:paraId="4C6665F0">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450</w:t>
            </w:r>
          </w:p>
        </w:tc>
        <w:tc>
          <w:tcPr>
            <w:tcW w:w="1197" w:type="pct"/>
            <w:vAlign w:val="center"/>
          </w:tcPr>
          <w:p w14:paraId="0F619031">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5.752469</w:t>
            </w:r>
          </w:p>
        </w:tc>
      </w:tr>
      <w:tr w14:paraId="5439B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7697FCB4">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58</w:t>
            </w:r>
          </w:p>
        </w:tc>
        <w:tc>
          <w:tcPr>
            <w:tcW w:w="2180" w:type="pct"/>
            <w:vAlign w:val="center"/>
          </w:tcPr>
          <w:p w14:paraId="3FC6740F">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480</w:t>
            </w:r>
          </w:p>
        </w:tc>
        <w:tc>
          <w:tcPr>
            <w:tcW w:w="1153" w:type="pct"/>
            <w:vAlign w:val="center"/>
          </w:tcPr>
          <w:p w14:paraId="3B5F483A">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450</w:t>
            </w:r>
          </w:p>
        </w:tc>
        <w:tc>
          <w:tcPr>
            <w:tcW w:w="1197" w:type="pct"/>
            <w:vAlign w:val="center"/>
          </w:tcPr>
          <w:p w14:paraId="5162BEAC">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5.500095</w:t>
            </w:r>
          </w:p>
        </w:tc>
      </w:tr>
      <w:tr w14:paraId="6A9A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446EFBA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59</w:t>
            </w:r>
          </w:p>
        </w:tc>
        <w:tc>
          <w:tcPr>
            <w:tcW w:w="2180" w:type="pct"/>
            <w:vAlign w:val="center"/>
          </w:tcPr>
          <w:p w14:paraId="70B8F1FC">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490</w:t>
            </w:r>
          </w:p>
        </w:tc>
        <w:tc>
          <w:tcPr>
            <w:tcW w:w="1153" w:type="pct"/>
            <w:vAlign w:val="center"/>
          </w:tcPr>
          <w:p w14:paraId="022832DB">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450</w:t>
            </w:r>
          </w:p>
        </w:tc>
        <w:tc>
          <w:tcPr>
            <w:tcW w:w="1197" w:type="pct"/>
            <w:vAlign w:val="center"/>
          </w:tcPr>
          <w:p w14:paraId="5B33BB0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5.263614</w:t>
            </w:r>
          </w:p>
        </w:tc>
      </w:tr>
      <w:tr w14:paraId="0D9DC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4A5BE573">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60</w:t>
            </w:r>
          </w:p>
        </w:tc>
        <w:tc>
          <w:tcPr>
            <w:tcW w:w="2180" w:type="pct"/>
            <w:vAlign w:val="center"/>
          </w:tcPr>
          <w:p w14:paraId="427E4784">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500</w:t>
            </w:r>
          </w:p>
        </w:tc>
        <w:tc>
          <w:tcPr>
            <w:tcW w:w="1153" w:type="pct"/>
            <w:vAlign w:val="center"/>
          </w:tcPr>
          <w:p w14:paraId="018A6B8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480</w:t>
            </w:r>
          </w:p>
        </w:tc>
        <w:tc>
          <w:tcPr>
            <w:tcW w:w="1197" w:type="pct"/>
            <w:vAlign w:val="center"/>
          </w:tcPr>
          <w:p w14:paraId="364B9B9E">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5.041733</w:t>
            </w:r>
          </w:p>
        </w:tc>
      </w:tr>
      <w:tr w14:paraId="02BA6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7A1FAB94">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61</w:t>
            </w:r>
          </w:p>
        </w:tc>
        <w:tc>
          <w:tcPr>
            <w:tcW w:w="2180" w:type="pct"/>
            <w:vAlign w:val="center"/>
          </w:tcPr>
          <w:p w14:paraId="2C064C5F">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600</w:t>
            </w:r>
          </w:p>
        </w:tc>
        <w:tc>
          <w:tcPr>
            <w:tcW w:w="1153" w:type="pct"/>
            <w:vAlign w:val="center"/>
          </w:tcPr>
          <w:p w14:paraId="08AC98E1">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570</w:t>
            </w:r>
          </w:p>
        </w:tc>
        <w:tc>
          <w:tcPr>
            <w:tcW w:w="1197" w:type="pct"/>
            <w:vAlign w:val="center"/>
          </w:tcPr>
          <w:p w14:paraId="6071A45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3.416821</w:t>
            </w:r>
          </w:p>
        </w:tc>
      </w:tr>
      <w:tr w14:paraId="7FC3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43B6826B">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62</w:t>
            </w:r>
          </w:p>
        </w:tc>
        <w:tc>
          <w:tcPr>
            <w:tcW w:w="2180" w:type="pct"/>
            <w:vAlign w:val="center"/>
          </w:tcPr>
          <w:p w14:paraId="4BB616B8">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700</w:t>
            </w:r>
          </w:p>
        </w:tc>
        <w:tc>
          <w:tcPr>
            <w:tcW w:w="1153" w:type="pct"/>
            <w:vAlign w:val="center"/>
          </w:tcPr>
          <w:p w14:paraId="23926524">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1140</w:t>
            </w:r>
          </w:p>
        </w:tc>
        <w:tc>
          <w:tcPr>
            <w:tcW w:w="1197" w:type="pct"/>
            <w:vAlign w:val="center"/>
          </w:tcPr>
          <w:p w14:paraId="423ED6D1">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2.452958</w:t>
            </w:r>
          </w:p>
        </w:tc>
      </w:tr>
      <w:tr w14:paraId="266F9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198FDA04">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63</w:t>
            </w:r>
          </w:p>
        </w:tc>
        <w:tc>
          <w:tcPr>
            <w:tcW w:w="2180" w:type="pct"/>
            <w:vAlign w:val="center"/>
          </w:tcPr>
          <w:p w14:paraId="3EAB8F6A">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800</w:t>
            </w:r>
          </w:p>
        </w:tc>
        <w:tc>
          <w:tcPr>
            <w:tcW w:w="1153" w:type="pct"/>
            <w:vAlign w:val="center"/>
          </w:tcPr>
          <w:p w14:paraId="56A9A5AE">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1290</w:t>
            </w:r>
          </w:p>
        </w:tc>
        <w:tc>
          <w:tcPr>
            <w:tcW w:w="1197" w:type="pct"/>
            <w:vAlign w:val="center"/>
          </w:tcPr>
          <w:p w14:paraId="4545EBB0">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1.812532</w:t>
            </w:r>
          </w:p>
        </w:tc>
      </w:tr>
      <w:tr w14:paraId="6D91E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2161C62F">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64</w:t>
            </w:r>
          </w:p>
        </w:tc>
        <w:tc>
          <w:tcPr>
            <w:tcW w:w="2180" w:type="pct"/>
            <w:vAlign w:val="center"/>
          </w:tcPr>
          <w:p w14:paraId="3EFCBEC2">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900</w:t>
            </w:r>
          </w:p>
        </w:tc>
        <w:tc>
          <w:tcPr>
            <w:tcW w:w="1153" w:type="pct"/>
            <w:vAlign w:val="center"/>
          </w:tcPr>
          <w:p w14:paraId="012EEF79">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1440</w:t>
            </w:r>
          </w:p>
        </w:tc>
        <w:tc>
          <w:tcPr>
            <w:tcW w:w="1197" w:type="pct"/>
            <w:vAlign w:val="center"/>
          </w:tcPr>
          <w:p w14:paraId="00A5A404">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1.375431</w:t>
            </w:r>
          </w:p>
        </w:tc>
      </w:tr>
      <w:tr w14:paraId="369CC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10D662FB">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65</w:t>
            </w:r>
          </w:p>
        </w:tc>
        <w:tc>
          <w:tcPr>
            <w:tcW w:w="2180" w:type="pct"/>
            <w:vAlign w:val="center"/>
          </w:tcPr>
          <w:p w14:paraId="0B9FE711">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1000</w:t>
            </w:r>
          </w:p>
        </w:tc>
        <w:tc>
          <w:tcPr>
            <w:tcW w:w="1153" w:type="pct"/>
            <w:vAlign w:val="center"/>
          </w:tcPr>
          <w:p w14:paraId="10702D47">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1590</w:t>
            </w:r>
          </w:p>
        </w:tc>
        <w:tc>
          <w:tcPr>
            <w:tcW w:w="1197" w:type="pct"/>
            <w:vAlign w:val="center"/>
          </w:tcPr>
          <w:p w14:paraId="3A85B5D0">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1.154585</w:t>
            </w:r>
          </w:p>
        </w:tc>
      </w:tr>
      <w:tr w14:paraId="25F1D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38C47FF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66</w:t>
            </w:r>
          </w:p>
        </w:tc>
        <w:tc>
          <w:tcPr>
            <w:tcW w:w="2180" w:type="pct"/>
            <w:vAlign w:val="center"/>
          </w:tcPr>
          <w:p w14:paraId="656DC3F3">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1100</w:t>
            </w:r>
          </w:p>
        </w:tc>
        <w:tc>
          <w:tcPr>
            <w:tcW w:w="1153" w:type="pct"/>
            <w:vAlign w:val="center"/>
          </w:tcPr>
          <w:p w14:paraId="3F033B5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1740</w:t>
            </w:r>
          </w:p>
        </w:tc>
        <w:tc>
          <w:tcPr>
            <w:tcW w:w="1197" w:type="pct"/>
            <w:vAlign w:val="center"/>
          </w:tcPr>
          <w:p w14:paraId="7A0827F5">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1.036038</w:t>
            </w:r>
          </w:p>
        </w:tc>
      </w:tr>
      <w:tr w14:paraId="7284F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4A54EA73">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67</w:t>
            </w:r>
          </w:p>
        </w:tc>
        <w:tc>
          <w:tcPr>
            <w:tcW w:w="2180" w:type="pct"/>
            <w:vAlign w:val="center"/>
          </w:tcPr>
          <w:p w14:paraId="36B324BB">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1200</w:t>
            </w:r>
          </w:p>
        </w:tc>
        <w:tc>
          <w:tcPr>
            <w:tcW w:w="1153" w:type="pct"/>
            <w:vAlign w:val="center"/>
          </w:tcPr>
          <w:p w14:paraId="1194E371">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1800</w:t>
            </w:r>
          </w:p>
        </w:tc>
        <w:tc>
          <w:tcPr>
            <w:tcW w:w="1197" w:type="pct"/>
            <w:vAlign w:val="center"/>
          </w:tcPr>
          <w:p w14:paraId="17E620CC">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0.954515</w:t>
            </w:r>
          </w:p>
        </w:tc>
      </w:tr>
      <w:tr w14:paraId="64E80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71BE6243">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68</w:t>
            </w:r>
          </w:p>
        </w:tc>
        <w:tc>
          <w:tcPr>
            <w:tcW w:w="2180" w:type="pct"/>
            <w:vAlign w:val="center"/>
          </w:tcPr>
          <w:p w14:paraId="2FCC970E">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1300</w:t>
            </w:r>
          </w:p>
        </w:tc>
        <w:tc>
          <w:tcPr>
            <w:tcW w:w="1153" w:type="pct"/>
            <w:vAlign w:val="center"/>
          </w:tcPr>
          <w:p w14:paraId="56CBD185">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1800</w:t>
            </w:r>
          </w:p>
        </w:tc>
        <w:tc>
          <w:tcPr>
            <w:tcW w:w="1197" w:type="pct"/>
            <w:vAlign w:val="center"/>
          </w:tcPr>
          <w:p w14:paraId="6431C88F">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0.887476</w:t>
            </w:r>
          </w:p>
        </w:tc>
      </w:tr>
      <w:tr w14:paraId="5BA4A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35AF72F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69</w:t>
            </w:r>
          </w:p>
        </w:tc>
        <w:tc>
          <w:tcPr>
            <w:tcW w:w="2180" w:type="pct"/>
            <w:vAlign w:val="center"/>
          </w:tcPr>
          <w:p w14:paraId="26DA29E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1400</w:t>
            </w:r>
          </w:p>
        </w:tc>
        <w:tc>
          <w:tcPr>
            <w:tcW w:w="1153" w:type="pct"/>
            <w:vAlign w:val="center"/>
          </w:tcPr>
          <w:p w14:paraId="1A8630ED">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1800</w:t>
            </w:r>
          </w:p>
        </w:tc>
        <w:tc>
          <w:tcPr>
            <w:tcW w:w="1197" w:type="pct"/>
            <w:vAlign w:val="center"/>
          </w:tcPr>
          <w:p w14:paraId="290FBBCE">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0.8285279</w:t>
            </w:r>
          </w:p>
        </w:tc>
      </w:tr>
      <w:tr w14:paraId="69C37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55C754C5">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70</w:t>
            </w:r>
          </w:p>
        </w:tc>
        <w:tc>
          <w:tcPr>
            <w:tcW w:w="2180" w:type="pct"/>
            <w:vAlign w:val="center"/>
          </w:tcPr>
          <w:p w14:paraId="5B0BF038">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1500</w:t>
            </w:r>
          </w:p>
        </w:tc>
        <w:tc>
          <w:tcPr>
            <w:tcW w:w="1153" w:type="pct"/>
            <w:vAlign w:val="center"/>
          </w:tcPr>
          <w:p w14:paraId="740B685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1800</w:t>
            </w:r>
          </w:p>
        </w:tc>
        <w:tc>
          <w:tcPr>
            <w:tcW w:w="1197" w:type="pct"/>
            <w:vAlign w:val="center"/>
          </w:tcPr>
          <w:p w14:paraId="74AE9CD5">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0.7744836</w:t>
            </w:r>
          </w:p>
        </w:tc>
      </w:tr>
      <w:tr w14:paraId="2C3AD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0BF7AAC8">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71</w:t>
            </w:r>
          </w:p>
        </w:tc>
        <w:tc>
          <w:tcPr>
            <w:tcW w:w="2180" w:type="pct"/>
            <w:vAlign w:val="center"/>
          </w:tcPr>
          <w:p w14:paraId="375F6D29">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1600</w:t>
            </w:r>
          </w:p>
        </w:tc>
        <w:tc>
          <w:tcPr>
            <w:tcW w:w="1153" w:type="pct"/>
            <w:vAlign w:val="center"/>
          </w:tcPr>
          <w:p w14:paraId="62EB81B4">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1800</w:t>
            </w:r>
          </w:p>
        </w:tc>
        <w:tc>
          <w:tcPr>
            <w:tcW w:w="1197" w:type="pct"/>
            <w:vAlign w:val="center"/>
          </w:tcPr>
          <w:p w14:paraId="7FDBBEFD">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0.7228556</w:t>
            </w:r>
          </w:p>
        </w:tc>
      </w:tr>
      <w:tr w14:paraId="77B6E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69A1F6BB">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72</w:t>
            </w:r>
          </w:p>
        </w:tc>
        <w:tc>
          <w:tcPr>
            <w:tcW w:w="2180" w:type="pct"/>
            <w:vAlign w:val="center"/>
          </w:tcPr>
          <w:p w14:paraId="05835C92">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1700</w:t>
            </w:r>
          </w:p>
        </w:tc>
        <w:tc>
          <w:tcPr>
            <w:tcW w:w="1153" w:type="pct"/>
            <w:vAlign w:val="center"/>
          </w:tcPr>
          <w:p w14:paraId="1B831173">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1800</w:t>
            </w:r>
          </w:p>
        </w:tc>
        <w:tc>
          <w:tcPr>
            <w:tcW w:w="1197" w:type="pct"/>
            <w:vAlign w:val="center"/>
          </w:tcPr>
          <w:p w14:paraId="0E413C67">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0.6718623</w:t>
            </w:r>
          </w:p>
        </w:tc>
      </w:tr>
      <w:tr w14:paraId="3947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3E4E2C01">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73</w:t>
            </w:r>
          </w:p>
        </w:tc>
        <w:tc>
          <w:tcPr>
            <w:tcW w:w="2180" w:type="pct"/>
            <w:vAlign w:val="center"/>
          </w:tcPr>
          <w:p w14:paraId="57FAF801">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1800</w:t>
            </w:r>
          </w:p>
        </w:tc>
        <w:tc>
          <w:tcPr>
            <w:tcW w:w="1153" w:type="pct"/>
            <w:vAlign w:val="center"/>
          </w:tcPr>
          <w:p w14:paraId="52092FCE">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1800</w:t>
            </w:r>
          </w:p>
        </w:tc>
        <w:tc>
          <w:tcPr>
            <w:tcW w:w="1197" w:type="pct"/>
            <w:vAlign w:val="center"/>
          </w:tcPr>
          <w:p w14:paraId="457BCBD3">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0.6207068</w:t>
            </w:r>
          </w:p>
        </w:tc>
      </w:tr>
      <w:tr w14:paraId="0A00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7D06047C">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74</w:t>
            </w:r>
          </w:p>
        </w:tc>
        <w:tc>
          <w:tcPr>
            <w:tcW w:w="2180" w:type="pct"/>
            <w:vAlign w:val="center"/>
          </w:tcPr>
          <w:p w14:paraId="6AE6FE62">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1900</w:t>
            </w:r>
          </w:p>
        </w:tc>
        <w:tc>
          <w:tcPr>
            <w:tcW w:w="1153" w:type="pct"/>
            <w:vAlign w:val="center"/>
          </w:tcPr>
          <w:p w14:paraId="3AB9E0D3">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1800</w:t>
            </w:r>
          </w:p>
        </w:tc>
        <w:tc>
          <w:tcPr>
            <w:tcW w:w="1197" w:type="pct"/>
            <w:vAlign w:val="center"/>
          </w:tcPr>
          <w:p w14:paraId="07F2D5CC">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0.5693119</w:t>
            </w:r>
          </w:p>
        </w:tc>
      </w:tr>
      <w:tr w14:paraId="54FB8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5770A9BD">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75</w:t>
            </w:r>
          </w:p>
        </w:tc>
        <w:tc>
          <w:tcPr>
            <w:tcW w:w="2180" w:type="pct"/>
            <w:vAlign w:val="center"/>
          </w:tcPr>
          <w:p w14:paraId="182C9EC4">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2000</w:t>
            </w:r>
          </w:p>
        </w:tc>
        <w:tc>
          <w:tcPr>
            <w:tcW w:w="1153" w:type="pct"/>
            <w:vAlign w:val="center"/>
          </w:tcPr>
          <w:p w14:paraId="02D37649">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1800</w:t>
            </w:r>
          </w:p>
        </w:tc>
        <w:tc>
          <w:tcPr>
            <w:tcW w:w="1197" w:type="pct"/>
            <w:vAlign w:val="center"/>
          </w:tcPr>
          <w:p w14:paraId="056D810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0.5183342</w:t>
            </w:r>
          </w:p>
        </w:tc>
      </w:tr>
      <w:tr w14:paraId="609FA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204C7DDB">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76</w:t>
            </w:r>
          </w:p>
        </w:tc>
        <w:tc>
          <w:tcPr>
            <w:tcW w:w="2180" w:type="pct"/>
            <w:vAlign w:val="center"/>
          </w:tcPr>
          <w:p w14:paraId="3666B31B">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2300</w:t>
            </w:r>
          </w:p>
          <w:p w14:paraId="31850304">
            <w:pPr>
              <w:pStyle w:val="2"/>
              <w:spacing w:after="0" w:line="240" w:lineRule="auto"/>
              <w:ind w:firstLine="0" w:firstLineChars="0"/>
              <w:jc w:val="center"/>
              <w:rPr>
                <w:sz w:val="21"/>
                <w:szCs w:val="21"/>
                <w:u w:val="single"/>
              </w:rPr>
            </w:pPr>
            <w:r>
              <w:rPr>
                <w:rFonts w:hint="eastAsia"/>
                <w:sz w:val="21"/>
                <w:szCs w:val="21"/>
                <w:u w:val="single"/>
              </w:rPr>
              <w:t>（金鼓江红树林区）</w:t>
            </w:r>
          </w:p>
        </w:tc>
        <w:tc>
          <w:tcPr>
            <w:tcW w:w="1153" w:type="pct"/>
            <w:vAlign w:val="center"/>
          </w:tcPr>
          <w:p w14:paraId="56D17CBB">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1800</w:t>
            </w:r>
          </w:p>
        </w:tc>
        <w:tc>
          <w:tcPr>
            <w:tcW w:w="1197" w:type="pct"/>
            <w:vAlign w:val="center"/>
          </w:tcPr>
          <w:p w14:paraId="3DAAE854">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cs="宋体"/>
                <w:color w:val="0D0D0D" w:themeColor="text1" w:themeTint="F2"/>
                <w:kern w:val="0"/>
                <w:sz w:val="21"/>
                <w:szCs w:val="21"/>
                <w:u w:val="single"/>
                <w14:textFill>
                  <w14:solidFill>
                    <w14:schemeClr w14:val="tx1">
                      <w14:lumMod w14:val="95000"/>
                      <w14:lumOff w14:val="5000"/>
                    </w14:schemeClr>
                  </w14:solidFill>
                </w14:textFill>
              </w:rPr>
              <w:t>0.3847678</w:t>
            </w:r>
          </w:p>
        </w:tc>
      </w:tr>
      <w:tr w14:paraId="4B659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50769781">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77</w:t>
            </w:r>
          </w:p>
        </w:tc>
        <w:tc>
          <w:tcPr>
            <w:tcW w:w="2180" w:type="pct"/>
            <w:vAlign w:val="center"/>
          </w:tcPr>
          <w:p w14:paraId="709F073A">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2500</w:t>
            </w:r>
          </w:p>
        </w:tc>
        <w:tc>
          <w:tcPr>
            <w:tcW w:w="1153" w:type="pct"/>
            <w:vAlign w:val="center"/>
          </w:tcPr>
          <w:p w14:paraId="1FE53455">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1800</w:t>
            </w:r>
          </w:p>
        </w:tc>
        <w:tc>
          <w:tcPr>
            <w:tcW w:w="1197" w:type="pct"/>
            <w:vAlign w:val="center"/>
          </w:tcPr>
          <w:p w14:paraId="371568E3">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0.2957235</w:t>
            </w:r>
          </w:p>
        </w:tc>
      </w:tr>
      <w:tr w14:paraId="74EED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131D4D5E">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78</w:t>
            </w:r>
          </w:p>
        </w:tc>
        <w:tc>
          <w:tcPr>
            <w:tcW w:w="2180" w:type="pct"/>
            <w:vAlign w:val="center"/>
          </w:tcPr>
          <w:p w14:paraId="662DD0EF">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3000</w:t>
            </w:r>
          </w:p>
        </w:tc>
        <w:tc>
          <w:tcPr>
            <w:tcW w:w="1153" w:type="pct"/>
            <w:vAlign w:val="center"/>
          </w:tcPr>
          <w:p w14:paraId="06B54D19">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1800</w:t>
            </w:r>
          </w:p>
        </w:tc>
        <w:tc>
          <w:tcPr>
            <w:tcW w:w="1197" w:type="pct"/>
            <w:vAlign w:val="center"/>
          </w:tcPr>
          <w:p w14:paraId="745B7D9D">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0.1566416</w:t>
            </w:r>
          </w:p>
        </w:tc>
      </w:tr>
      <w:tr w14:paraId="103B9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66A9A892">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79</w:t>
            </w:r>
          </w:p>
        </w:tc>
        <w:tc>
          <w:tcPr>
            <w:tcW w:w="2180" w:type="pct"/>
            <w:vAlign w:val="center"/>
          </w:tcPr>
          <w:p w14:paraId="76C4736B">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3100</w:t>
            </w:r>
          </w:p>
          <w:p w14:paraId="10FC4ABE">
            <w:pPr>
              <w:pStyle w:val="2"/>
              <w:spacing w:after="0" w:line="240" w:lineRule="auto"/>
              <w:ind w:firstLine="0" w:firstLineChars="0"/>
              <w:jc w:val="center"/>
              <w:rPr>
                <w:sz w:val="21"/>
                <w:szCs w:val="21"/>
                <w:u w:val="single"/>
              </w:rPr>
            </w:pPr>
            <w:r>
              <w:rPr>
                <w:rFonts w:hint="eastAsia"/>
                <w:sz w:val="21"/>
                <w:szCs w:val="21"/>
                <w:u w:val="single"/>
              </w:rPr>
              <w:t>（广西茅尾海红树林自治区级</w:t>
            </w:r>
          </w:p>
          <w:p w14:paraId="15B4E546">
            <w:pPr>
              <w:pStyle w:val="2"/>
              <w:spacing w:after="0" w:line="240" w:lineRule="auto"/>
              <w:ind w:firstLine="0" w:firstLineChars="0"/>
              <w:jc w:val="center"/>
              <w:rPr>
                <w:sz w:val="21"/>
                <w:szCs w:val="21"/>
                <w:u w:val="single"/>
              </w:rPr>
            </w:pPr>
            <w:r>
              <w:rPr>
                <w:rFonts w:hint="eastAsia"/>
                <w:sz w:val="21"/>
                <w:szCs w:val="21"/>
                <w:u w:val="single"/>
              </w:rPr>
              <w:t>自然保护区七十二泾片区））</w:t>
            </w:r>
          </w:p>
        </w:tc>
        <w:tc>
          <w:tcPr>
            <w:tcW w:w="1153" w:type="pct"/>
            <w:vAlign w:val="center"/>
          </w:tcPr>
          <w:p w14:paraId="57CC680C">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1800</w:t>
            </w:r>
          </w:p>
        </w:tc>
        <w:tc>
          <w:tcPr>
            <w:tcW w:w="1197" w:type="pct"/>
            <w:vAlign w:val="center"/>
          </w:tcPr>
          <w:p w14:paraId="57C08859">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0.14193842</w:t>
            </w:r>
          </w:p>
        </w:tc>
      </w:tr>
      <w:tr w14:paraId="0DEB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0AFF42E1">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80</w:t>
            </w:r>
          </w:p>
        </w:tc>
        <w:tc>
          <w:tcPr>
            <w:tcW w:w="2180" w:type="pct"/>
            <w:vAlign w:val="center"/>
          </w:tcPr>
          <w:p w14:paraId="7DB56E34">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3500</w:t>
            </w:r>
          </w:p>
        </w:tc>
        <w:tc>
          <w:tcPr>
            <w:tcW w:w="1153" w:type="pct"/>
            <w:vAlign w:val="center"/>
          </w:tcPr>
          <w:p w14:paraId="3451B122">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1800</w:t>
            </w:r>
          </w:p>
        </w:tc>
        <w:tc>
          <w:tcPr>
            <w:tcW w:w="1197" w:type="pct"/>
            <w:vAlign w:val="center"/>
          </w:tcPr>
          <w:p w14:paraId="3D05431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0.08312573</w:t>
            </w:r>
          </w:p>
        </w:tc>
      </w:tr>
      <w:tr w14:paraId="455A0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1F76D9AA">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81</w:t>
            </w:r>
          </w:p>
        </w:tc>
        <w:tc>
          <w:tcPr>
            <w:tcW w:w="2180" w:type="pct"/>
            <w:vAlign w:val="center"/>
          </w:tcPr>
          <w:p w14:paraId="2D890A1A">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4000</w:t>
            </w:r>
          </w:p>
        </w:tc>
        <w:tc>
          <w:tcPr>
            <w:tcW w:w="1153" w:type="pct"/>
            <w:vAlign w:val="center"/>
          </w:tcPr>
          <w:p w14:paraId="7D555BE3">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1800</w:t>
            </w:r>
          </w:p>
        </w:tc>
        <w:tc>
          <w:tcPr>
            <w:tcW w:w="1197" w:type="pct"/>
            <w:vAlign w:val="center"/>
          </w:tcPr>
          <w:p w14:paraId="4EB30881">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0.04571155</w:t>
            </w:r>
          </w:p>
        </w:tc>
      </w:tr>
      <w:tr w14:paraId="44DA9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2A935B2B">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82</w:t>
            </w:r>
          </w:p>
        </w:tc>
        <w:tc>
          <w:tcPr>
            <w:tcW w:w="2180" w:type="pct"/>
            <w:vAlign w:val="center"/>
          </w:tcPr>
          <w:p w14:paraId="721D5B82">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4500</w:t>
            </w:r>
          </w:p>
        </w:tc>
        <w:tc>
          <w:tcPr>
            <w:tcW w:w="1153" w:type="pct"/>
            <w:vAlign w:val="center"/>
          </w:tcPr>
          <w:p w14:paraId="6B4C70BA">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1800</w:t>
            </w:r>
          </w:p>
        </w:tc>
        <w:tc>
          <w:tcPr>
            <w:tcW w:w="1197" w:type="pct"/>
            <w:vAlign w:val="center"/>
          </w:tcPr>
          <w:p w14:paraId="6E8D7BFD">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0.02630818</w:t>
            </w:r>
          </w:p>
        </w:tc>
      </w:tr>
      <w:tr w14:paraId="57F5E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103F4A2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83</w:t>
            </w:r>
          </w:p>
        </w:tc>
        <w:tc>
          <w:tcPr>
            <w:tcW w:w="2180" w:type="pct"/>
            <w:vAlign w:val="center"/>
          </w:tcPr>
          <w:p w14:paraId="670C4EB2">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5000</w:t>
            </w:r>
          </w:p>
        </w:tc>
        <w:tc>
          <w:tcPr>
            <w:tcW w:w="1153" w:type="pct"/>
            <w:vAlign w:val="center"/>
          </w:tcPr>
          <w:p w14:paraId="5E33FA0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1800</w:t>
            </w:r>
          </w:p>
        </w:tc>
        <w:tc>
          <w:tcPr>
            <w:tcW w:w="1197" w:type="pct"/>
            <w:vAlign w:val="center"/>
          </w:tcPr>
          <w:p w14:paraId="0B0B9F9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0.01585741</w:t>
            </w:r>
          </w:p>
        </w:tc>
      </w:tr>
      <w:tr w14:paraId="04DD4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0F3BC203">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84</w:t>
            </w:r>
          </w:p>
        </w:tc>
        <w:tc>
          <w:tcPr>
            <w:tcW w:w="2180" w:type="pct"/>
            <w:vAlign w:val="center"/>
          </w:tcPr>
          <w:p w14:paraId="028EB267">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5500</w:t>
            </w:r>
          </w:p>
        </w:tc>
        <w:tc>
          <w:tcPr>
            <w:tcW w:w="1153" w:type="pct"/>
            <w:vAlign w:val="center"/>
          </w:tcPr>
          <w:p w14:paraId="375ECD92">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1800</w:t>
            </w:r>
          </w:p>
        </w:tc>
        <w:tc>
          <w:tcPr>
            <w:tcW w:w="1197" w:type="pct"/>
            <w:vAlign w:val="center"/>
          </w:tcPr>
          <w:p w14:paraId="4B011DB4">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0.009978429</w:t>
            </w:r>
          </w:p>
        </w:tc>
      </w:tr>
      <w:tr w14:paraId="3BA6B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38FA6E32">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85</w:t>
            </w:r>
          </w:p>
        </w:tc>
        <w:tc>
          <w:tcPr>
            <w:tcW w:w="2180" w:type="pct"/>
            <w:vAlign w:val="center"/>
          </w:tcPr>
          <w:p w14:paraId="7A624768">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6000</w:t>
            </w:r>
          </w:p>
        </w:tc>
        <w:tc>
          <w:tcPr>
            <w:tcW w:w="1153" w:type="pct"/>
            <w:vAlign w:val="center"/>
          </w:tcPr>
          <w:p w14:paraId="275A596B">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1800</w:t>
            </w:r>
          </w:p>
        </w:tc>
        <w:tc>
          <w:tcPr>
            <w:tcW w:w="1197" w:type="pct"/>
            <w:vAlign w:val="center"/>
          </w:tcPr>
          <w:p w14:paraId="5025226E">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0.006526797</w:t>
            </w:r>
          </w:p>
        </w:tc>
      </w:tr>
      <w:tr w14:paraId="2B422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05DB2FD4">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86</w:t>
            </w:r>
          </w:p>
        </w:tc>
        <w:tc>
          <w:tcPr>
            <w:tcW w:w="2180" w:type="pct"/>
            <w:vAlign w:val="center"/>
          </w:tcPr>
          <w:p w14:paraId="44C68892">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6500</w:t>
            </w:r>
          </w:p>
        </w:tc>
        <w:tc>
          <w:tcPr>
            <w:tcW w:w="1153" w:type="pct"/>
            <w:vAlign w:val="center"/>
          </w:tcPr>
          <w:p w14:paraId="0F72177E">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1800</w:t>
            </w:r>
          </w:p>
        </w:tc>
        <w:tc>
          <w:tcPr>
            <w:tcW w:w="1197" w:type="pct"/>
            <w:vAlign w:val="center"/>
          </w:tcPr>
          <w:p w14:paraId="26FBF712">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0.004418101</w:t>
            </w:r>
          </w:p>
        </w:tc>
      </w:tr>
      <w:tr w14:paraId="3F41C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24CB132D">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87</w:t>
            </w:r>
          </w:p>
        </w:tc>
        <w:tc>
          <w:tcPr>
            <w:tcW w:w="2180" w:type="pct"/>
            <w:vAlign w:val="center"/>
          </w:tcPr>
          <w:p w14:paraId="1DAB6F4E">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7000</w:t>
            </w:r>
          </w:p>
        </w:tc>
        <w:tc>
          <w:tcPr>
            <w:tcW w:w="1153" w:type="pct"/>
            <w:vAlign w:val="center"/>
          </w:tcPr>
          <w:p w14:paraId="54D9C187">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1800</w:t>
            </w:r>
          </w:p>
        </w:tc>
        <w:tc>
          <w:tcPr>
            <w:tcW w:w="1197" w:type="pct"/>
            <w:vAlign w:val="center"/>
          </w:tcPr>
          <w:p w14:paraId="40E228BE">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0.003082507</w:t>
            </w:r>
          </w:p>
        </w:tc>
      </w:tr>
      <w:tr w14:paraId="24FAD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5A511AA8">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88</w:t>
            </w:r>
          </w:p>
        </w:tc>
        <w:tc>
          <w:tcPr>
            <w:tcW w:w="2180" w:type="pct"/>
            <w:vAlign w:val="center"/>
          </w:tcPr>
          <w:p w14:paraId="74788C4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7500</w:t>
            </w:r>
          </w:p>
        </w:tc>
        <w:tc>
          <w:tcPr>
            <w:tcW w:w="1153" w:type="pct"/>
            <w:vAlign w:val="center"/>
          </w:tcPr>
          <w:p w14:paraId="4FAA5330">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1800</w:t>
            </w:r>
          </w:p>
        </w:tc>
        <w:tc>
          <w:tcPr>
            <w:tcW w:w="1197" w:type="pct"/>
            <w:vAlign w:val="center"/>
          </w:tcPr>
          <w:p w14:paraId="544638B8">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0.00220874</w:t>
            </w:r>
          </w:p>
        </w:tc>
      </w:tr>
      <w:tr w14:paraId="7B63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45B10438">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89</w:t>
            </w:r>
          </w:p>
        </w:tc>
        <w:tc>
          <w:tcPr>
            <w:tcW w:w="2180" w:type="pct"/>
            <w:vAlign w:val="center"/>
          </w:tcPr>
          <w:p w14:paraId="32FBA06D">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8000</w:t>
            </w:r>
          </w:p>
        </w:tc>
        <w:tc>
          <w:tcPr>
            <w:tcW w:w="1153" w:type="pct"/>
            <w:vAlign w:val="center"/>
          </w:tcPr>
          <w:p w14:paraId="7A464565">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1800</w:t>
            </w:r>
          </w:p>
        </w:tc>
        <w:tc>
          <w:tcPr>
            <w:tcW w:w="1197" w:type="pct"/>
            <w:vAlign w:val="center"/>
          </w:tcPr>
          <w:p w14:paraId="74E11EB0">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0.001620295</w:t>
            </w:r>
          </w:p>
        </w:tc>
      </w:tr>
      <w:tr w14:paraId="7BF6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26FA4DB2">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90</w:t>
            </w:r>
          </w:p>
        </w:tc>
        <w:tc>
          <w:tcPr>
            <w:tcW w:w="2180" w:type="pct"/>
            <w:vAlign w:val="center"/>
          </w:tcPr>
          <w:p w14:paraId="6B835DA2">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8500</w:t>
            </w:r>
          </w:p>
        </w:tc>
        <w:tc>
          <w:tcPr>
            <w:tcW w:w="1153" w:type="pct"/>
            <w:vAlign w:val="center"/>
          </w:tcPr>
          <w:p w14:paraId="29AC03FE">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1800</w:t>
            </w:r>
          </w:p>
        </w:tc>
        <w:tc>
          <w:tcPr>
            <w:tcW w:w="1197" w:type="pct"/>
            <w:vAlign w:val="center"/>
          </w:tcPr>
          <w:p w14:paraId="4721EFBB">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0.001213623</w:t>
            </w:r>
          </w:p>
        </w:tc>
      </w:tr>
      <w:tr w14:paraId="679BE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402CDF03">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91</w:t>
            </w:r>
          </w:p>
        </w:tc>
        <w:tc>
          <w:tcPr>
            <w:tcW w:w="2180" w:type="pct"/>
            <w:vAlign w:val="center"/>
          </w:tcPr>
          <w:p w14:paraId="14743A34">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9000</w:t>
            </w:r>
          </w:p>
        </w:tc>
        <w:tc>
          <w:tcPr>
            <w:tcW w:w="1153" w:type="pct"/>
            <w:vAlign w:val="center"/>
          </w:tcPr>
          <w:p w14:paraId="49E994A3">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1800</w:t>
            </w:r>
          </w:p>
        </w:tc>
        <w:tc>
          <w:tcPr>
            <w:tcW w:w="1197" w:type="pct"/>
            <w:vAlign w:val="center"/>
          </w:tcPr>
          <w:p w14:paraId="20F81073">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0.000925981</w:t>
            </w:r>
          </w:p>
        </w:tc>
      </w:tr>
      <w:tr w14:paraId="71266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61FE58FE">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92</w:t>
            </w:r>
          </w:p>
        </w:tc>
        <w:tc>
          <w:tcPr>
            <w:tcW w:w="2180" w:type="pct"/>
            <w:vAlign w:val="center"/>
          </w:tcPr>
          <w:p w14:paraId="75A8F178">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9500</w:t>
            </w:r>
          </w:p>
        </w:tc>
        <w:tc>
          <w:tcPr>
            <w:tcW w:w="1153" w:type="pct"/>
            <w:vAlign w:val="center"/>
          </w:tcPr>
          <w:p w14:paraId="6D4489B1">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1800</w:t>
            </w:r>
          </w:p>
        </w:tc>
        <w:tc>
          <w:tcPr>
            <w:tcW w:w="1197" w:type="pct"/>
            <w:vAlign w:val="center"/>
          </w:tcPr>
          <w:p w14:paraId="79634A4D">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0.000718263</w:t>
            </w:r>
          </w:p>
        </w:tc>
      </w:tr>
      <w:tr w14:paraId="5AEA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14:paraId="696453DA">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93</w:t>
            </w:r>
          </w:p>
        </w:tc>
        <w:tc>
          <w:tcPr>
            <w:tcW w:w="2180" w:type="pct"/>
            <w:vAlign w:val="center"/>
          </w:tcPr>
          <w:p w14:paraId="48F1C3B6">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10000</w:t>
            </w:r>
          </w:p>
        </w:tc>
        <w:tc>
          <w:tcPr>
            <w:tcW w:w="1153" w:type="pct"/>
            <w:vAlign w:val="center"/>
          </w:tcPr>
          <w:p w14:paraId="7DEDFE12">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1800</w:t>
            </w:r>
          </w:p>
        </w:tc>
        <w:tc>
          <w:tcPr>
            <w:tcW w:w="1197" w:type="pct"/>
            <w:vAlign w:val="center"/>
          </w:tcPr>
          <w:p w14:paraId="2E38FA64">
            <w:pPr>
              <w:widowControl/>
              <w:spacing w:line="240" w:lineRule="auto"/>
              <w:jc w:val="center"/>
              <w:rPr>
                <w:rFonts w:cs="宋体"/>
                <w:color w:val="0D0D0D" w:themeColor="text1" w:themeTint="F2"/>
                <w:kern w:val="0"/>
                <w:sz w:val="21"/>
                <w:szCs w:val="21"/>
                <w:u w:val="single"/>
                <w14:textFill>
                  <w14:solidFill>
                    <w14:schemeClr w14:val="tx1">
                      <w14:lumMod w14:val="95000"/>
                      <w14:lumOff w14:val="5000"/>
                    </w14:schemeClr>
                  </w14:solidFill>
                </w14:textFill>
              </w:rPr>
            </w:pPr>
            <w:r>
              <w:rPr>
                <w:rFonts w:hint="eastAsia" w:cs="宋体"/>
                <w:color w:val="0D0D0D" w:themeColor="text1" w:themeTint="F2"/>
                <w:kern w:val="0"/>
                <w:sz w:val="21"/>
                <w:szCs w:val="21"/>
                <w:u w:val="single"/>
                <w14:textFill>
                  <w14:solidFill>
                    <w14:schemeClr w14:val="tx1">
                      <w14:lumMod w14:val="95000"/>
                      <w14:lumOff w14:val="5000"/>
                    </w14:schemeClr>
                  </w14:solidFill>
                </w14:textFill>
              </w:rPr>
              <w:t>0.00056543</w:t>
            </w:r>
          </w:p>
        </w:tc>
      </w:tr>
    </w:tbl>
    <w:p w14:paraId="22162C00">
      <w:pPr>
        <w:spacing w:line="240" w:lineRule="auto"/>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5731510" cy="4914900"/>
            <wp:effectExtent l="0" t="0" r="2540" b="0"/>
            <wp:docPr id="11439362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36284" name="图片 1"/>
                    <pic:cNvPicPr>
                      <a:picLocks noChangeAspect="1"/>
                    </pic:cNvPicPr>
                  </pic:nvPicPr>
                  <pic:blipFill>
                    <a:blip r:embed="rId26"/>
                    <a:stretch>
                      <a:fillRect/>
                    </a:stretch>
                  </pic:blipFill>
                  <pic:spPr>
                    <a:xfrm>
                      <a:off x="0" y="0"/>
                      <a:ext cx="5731510" cy="4914900"/>
                    </a:xfrm>
                    <a:prstGeom prst="rect">
                      <a:avLst/>
                    </a:prstGeom>
                  </pic:spPr>
                </pic:pic>
              </a:graphicData>
            </a:graphic>
          </wp:inline>
        </w:drawing>
      </w:r>
    </w:p>
    <w:p w14:paraId="00101AF2">
      <w:pPr>
        <w:pStyle w:val="12"/>
      </w:pPr>
      <w:r>
        <w:rPr>
          <w:rFonts w:hint="eastAsia"/>
        </w:rPr>
        <w:t xml:space="preserve"> 在最不利气象条件下甲醇泄漏下风向距离浓度曲线图</w:t>
      </w:r>
    </w:p>
    <w:p w14:paraId="23A0DE9C">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根据预测结果可知，最不利气象条件下，项目甲醇储罐发生泄漏、蒸发30min后，甲醇毒性终点浓度值-1（9400mg/m</w:t>
      </w:r>
      <w:r>
        <w:rPr>
          <w:rFonts w:hint="eastAsia" w:cs="Times New Roman"/>
          <w:color w:val="0D0D0D" w:themeColor="text1" w:themeTint="F2"/>
          <w:kern w:val="0"/>
          <w:szCs w:val="24"/>
          <w:u w:val="single"/>
          <w:vertAlign w:val="superscript"/>
          <w14:textFill>
            <w14:solidFill>
              <w14:schemeClr w14:val="tx1">
                <w14:lumMod w14:val="95000"/>
                <w14:lumOff w14:val="5000"/>
              </w14:schemeClr>
            </w14:solidFill>
          </w14:textFill>
        </w:rPr>
        <w:t>3</w:t>
      </w:r>
      <w:r>
        <w:rPr>
          <w:rFonts w:hint="eastAsia" w:cs="Times New Roman"/>
          <w:color w:val="0D0D0D" w:themeColor="text1" w:themeTint="F2"/>
          <w:kern w:val="0"/>
          <w:szCs w:val="24"/>
          <w:u w:val="single"/>
          <w14:textFill>
            <w14:solidFill>
              <w14:schemeClr w14:val="tx1">
                <w14:lumMod w14:val="95000"/>
                <w14:lumOff w14:val="5000"/>
              </w14:schemeClr>
            </w14:solidFill>
          </w14:textFill>
        </w:rPr>
        <w:t>）出现于下风向10.45m处，时间为12.54S，甲醇毒性终点浓度值-2（2700mg/m3）出现于下风向24.44m处，时间为26.66S。</w:t>
      </w:r>
    </w:p>
    <w:p w14:paraId="26A8D9BA">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根据《建设项目环境风险评价技术导则》（HJ169-2018），大气毒性终点浓度值分为1、2级。其中，1级为当大气中危险物质浓度低于该限值时，绝大多数人员暴露1h不会对生命造成威胁，当超过该限值时，有可能对人群造成生命威胁；2级为当大气中危险物质浓度低于该限值时，暴露1h一般不会对人体造成不可逆的伤害，或出现的症状一般不会损伤该个体采取有效防护措施的能力。</w:t>
      </w:r>
    </w:p>
    <w:p w14:paraId="34CF7926">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当泄漏事故发生，在立即采取泄漏事故应急措施的同时，积极开展警示和疏散工作，则事故废气对周边人群产生的影响不大。当泄漏事故发生时，若立即采取泄漏事故应急措施，并积极开展警示和疏散工作，则事故废气对周边人群产生的影响不大，可将泄漏事故对大气环境产生的影响控制在可控范围之内。</w:t>
      </w:r>
    </w:p>
    <w:p w14:paraId="2E09A7AD">
      <w:pPr>
        <w:pStyle w:val="10"/>
      </w:pPr>
      <w:r>
        <w:rPr>
          <w:rFonts w:hint="eastAsia"/>
        </w:rPr>
        <w:t>地表水环境风险分析</w:t>
      </w:r>
    </w:p>
    <w:p w14:paraId="4E9AE3E9">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（1）火灾消防废水排放影响分析</w:t>
      </w:r>
    </w:p>
    <w:p w14:paraId="397E9AD9">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项目在发生火灾爆炸事故后，消防废水直接排放会污染地表水环境，若直接排入园区污水管网，高浓度废水会引发园区污水处理厂无法稳定达标运行，甚至造成整个污水处理厂的崩溃。</w:t>
      </w:r>
    </w:p>
    <w:p w14:paraId="35394FFD">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消防废水进入海域后，可能会对金鼓江红树林区造成一定影响，废水流经红树林湿地，会导致水体中有机物含量增大，而溶解氧含量降低。有研究发现污水排放导致红树林植物叶片的光合作用、叶绿素浓度、酶活力等的破坏，而且大量污水有机碳的输入还会破坏红树林底泥的本已承受着严重缺氧压力的不稳定的氧化-还原电势的平衡。</w:t>
      </w:r>
    </w:p>
    <w:p w14:paraId="27263F15">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为避免废水超标排放，对园区污水处理厂造成冲击，总排口出水超标，以及周边红树林造成影响，项目设置1个容积为660m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的事故应急池，一旦发生燃爆事故，立即启动截留阀，将消防废水引入事故应急池（兼消防水池）。待灭火结束后，将消防废水排入厂区污水处理站处理。在采取以上措施后，可有效避免消防废水带来的二次污染。</w:t>
      </w:r>
    </w:p>
    <w:p w14:paraId="014ECF84">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（2）生产废水事故排放</w:t>
      </w:r>
    </w:p>
    <w:p w14:paraId="5814ED73">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当污水处理站发生故障时，高浓度生产废水通过雨水口等直接排入园区污水管网，高浓度废水会引发园区污水处理厂无法稳定达标运行，甚至造成整个污水处理厂的崩溃。消防废水进入海域后，可能会对金鼓江红树林区造成一定影响，废水流经红树林湿地，会导致水体中有机物含量增大，而溶解氧含量降低。有研究发现污水排放导致红树林植物叶片的光合作用、叶绿素浓度、酶活力等的破坏，而且大量污水有机碳的输入还会破坏红树林底泥的本已承受着严重缺氧压力的不稳定的氧化-还原电势的平衡。</w:t>
      </w:r>
    </w:p>
    <w:p w14:paraId="77C31343">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为避免废水超标排放，对园区污水处理厂造成冲击，总排口出水超标，以及周边红树林造成影响，项目设置1个容积为660m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的事故应急池，当污水处理站出现故障，立即启动截留阀，将生产废水引入事故应急池，待污水处理站排除故障后，将生产废水排入污水处理站处理。在采取以上措施后，可避免废水事故排放对下游污水处理系统及受纳水体产生影响。</w:t>
      </w:r>
    </w:p>
    <w:p w14:paraId="347AD3BB">
      <w:pPr>
        <w:pStyle w:val="10"/>
      </w:pPr>
      <w:r>
        <w:rPr>
          <w:rFonts w:hint="eastAsia"/>
        </w:rPr>
        <w:t>地下水环境风险分析</w:t>
      </w:r>
    </w:p>
    <w:p w14:paraId="1FAB995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项目对地下水环境的影响主要体现为：生物柴油、柴油、导热油和废机油等油类物质泄漏后入渗污染地下水；污水处理站收集池破裂，废水泄漏入渗污染地下水。</w:t>
      </w:r>
    </w:p>
    <w:p w14:paraId="152781D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（1）油类物质泄漏对地下水的影响分析</w:t>
      </w:r>
    </w:p>
    <w:p w14:paraId="27ACF504">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生物柴油、柴油、导热油和废机油等油类物质泄漏入渗对地下水的污染较为严重，若油类物质入渗，将使地下水产生严重异味，无法饮用。又由于这种渗漏必然穿过较厚的土壤层，使土壤层中吸附了大量的燃料油，土壤层吸附的燃料油不仅会造成植物生物的死亡，而且土壤层吸附的燃料油还会随着地表水的下渗对土壤层的冲刷作用补充到地下水，这样即便污染源得到及时控制，地下水要完全恢复也需几年至几十年时间。项目储罐区设置围堰，围堰容积要求大于储罐区储罐、油桶等总容积之和，一旦发生泄漏事故，生物柴油、柴油、导热油和废机油等油类物质将在防渗层阻隔下，不会对区域地下水环境造成影响。</w:t>
      </w:r>
    </w:p>
    <w:p w14:paraId="3B2C344C">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若发生油品泄漏少量油品泄漏或者罐体损坏渗漏时，立即用吸油毡、吸油棉进行吸附；若发生大量泄漏暂停运营，关闭阀门，经导流沟或消防沙构筑围堤进行截流或引流至事故应急池暂存，用泵转移至完好收集容器内交给危废公司回收处理，剩余少量的用吸油毡、吸油棉进行吸附。</w:t>
      </w:r>
    </w:p>
    <w:p w14:paraId="74CEE510">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项目设计资料，生产车间周边设有导流沟；储罐区设有围堰，各围堰的有效容积足以容纳最大储罐的一次泄漏量，能将泄漏控制在风险单元内。生产车间和储罐区严禁明火，张贴禁火警示标志，设置火灾报警器和可燃气体报警器；严格区域动火作业审批程序，容器、管道检修动火前必须通风换气和检测分析，做到“五不动火”原则。</w:t>
      </w:r>
    </w:p>
    <w:p w14:paraId="6BEDEE46">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在采取上述措施之后生产车间、储罐区油品泄漏风险事故对环境的影响较小、影响可控。</w:t>
      </w:r>
    </w:p>
    <w:p w14:paraId="3140611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（2）污水处理站废水泄漏对地下水环境的影响分析</w:t>
      </w:r>
    </w:p>
    <w:p w14:paraId="3873CBC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正常工况下，与地下水污染相关的构筑物做好防渗措施，不会对地下水产生不良影响。</w:t>
      </w:r>
    </w:p>
    <w:p w14:paraId="1FC3ACC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（3）消防废水对地下水环境的影响分析。</w:t>
      </w:r>
    </w:p>
    <w:p w14:paraId="3EE9A7EF">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在突发环境事故中，未经有效收集处理的消防废水若通过雨水管网泄漏或溢流进入金鼓江，消防废水主要污染物为COD、BOD</w:t>
      </w:r>
      <w:r>
        <w:rPr>
          <w:rFonts w:hint="eastAsia"/>
          <w:color w:val="0D0D0D" w:themeColor="text1" w:themeTint="F2"/>
          <w:u w:val="single"/>
          <w:vertAlign w:val="subscript"/>
          <w14:textFill>
            <w14:solidFill>
              <w14:schemeClr w14:val="tx1">
                <w14:lumMod w14:val="95000"/>
                <w14:lumOff w14:val="5000"/>
              </w14:schemeClr>
            </w14:solidFill>
          </w14:textFill>
        </w:rPr>
        <w:t>5</w:t>
      </w:r>
      <w:r>
        <w:rPr>
          <w:rFonts w:hint="eastAsia"/>
          <w:color w:val="0D0D0D" w:themeColor="text1" w:themeTint="F2"/>
          <w:u w:val="single"/>
          <w14:textFill>
            <w14:solidFill>
              <w14:schemeClr w14:val="tx1">
                <w14:lumMod w14:val="95000"/>
                <w14:lumOff w14:val="5000"/>
              </w14:schemeClr>
            </w14:solidFill>
          </w14:textFill>
        </w:rPr>
        <w:t>、SS、戊烷等，短时间内将对金鼓江水质、水生生态环境造成影响，同时随着地下河补水，对区域地下水环境造成污染。消防废水泄漏至厂区或周边裸露土壤时，通过土壤孔隙向下渗透进入包气带（非饱和带），最终进入地下水。项目设置事故应急池、且场区采取分区防渗措施，正常情况下消防废水不会对地下水环境造成影响。</w:t>
      </w:r>
    </w:p>
    <w:p w14:paraId="4E6BC1B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项目建设特点，采用源头控制、分区防渗、地下水长期监测等措施，防止地下水发生污染。同时，项目在日常运营中应在厂址下游设置地下水监测井，避免废水长期污染地下水。在采取以上措施后，项目对地下水环境影响较小。</w:t>
      </w:r>
    </w:p>
    <w:p w14:paraId="3CB3AABC">
      <w:pPr>
        <w:pStyle w:val="9"/>
      </w:pPr>
      <w:bookmarkStart w:id="200" w:name="_Toc204062658"/>
      <w:r>
        <w:rPr>
          <w:rFonts w:hint="eastAsia"/>
        </w:rPr>
        <w:t>环境风险防范措施</w:t>
      </w:r>
      <w:bookmarkEnd w:id="200"/>
    </w:p>
    <w:p w14:paraId="7AA35ED3">
      <w:pPr>
        <w:pStyle w:val="10"/>
      </w:pPr>
      <w:r>
        <w:rPr>
          <w:rFonts w:hint="eastAsia"/>
        </w:rPr>
        <w:t>总平布置安全防范措施</w:t>
      </w:r>
    </w:p>
    <w:p w14:paraId="19E9586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项目工程设计和总图布置均委托正规设计单位承担，工程设计严格执行国家有关部门现行的设计规范、规定和标准。各生产装置之间应严格按防火防爆间距布置，厂房及建筑物按《建筑设计防火规范》规定等级设计。</w:t>
      </w:r>
    </w:p>
    <w:p w14:paraId="27F1F2B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（2）根据车间生产过程中火灾、爆炸危险等级及毒物危害程度分级进行分类、分区布置。合理划分管理区、工艺生产区、辅助生产区及储运设施区，各区按其危害程度采取相应的安全防范措施进行管理。</w:t>
      </w:r>
    </w:p>
    <w:p w14:paraId="07F8206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（3）合理组织人流和货流，结合交通、消防的需要，装置区周围设置消防通道，以满足工艺流程、厂内外运输、检修及生产管理的要求。</w:t>
      </w:r>
    </w:p>
    <w:p w14:paraId="550000C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（4）厂区总平面应根据厂内各生产系统及安全、卫生要求进行功能明确合理分区的布置，分区内部和相互之间保持一定的通道和间距。</w:t>
      </w:r>
    </w:p>
    <w:p w14:paraId="7C2AF20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（5）总图布置在满足防火、防爆及安全标准和规范要求的前提下，尽量采用露天化、集中化和按流程布置，并考虑同类设备相对集中。便于安全生产和检修管理，实现本质安全化。</w:t>
      </w:r>
    </w:p>
    <w:p w14:paraId="7AC526B3">
      <w:pPr>
        <w:pStyle w:val="10"/>
      </w:pPr>
      <w:r>
        <w:rPr>
          <w:rFonts w:hint="eastAsia"/>
        </w:rPr>
        <w:t>危险化学品贮存安全防范措施</w:t>
      </w:r>
    </w:p>
    <w:p w14:paraId="409DD73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由于项目使用的原料甲醇等具有燃烧或爆炸性，在贮存过程中应小心谨慎，熟知每种物料的性质和贮存注意事项，根据物料的燃爆特性及挥发特性等进行储存。要严格遵守有关贮存的安全规定。危险化学品贮存的场所必须是经公安消防部门审查批准设置的专门危险化学品库房，露天堆放的必须符合防火防爆要求。</w:t>
      </w:r>
    </w:p>
    <w:p w14:paraId="0255691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贮存危险化学品的仓库管理人员，必须经过专业知识培训，熟悉贮存物品的特性、事故处理办法和防护知识，同时配备有关的个人防护用品。</w:t>
      </w:r>
    </w:p>
    <w:p w14:paraId="21AE501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贮存的危险化学品必须设有明显的标志，并按国家规定标准控制不同单位面积的最大贮存限量和垛距。贮存危险化学品的库房、场所的消防设施、用电设施、防雷防静电设施等必须符合国家规定的安全要求。</w:t>
      </w:r>
    </w:p>
    <w:p w14:paraId="3743FC1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生产装置区应设置围堰、收容池和排水切换装置，确保正常的冲洗水、初期雨水和事故情况下的泄漏污染物、消防水可纳入污水收集和处理系统。</w:t>
      </w:r>
    </w:p>
    <w:p w14:paraId="393A022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罐区的设计应符合《建筑防火设计规范》、《石油化工企业防火设计规范》、《仓库防火安全管理规则》和《危险化学品安全管理条例》的规定、按甲类防火、爆炸标准建设，具备良好的通风，防止雨淋和受潮的措施，不发火花的地坪。</w:t>
      </w:r>
    </w:p>
    <w:p w14:paraId="2606A72B">
      <w:pPr>
        <w:pStyle w:val="10"/>
      </w:pPr>
      <w:bookmarkStart w:id="201" w:name="_Hlk198612093"/>
      <w:r>
        <w:rPr>
          <w:rFonts w:hint="eastAsia"/>
        </w:rPr>
        <w:t>危险化学品</w:t>
      </w:r>
      <w:bookmarkEnd w:id="201"/>
      <w:r>
        <w:rPr>
          <w:rFonts w:hint="eastAsia"/>
        </w:rPr>
        <w:t>运输安全防范措施</w:t>
      </w:r>
    </w:p>
    <w:p w14:paraId="0CEEFCA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（1）严格按照《危险化学品安全管理条例》要求加强危险化学品物料在储运及使用过程中的管理。</w:t>
      </w:r>
    </w:p>
    <w:p w14:paraId="475F585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（2）委托有资质的危险品运输企业进行危险品运输。</w:t>
      </w:r>
    </w:p>
    <w:p w14:paraId="5421E4A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（3）合理规划运输路线及运输时间。危险物品车辆不得在生活饮用水地表水源保护区、居民聚居点、行人稠密地段、政府机关、大桥等敏感目标停车。</w:t>
      </w:r>
    </w:p>
    <w:p w14:paraId="3D50C14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（4）应保证消防通道畅通，严禁在通道上停放、维修车辆和临时堆放物品，不得在消防通道上进行危险化学品装卸。</w:t>
      </w:r>
    </w:p>
    <w:p w14:paraId="0378936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（6）在发生如台风、大雾、龙卷风等天气时应特别注意行车安全甚至不出车，尽量减少事故发生率。</w:t>
      </w:r>
    </w:p>
    <w:p w14:paraId="332C4C26">
      <w:pPr>
        <w:pStyle w:val="10"/>
      </w:pPr>
      <w:r>
        <w:rPr>
          <w:rFonts w:hint="eastAsia"/>
        </w:rPr>
        <w:t>工艺技术设计安全防范措施</w:t>
      </w:r>
    </w:p>
    <w:p w14:paraId="60D5D8C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（1）生产工艺安全防范措施</w:t>
      </w:r>
    </w:p>
    <w:p w14:paraId="06EAAE8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生产工艺流程设计时应合理、完善，并尽可能对物料予以回收和利用。对使用和输送可燃物质的设备和管道加强密闭，并配置防火设施，在生产中加强对设备及管道的巡视和维修，防止跑、冒、滴、漏、串等现象发生。</w:t>
      </w:r>
    </w:p>
    <w:p w14:paraId="74362F2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①生产工艺安全卫生设计必须符合人—机工程原则，以便最大限度地降低操作者的劳动强度以及精神紧张状态。</w:t>
      </w:r>
    </w:p>
    <w:p w14:paraId="5DBC019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②对具有危险和有害因素的生产过程，应合理地采用机械化和现场仪表与远程传输仪表相结合，设置操作室，实现遥控式隔离操作。</w:t>
      </w:r>
    </w:p>
    <w:p w14:paraId="109726C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③建议采用DCS计算机集散控制系统对生产装置、温度、压力、流量、液位等物料参数进行监察、报警、控制，有效提高生产的本质安全度。</w:t>
      </w:r>
    </w:p>
    <w:p w14:paraId="11B756F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④合理布置工艺设备、管道，对采用管道输送的可燃物料的流速应</w:t>
      </w:r>
      <w:r>
        <w:rPr>
          <w:rFonts w:hint="eastAsia"/>
          <w:color w:val="0D0D0D" w:themeColor="text1" w:themeTint="F2"/>
          <w:lang w:eastAsia="zh-CN"/>
          <w14:textFill>
            <w14:solidFill>
              <w14:schemeClr w14:val="tx1">
                <w14:lumMod w14:val="95000"/>
                <w14:lumOff w14:val="5000"/>
              </w14:schemeClr>
            </w14:solidFill>
          </w14:textFill>
        </w:rPr>
        <w:t>做</w:t>
      </w:r>
      <w:r>
        <w:rPr>
          <w:rFonts w:hint="eastAsia"/>
          <w:color w:val="0D0D0D" w:themeColor="text1" w:themeTint="F2"/>
          <w14:textFill>
            <w14:solidFill>
              <w14:schemeClr w14:val="tx1">
                <w14:lumMod w14:val="95000"/>
                <w14:lumOff w14:val="5000"/>
              </w14:schemeClr>
            </w14:solidFill>
          </w14:textFill>
        </w:rPr>
        <w:t>明确限定。</w:t>
      </w:r>
    </w:p>
    <w:p w14:paraId="419118A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⑤生产过程排放的有毒有害废气、废水、固废应符合国家排放标准和有关规定。</w:t>
      </w:r>
    </w:p>
    <w:p w14:paraId="766C8CD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⑥生产过程中的正常操作及工艺安全监测参数必须连续记录。</w:t>
      </w:r>
    </w:p>
    <w:p w14:paraId="3D643F2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（2）生产设备安全防范措施</w:t>
      </w:r>
    </w:p>
    <w:p w14:paraId="49D8227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①所有专用设备应根据工艺要求、物料性质，按照《生产设备安全卫生设计总则》（GB5083）进行。通用机械和设备选型应符合国家或行业技术标准；所有压力容器及设备要由有资质单位设计、制造，相关文件要齐备。对生产装置中的压力容器、压力管道，必须依据《锅炉压力容器安全监察暂行条例》、《压力管道安全管理与监察规定》加强检验、检测和运行管理。</w:t>
      </w:r>
    </w:p>
    <w:p w14:paraId="03AF4B3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②工艺管道应考虑管道振动、脆性破裂，温度应力失稳腐蚀破裂及密封泄漏等因素。并采取相应的安全措施加以控制。必须安全可靠，便于操作。选用的管线、管件、阀门应保证有足够的机械强度，设计、安装及试压等技术应符合国家标准。</w:t>
      </w:r>
    </w:p>
    <w:p w14:paraId="4D4E9BF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③电气防火、防爆设计应依据其危险性选用符合《爆炸和火灾危险环境电力装置设计规范》（GB50058-92）要求的电气设备，装置内配线电缆宜选用阻燃性绝缘电缆，穿钢管埋地敷设，不能埋地时，应有金属罩保护。建设项目应在生产区域安装可燃气体、有毒气体检测报警系统和设计在线分析系统。</w:t>
      </w:r>
    </w:p>
    <w:p w14:paraId="705B06B0">
      <w:pPr>
        <w:pStyle w:val="10"/>
      </w:pPr>
      <w:r>
        <w:rPr>
          <w:rFonts w:hint="eastAsia"/>
        </w:rPr>
        <w:t>火灾爆炸事故风险防范措施</w:t>
      </w:r>
    </w:p>
    <w:p w14:paraId="5244C88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（1）控制与消除火源</w:t>
      </w:r>
    </w:p>
    <w:p w14:paraId="33CDF4B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①工作时严禁吸烟、携带火种、穿带钉皮鞋等进入易燃易爆区。</w:t>
      </w:r>
    </w:p>
    <w:p w14:paraId="7F317B6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②动火必须按动火手续办理动火证，采取有效的防范措施。</w:t>
      </w:r>
    </w:p>
    <w:p w14:paraId="2858DCD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③使用防爆型电器。</w:t>
      </w:r>
    </w:p>
    <w:p w14:paraId="741DE33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④严禁钢制工具敲打、撞击、抛掷。</w:t>
      </w:r>
    </w:p>
    <w:p w14:paraId="39A2F2D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⑤安装避雷装置。</w:t>
      </w:r>
    </w:p>
    <w:p w14:paraId="3B4B537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⑥转动设备部位要保持清洁，防止因摩擦引起杂物等燃烧。</w:t>
      </w:r>
    </w:p>
    <w:p w14:paraId="53CDAD8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⑦物料运输要请专门的、有资质的运输单位，运用专用的设备进行运输。</w:t>
      </w:r>
    </w:p>
    <w:p w14:paraId="1487282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（2）严格控制设备质量与安装质量</w:t>
      </w:r>
    </w:p>
    <w:p w14:paraId="201D242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①罐、器、泵、管线等设备及其配套仪表选用合格产品。</w:t>
      </w:r>
    </w:p>
    <w:p w14:paraId="1900FC4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②管道等有关设施在生产前应按要求进行试压。</w:t>
      </w:r>
    </w:p>
    <w:p w14:paraId="55DA2EC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③对设备、管线、泵等定期检查、保养、维修。</w:t>
      </w:r>
    </w:p>
    <w:p w14:paraId="2E40F74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④电器线路定期进行检查、维修、保养。</w:t>
      </w:r>
    </w:p>
    <w:p w14:paraId="0D5B7C7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（3）加强管理、严格纪律</w:t>
      </w:r>
    </w:p>
    <w:p w14:paraId="09C1DB7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①遵守各项规章制度和操作规程，严格执行岗位责任制。</w:t>
      </w:r>
    </w:p>
    <w:p w14:paraId="6D0DF51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②坚持巡回检查，发现问题及时处理，如通风、管线是否泄漏，消防通道、地沟是否通畅等。</w:t>
      </w:r>
    </w:p>
    <w:p w14:paraId="4B816E4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③检修时，做好隔离，清洗干净，分析合格后，要有现场监护在通风良好的条件下方能动火。</w:t>
      </w:r>
    </w:p>
    <w:p w14:paraId="3F7015F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④加强培训、教育和考核工作。</w:t>
      </w:r>
    </w:p>
    <w:p w14:paraId="4A07C12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（4）安全措施</w:t>
      </w:r>
    </w:p>
    <w:p w14:paraId="268AE5B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①消防设施要保持完好。</w:t>
      </w:r>
    </w:p>
    <w:p w14:paraId="399C704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②易燃易爆场所安装可燃气体检测报警装置。</w:t>
      </w:r>
    </w:p>
    <w:p w14:paraId="418D48B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③要正确佩戴相应的劳防用品和正确使用防毒过滤器等防护用具。</w:t>
      </w:r>
    </w:p>
    <w:p w14:paraId="642B48E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④搬运时轻装轻卸，防止包装破损。</w:t>
      </w:r>
    </w:p>
    <w:p w14:paraId="6B99B1F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⑤厂区要设有卫生冲洗设施。</w:t>
      </w:r>
    </w:p>
    <w:p w14:paraId="35C7E9E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⑥采取必要的防静电措施。</w:t>
      </w:r>
    </w:p>
    <w:p w14:paraId="2B9EFA9B">
      <w:pPr>
        <w:pStyle w:val="10"/>
      </w:pPr>
      <w:r>
        <w:rPr>
          <w:rFonts w:hint="eastAsia"/>
        </w:rPr>
        <w:t>储罐区环境风险防范措施</w:t>
      </w:r>
    </w:p>
    <w:p w14:paraId="7DE8909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（1）罐区布置应符合《石油化工企业设计防火规范》所规定的防火要求。</w:t>
      </w:r>
    </w:p>
    <w:p w14:paraId="5DFFEAD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罐区电气设计应符合下列要求：宜将正常运行时易产生火花的电气设备，如变配电设备、开关柜、发电机等布置在远离储罐的爆炸危险性较小或没有爆炸危险的区域内；在满足罐区工艺及安全前提下，应减少防爆电气设备的数量；设置的防爆电气设备必须是符合现行国家或国际标准的产品；不宜设置携带式电气设备。</w:t>
      </w:r>
    </w:p>
    <w:p w14:paraId="3DE108D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（3）阻火器能有效地阻止外界火源进入储罐。根据《石油化工企业设计防火规范》规定，固定顶储罐顶部与大气相通的呼吸管道上必须设置阻火器，且应安装在呼吸阀的下部。</w:t>
      </w:r>
    </w:p>
    <w:p w14:paraId="7D1D8FB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（4）防止静电：罐区内可能引起燃烧、爆炸的静电火源主要来自物料输送、人员行走、穿脱衣服以及</w:t>
      </w:r>
      <w:r>
        <w:rPr>
          <w:rFonts w:hint="eastAsia"/>
          <w:color w:val="0D0D0D" w:themeColor="text1" w:themeTint="F2"/>
          <w:lang w:eastAsia="zh-CN"/>
          <w14:textFill>
            <w14:solidFill>
              <w14:schemeClr w14:val="tx1">
                <w14:lumMod w14:val="95000"/>
                <w14:lumOff w14:val="5000"/>
              </w14:schemeClr>
            </w14:solidFill>
          </w14:textFill>
        </w:rPr>
        <w:t>其他物体</w:t>
      </w:r>
      <w:r>
        <w:rPr>
          <w:rFonts w:hint="eastAsia"/>
          <w:color w:val="0D0D0D" w:themeColor="text1" w:themeTint="F2"/>
          <w14:textFill>
            <w14:solidFill>
              <w14:schemeClr w14:val="tx1">
                <w14:lumMod w14:val="95000"/>
                <w14:lumOff w14:val="5000"/>
              </w14:schemeClr>
            </w14:solidFill>
          </w14:textFill>
        </w:rPr>
        <w:t>摩擦产生的静电。因此，与罐区安全设计密切相关的则是防止和减少物料输送产生的静电，其主要内容包括：</w:t>
      </w:r>
    </w:p>
    <w:p w14:paraId="721FA81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①控制物料流速：液体物料在管道中的流速越高，接近管壁处的速度梯度就越高，因而产生的静电量也越大。</w:t>
      </w:r>
    </w:p>
    <w:p w14:paraId="437F516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②控制进料方式：甲醇液体经管道进入储罐时应设防冲击</w:t>
      </w:r>
      <w:r>
        <w:rPr>
          <w:rFonts w:hint="eastAsia"/>
          <w:color w:val="0D0D0D" w:themeColor="text1" w:themeTint="F2"/>
          <w:lang w:eastAsia="zh-CN"/>
          <w14:textFill>
            <w14:solidFill>
              <w14:schemeClr w14:val="tx1">
                <w14:lumMod w14:val="95000"/>
                <w14:lumOff w14:val="5000"/>
              </w14:schemeClr>
            </w14:solidFill>
          </w14:textFill>
        </w:rPr>
        <w:t>挡板</w:t>
      </w:r>
      <w:r>
        <w:rPr>
          <w:rFonts w:hint="eastAsia"/>
          <w:color w:val="0D0D0D" w:themeColor="text1" w:themeTint="F2"/>
          <w14:textFill>
            <w14:solidFill>
              <w14:schemeClr w14:val="tx1">
                <w14:lumMod w14:val="95000"/>
                <w14:lumOff w14:val="5000"/>
              </w14:schemeClr>
            </w14:solidFill>
          </w14:textFill>
        </w:rPr>
        <w:t>。如甲醇从顶部进入储罐，进料管应伸至罐底部，距底不大于100mm，以减少静电产生。</w:t>
      </w:r>
    </w:p>
    <w:p w14:paraId="0662529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③防止水等杂质混入甲醇物料：由于不同物质间的相对运动要产生静电，因此，应尽力防止水等杂质进入物料系统。</w:t>
      </w:r>
    </w:p>
    <w:p w14:paraId="0507BFA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④管道、储罐等的接地与跨接：静电荷的产生并不危险，实际的危险在于电荷的积聚，一旦储备到足够的能量，就会放电产生火花将可燃气体引燃引爆。故为了加速静电荷的释放，甲醇罐区内的管道、储罐上的导电不连续处应采用金属导体跨接，并进行静电接地处理。</w:t>
      </w:r>
    </w:p>
    <w:p w14:paraId="15503E1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5）防止雷击：由于雷电在极短时间内放出巨大的能量，如果甲醇罐区内的易燃易爆区域遭受雷击，就易造成火灾、爆炸事故。为抑制和减少雷电的危害，应设置防雷装置，常见的有避雷针、避雷线、避雷网、避雷带、避雷器。针对甲醇罐区不同的储罐型式（如固定顶、浮顶），防雷设施的设置也各异。</w:t>
      </w:r>
    </w:p>
    <w:p w14:paraId="751D01E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6）消防设施：可燃气体报警及联动系统在甲醇罐区内存在大量的可燃液体甲醇，当其蒸气在空气中的浓度达到爆炸下限时（1.2%），遇火源就会着火甚至爆炸。因此，在易泄漏的部位（如法兰、阀门、机泵的密封点等）通常都设置固定式可燃气体检测报警器，以随时监测泄漏情况。当甲醇蒸气在空气中的浓度达其爆炸下限的2.0%～2.5%时，便发出声光信号报警，以提示尽快进行排险处理；当浓度达爆炸下限的40%～50%时，报警的同时，应与消防水泵、固定灭火系统、进入罐区的物料阀和通讯/广播等设施联动。</w:t>
      </w:r>
    </w:p>
    <w:p w14:paraId="2175A0BE">
      <w:pPr>
        <w:pStyle w:val="10"/>
      </w:pPr>
      <w:r>
        <w:rPr>
          <w:rFonts w:hint="eastAsia"/>
        </w:rPr>
        <w:t>生产区、储罐区泄漏风险防范措施</w:t>
      </w:r>
    </w:p>
    <w:p w14:paraId="39C35BC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生产工艺装置连接管道较多，且易老化，给环境造成较大的安全隐患，因此，建设单位应做好相关管件脱落泄漏物质环境风险防范措施，重点关注反应柱连接部以及反应柱造成的泄漏风险。除此以外容易出现泄漏的部位还有周转罐等临时贮存容器，也</w:t>
      </w:r>
      <w:r>
        <w:rPr>
          <w:rFonts w:hint="eastAsia"/>
          <w:color w:val="0D0D0D" w:themeColor="text1" w:themeTint="F2"/>
          <w:lang w:eastAsia="zh-CN"/>
          <w14:textFill>
            <w14:solidFill>
              <w14:schemeClr w14:val="tx1">
                <w14:lumMod w14:val="95000"/>
                <w14:lumOff w14:val="5000"/>
              </w14:schemeClr>
            </w14:solidFill>
          </w14:textFill>
        </w:rPr>
        <w:t>需</w:t>
      </w:r>
      <w:r>
        <w:rPr>
          <w:rFonts w:hint="eastAsia"/>
          <w:color w:val="0D0D0D" w:themeColor="text1" w:themeTint="F2"/>
          <w14:textFill>
            <w14:solidFill>
              <w14:schemeClr w14:val="tx1">
                <w14:lumMod w14:val="95000"/>
                <w14:lumOff w14:val="5000"/>
              </w14:schemeClr>
            </w14:solidFill>
          </w14:textFill>
        </w:rPr>
        <w:t>关注危险废物包装物的破裂造成污染物外泄。</w:t>
      </w:r>
    </w:p>
    <w:p w14:paraId="16A3CFE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相关泄漏环境风险措施如下：</w:t>
      </w:r>
    </w:p>
    <w:p w14:paraId="256CCEF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（1）工艺装置中使用的管件、容器等必须满足国家相关质量标准，且优先选用质量可靠，品牌较大的同类型产品；</w:t>
      </w:r>
    </w:p>
    <w:p w14:paraId="5A4D2DC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（2）管件和容器定期进行压力泄漏测试。</w:t>
      </w:r>
    </w:p>
    <w:p w14:paraId="5DE206C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（3）管件和容器根据使用情况及时更换，并做好备用件的库存，保证</w:t>
      </w:r>
      <w:r>
        <w:rPr>
          <w:rFonts w:hint="eastAsia"/>
          <w:color w:val="0D0D0D" w:themeColor="text1" w:themeTint="F2"/>
          <w:lang w:eastAsia="zh-CN"/>
          <w14:textFill>
            <w14:solidFill>
              <w14:schemeClr w14:val="tx1">
                <w14:lumMod w14:val="95000"/>
                <w14:lumOff w14:val="5000"/>
              </w14:schemeClr>
            </w14:solidFill>
          </w14:textFill>
        </w:rPr>
        <w:t>关键</w:t>
      </w:r>
      <w:r>
        <w:rPr>
          <w:rFonts w:hint="eastAsia"/>
          <w:color w:val="0D0D0D" w:themeColor="text1" w:themeTint="F2"/>
          <w14:textFill>
            <w14:solidFill>
              <w14:schemeClr w14:val="tx1">
                <w14:lumMod w14:val="95000"/>
                <w14:lumOff w14:val="5000"/>
              </w14:schemeClr>
            </w14:solidFill>
          </w14:textFill>
        </w:rPr>
        <w:t>装置一用一备。</w:t>
      </w:r>
    </w:p>
    <w:p w14:paraId="78BF949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（4）所有操作人员必须持证上岗，且必须经过公司三级培训方可上岗，且不得疲劳作业。</w:t>
      </w:r>
    </w:p>
    <w:p w14:paraId="2ECFFE3B">
      <w:pPr>
        <w:pStyle w:val="10"/>
      </w:pPr>
      <w:r>
        <w:rPr>
          <w:rFonts w:hint="eastAsia"/>
        </w:rPr>
        <w:t>事故废水防范措施</w:t>
      </w:r>
    </w:p>
    <w:p w14:paraId="75DDB210">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（1）</w:t>
      </w:r>
      <w:r>
        <w:rPr>
          <w:rFonts w:cs="Times New Roman"/>
          <w:color w:val="0D0D0D" w:themeColor="text1" w:themeTint="F2"/>
          <w:kern w:val="0"/>
          <w:szCs w:val="24"/>
          <w:u w:val="single"/>
          <w14:textFill>
            <w14:solidFill>
              <w14:schemeClr w14:val="tx1">
                <w14:lumMod w14:val="95000"/>
                <w14:lumOff w14:val="5000"/>
              </w14:schemeClr>
            </w14:solidFill>
          </w14:textFill>
        </w:rPr>
        <w:t>事故水收集及防范系统</w:t>
      </w:r>
    </w:p>
    <w:p w14:paraId="039E0F67">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项目泄漏、火灾爆炸事故状况下产生的事故废水设有水体三级防控体系，确保事故状况时产生的事故废水能够进入水体三级防控体系，确保事故废水不流入周围地表水环境。</w:t>
      </w:r>
    </w:p>
    <w:p w14:paraId="1DA6F71F">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项目参照《中国石油天然气集团公司石油化工企业水污染应急防控技术指南（试行）》建立“环境污染三级防控体系”，即包括“单元—厂区—园区/区域”三级防控体系措施，杜绝环境风险事故造成事故水进入厂外环境。</w:t>
      </w:r>
    </w:p>
    <w:p w14:paraId="531DA7D6">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第一级防控措施是设置围堰，构筑生产过程中环境安全的第一层防控网，使泄漏物料切换到处理系统，防止污染雨水和轻微事故泄漏造成的环境污染。</w:t>
      </w:r>
    </w:p>
    <w:p w14:paraId="686D5B52">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项目第一级防控措施主要为：在罐区设置围堰。</w:t>
      </w:r>
    </w:p>
    <w:p w14:paraId="335E709D">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第二级防控措施是在产生剧毒或者污染严重污染物的装置或厂区设置事故缓冲池，切断污染物与外部的通道、导入污水处理系统，将污染控制在厂内，防止较大生产事故泄漏物料和污染消防水造成的环境污染。在各装置界区内自设初期污染雨水池的基础上，全厂设置一座有效容积为660m</w:t>
      </w:r>
      <w:r>
        <w:rPr>
          <w:rFonts w:hint="eastAsia" w:cs="Times New Roman"/>
          <w:color w:val="0D0D0D" w:themeColor="text1" w:themeTint="F2"/>
          <w:kern w:val="0"/>
          <w:szCs w:val="24"/>
          <w:u w:val="single"/>
          <w:vertAlign w:val="superscript"/>
          <w14:textFill>
            <w14:solidFill>
              <w14:schemeClr w14:val="tx1">
                <w14:lumMod w14:val="95000"/>
                <w14:lumOff w14:val="5000"/>
              </w14:schemeClr>
            </w14:solidFill>
          </w14:textFill>
        </w:rPr>
        <w:t>3</w:t>
      </w:r>
      <w:r>
        <w:rPr>
          <w:rFonts w:hint="eastAsia" w:cs="Times New Roman"/>
          <w:color w:val="0D0D0D" w:themeColor="text1" w:themeTint="F2"/>
          <w:kern w:val="0"/>
          <w:szCs w:val="24"/>
          <w:u w:val="single"/>
          <w14:textFill>
            <w14:solidFill>
              <w14:schemeClr w14:val="tx1">
                <w14:lumMod w14:val="95000"/>
                <w14:lumOff w14:val="5000"/>
              </w14:schemeClr>
            </w14:solidFill>
          </w14:textFill>
        </w:rPr>
        <w:t>的事故应急池，作为全厂消防事故和其他重大事故时污染排水的末端事故缓冲设施，将污染物控制在厂区范围内。消防事故水池位于厂区东侧，为全厂低点，事故废水可通过重力流排入事故应急池。</w:t>
      </w:r>
    </w:p>
    <w:p w14:paraId="0EA3BCA0">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发生消防事故时，有污染的各生产装置和辅助生产设施界区内消防排水、事故污水首先经装置区内雨水管线重力排入初期雨水池，初期雨水池储满后，事故水经溢流井排入雨水明沟，最终汇集到事故应急池。</w:t>
      </w:r>
    </w:p>
    <w:p w14:paraId="19418FC4">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消防事故结束后，事故应急池收集废水经厂区污水处理站处理达到钦州港胜科污水处理厂纳管标准后排入钦州港胜科污水处理厂处理。如果事故废水处理后仍然达不到标准要求，则事故废水应统一收集后交由有资质单位进行处置。</w:t>
      </w:r>
    </w:p>
    <w:p w14:paraId="27F62A0B">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项目生产废水、生活污水排入胜科污水处理厂处理。项目生产废水出厂界设置排污口，并设置监控设施。</w:t>
      </w:r>
    </w:p>
    <w:p w14:paraId="50559077">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第三级防控措施是在进入江、河、湖、海的总排放口前或污水处理厂终端建设终端事故缓冲池，作为事故状态下的储存与调控手段，将污染物控制在区内，防止重大事故泄漏物料和污染消防水造成的环境污染。本项目第三级防控措施为雨水排放口终端闸阀，为防止发生事故时，由于人为误操作未及时关闭雨水外排总阀，而导致事故</w:t>
      </w:r>
    </w:p>
    <w:p w14:paraId="77BC25B3">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废水进入园区雨水系统，平时应将雨水排放总阀门关闭。当发生消防事故时，打开事故应急池的切换阀，事故废水进入事故应急池储存。在项目各功能单元的雨水管网最终排放口处设置符合要求的消防废水收集系统，并安装切断设施和收集处置设施及废水输送设施，以备发生厂区发生火灾、爆炸事故时，开启截断阀，把混有有毒有害物质的消防废水引入事故应急池中，事后再通过废水管网将消防废水引到污水处理站进行处理，避免消防废水污染外界的水体环境。同时，事故应急池应处于空置状态，非事故情况不得占用。</w:t>
      </w:r>
    </w:p>
    <w:p w14:paraId="6337A7CD">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事故时打开事故池进水阀，事故池的事故水通过泵提升送至胜科污水处理厂处理。</w:t>
      </w:r>
    </w:p>
    <w:p w14:paraId="3F21912B">
      <w:pPr>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项目在雨水排出口设置雨水监控池，切断设施及与污水管网的导流设施，正常情况下雨水经监测后直接排入周边水体，事故时如事故污水进入雨水管道，则切断污染雨水进入周边水体的通道，并导流至污水管道输送至雨水监控池暂存，并分批送至胜科污水处理厂处理。</w:t>
      </w:r>
    </w:p>
    <w:p w14:paraId="05CAED99">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（2）事故应急池的设置</w:t>
      </w:r>
    </w:p>
    <w:p w14:paraId="5509CB4A">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参照《事故状态下水体污染的预防与控制技术要求》（</w:t>
      </w:r>
      <w:r>
        <w:rPr>
          <w:rFonts w:cs="Times New Roman"/>
          <w:color w:val="0D0D0D" w:themeColor="text1" w:themeTint="F2"/>
          <w:kern w:val="0"/>
          <w:szCs w:val="24"/>
          <w:u w:val="single"/>
          <w14:textFill>
            <w14:solidFill>
              <w14:schemeClr w14:val="tx1">
                <w14:lumMod w14:val="95000"/>
                <w14:lumOff w14:val="5000"/>
              </w14:schemeClr>
            </w14:solidFill>
          </w14:textFill>
        </w:rPr>
        <w:t>Q/SY1190-2013</w:t>
      </w:r>
      <w:r>
        <w:rPr>
          <w:rFonts w:hint="eastAsia" w:cs="Times New Roman"/>
          <w:color w:val="0D0D0D" w:themeColor="text1" w:themeTint="F2"/>
          <w:kern w:val="0"/>
          <w:szCs w:val="24"/>
          <w:u w:val="single"/>
          <w14:textFill>
            <w14:solidFill>
              <w14:schemeClr w14:val="tx1">
                <w14:lumMod w14:val="95000"/>
                <w14:lumOff w14:val="5000"/>
              </w14:schemeClr>
            </w14:solidFill>
          </w14:textFill>
        </w:rPr>
        <w:t>）和《化工建设项目环境保护设计规范》（GB50483-2019），项目事故应急池容积按下式计算：</w:t>
      </w:r>
    </w:p>
    <w:p w14:paraId="73C8C560">
      <w:pPr>
        <w:ind w:firstLine="480" w:firstLineChars="200"/>
        <w:jc w:val="center"/>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V</w:t>
      </w:r>
      <w:r>
        <w:rPr>
          <w:rFonts w:hint="eastAsia" w:cs="Times New Roman"/>
          <w:color w:val="0D0D0D" w:themeColor="text1" w:themeTint="F2"/>
          <w:kern w:val="0"/>
          <w:szCs w:val="24"/>
          <w:u w:val="single"/>
          <w:vertAlign w:val="subscript"/>
          <w14:textFill>
            <w14:solidFill>
              <w14:schemeClr w14:val="tx1">
                <w14:lumMod w14:val="95000"/>
                <w14:lumOff w14:val="5000"/>
              </w14:schemeClr>
            </w14:solidFill>
          </w14:textFill>
        </w:rPr>
        <w:t>总</w:t>
      </w:r>
      <w:r>
        <w:rPr>
          <w:rFonts w:hint="eastAsia" w:cs="Times New Roman"/>
          <w:color w:val="0D0D0D" w:themeColor="text1" w:themeTint="F2"/>
          <w:kern w:val="0"/>
          <w:szCs w:val="24"/>
          <w:u w:val="single"/>
          <w14:textFill>
            <w14:solidFill>
              <w14:schemeClr w14:val="tx1">
                <w14:lumMod w14:val="95000"/>
                <w14:lumOff w14:val="5000"/>
              </w14:schemeClr>
            </w14:solidFill>
          </w14:textFill>
        </w:rPr>
        <w:t>=（</w:t>
      </w:r>
      <w:r>
        <w:rPr>
          <w:rFonts w:cs="Times New Roman"/>
          <w:color w:val="0D0D0D" w:themeColor="text1" w:themeTint="F2"/>
          <w:kern w:val="0"/>
          <w:szCs w:val="24"/>
          <w:u w:val="single"/>
          <w14:textFill>
            <w14:solidFill>
              <w14:schemeClr w14:val="tx1">
                <w14:lumMod w14:val="95000"/>
                <w14:lumOff w14:val="5000"/>
              </w14:schemeClr>
            </w14:solidFill>
          </w14:textFill>
        </w:rPr>
        <w:t>V</w:t>
      </w:r>
      <w:r>
        <w:rPr>
          <w:rFonts w:cs="Times New Roman"/>
          <w:color w:val="0D0D0D" w:themeColor="text1" w:themeTint="F2"/>
          <w:kern w:val="0"/>
          <w:szCs w:val="24"/>
          <w:u w:val="single"/>
          <w:vertAlign w:val="subscript"/>
          <w14:textFill>
            <w14:solidFill>
              <w14:schemeClr w14:val="tx1">
                <w14:lumMod w14:val="95000"/>
                <w14:lumOff w14:val="5000"/>
              </w14:schemeClr>
            </w14:solidFill>
          </w14:textFill>
        </w:rPr>
        <w:t>1</w:t>
      </w:r>
      <w:r>
        <w:rPr>
          <w:rFonts w:cs="Times New Roman"/>
          <w:color w:val="0D0D0D" w:themeColor="text1" w:themeTint="F2"/>
          <w:kern w:val="0"/>
          <w:szCs w:val="24"/>
          <w:u w:val="single"/>
          <w14:textFill>
            <w14:solidFill>
              <w14:schemeClr w14:val="tx1">
                <w14:lumMod w14:val="95000"/>
                <w14:lumOff w14:val="5000"/>
              </w14:schemeClr>
            </w14:solidFill>
          </w14:textFill>
        </w:rPr>
        <w:t>+V</w:t>
      </w:r>
      <w:r>
        <w:rPr>
          <w:rFonts w:cs="Times New Roman"/>
          <w:color w:val="0D0D0D" w:themeColor="text1" w:themeTint="F2"/>
          <w:kern w:val="0"/>
          <w:szCs w:val="24"/>
          <w:u w:val="single"/>
          <w:vertAlign w:val="subscript"/>
          <w14:textFill>
            <w14:solidFill>
              <w14:schemeClr w14:val="tx1">
                <w14:lumMod w14:val="95000"/>
                <w14:lumOff w14:val="5000"/>
              </w14:schemeClr>
            </w14:solidFill>
          </w14:textFill>
        </w:rPr>
        <w:t>2</w:t>
      </w:r>
      <w:r>
        <w:rPr>
          <w:rFonts w:cs="Times New Roman"/>
          <w:color w:val="0D0D0D" w:themeColor="text1" w:themeTint="F2"/>
          <w:kern w:val="0"/>
          <w:szCs w:val="24"/>
          <w:u w:val="single"/>
          <w14:textFill>
            <w14:solidFill>
              <w14:schemeClr w14:val="tx1">
                <w14:lumMod w14:val="95000"/>
                <w14:lumOff w14:val="5000"/>
              </w14:schemeClr>
            </w14:solidFill>
          </w14:textFill>
        </w:rPr>
        <w:t>-V</w:t>
      </w:r>
      <w:r>
        <w:rPr>
          <w:rFonts w:cs="Times New Roman"/>
          <w:color w:val="0D0D0D" w:themeColor="text1" w:themeTint="F2"/>
          <w:kern w:val="0"/>
          <w:szCs w:val="24"/>
          <w:u w:val="single"/>
          <w:vertAlign w:val="subscript"/>
          <w14:textFill>
            <w14:solidFill>
              <w14:schemeClr w14:val="tx1">
                <w14:lumMod w14:val="95000"/>
                <w14:lumOff w14:val="5000"/>
              </w14:schemeClr>
            </w14:solidFill>
          </w14:textFill>
        </w:rPr>
        <w:t>3</w:t>
      </w:r>
      <w:r>
        <w:rPr>
          <w:rFonts w:hint="eastAsia" w:cs="Times New Roman"/>
          <w:color w:val="0D0D0D" w:themeColor="text1" w:themeTint="F2"/>
          <w:kern w:val="0"/>
          <w:szCs w:val="24"/>
          <w:u w:val="single"/>
          <w14:textFill>
            <w14:solidFill>
              <w14:schemeClr w14:val="tx1">
                <w14:lumMod w14:val="95000"/>
                <w14:lumOff w14:val="5000"/>
              </w14:schemeClr>
            </w14:solidFill>
          </w14:textFill>
        </w:rPr>
        <w:t>）max</w:t>
      </w:r>
      <w:r>
        <w:rPr>
          <w:rFonts w:cs="Times New Roman"/>
          <w:color w:val="0D0D0D" w:themeColor="text1" w:themeTint="F2"/>
          <w:kern w:val="0"/>
          <w:szCs w:val="24"/>
          <w:u w:val="single"/>
          <w14:textFill>
            <w14:solidFill>
              <w14:schemeClr w14:val="tx1">
                <w14:lumMod w14:val="95000"/>
                <w14:lumOff w14:val="5000"/>
              </w14:schemeClr>
            </w14:solidFill>
          </w14:textFill>
        </w:rPr>
        <w:t>+V</w:t>
      </w:r>
      <w:r>
        <w:rPr>
          <w:rFonts w:cs="Times New Roman"/>
          <w:color w:val="0D0D0D" w:themeColor="text1" w:themeTint="F2"/>
          <w:kern w:val="0"/>
          <w:szCs w:val="24"/>
          <w:u w:val="single"/>
          <w:vertAlign w:val="subscript"/>
          <w14:textFill>
            <w14:solidFill>
              <w14:schemeClr w14:val="tx1">
                <w14:lumMod w14:val="95000"/>
                <w14:lumOff w14:val="5000"/>
              </w14:schemeClr>
            </w14:solidFill>
          </w14:textFill>
        </w:rPr>
        <w:t>4</w:t>
      </w:r>
      <w:r>
        <w:rPr>
          <w:rFonts w:cs="Times New Roman"/>
          <w:color w:val="0D0D0D" w:themeColor="text1" w:themeTint="F2"/>
          <w:kern w:val="0"/>
          <w:szCs w:val="24"/>
          <w:u w:val="single"/>
          <w14:textFill>
            <w14:solidFill>
              <w14:schemeClr w14:val="tx1">
                <w14:lumMod w14:val="95000"/>
                <w14:lumOff w14:val="5000"/>
              </w14:schemeClr>
            </w14:solidFill>
          </w14:textFill>
        </w:rPr>
        <w:t>+V</w:t>
      </w:r>
      <w:r>
        <w:rPr>
          <w:rFonts w:cs="Times New Roman"/>
          <w:color w:val="0D0D0D" w:themeColor="text1" w:themeTint="F2"/>
          <w:kern w:val="0"/>
          <w:szCs w:val="24"/>
          <w:u w:val="single"/>
          <w:vertAlign w:val="subscript"/>
          <w14:textFill>
            <w14:solidFill>
              <w14:schemeClr w14:val="tx1">
                <w14:lumMod w14:val="95000"/>
                <w14:lumOff w14:val="5000"/>
              </w14:schemeClr>
            </w14:solidFill>
          </w14:textFill>
        </w:rPr>
        <w:t>5</w:t>
      </w:r>
    </w:p>
    <w:p w14:paraId="7848D880">
      <w:pPr>
        <w:ind w:firstLine="480" w:firstLineChars="200"/>
        <w:jc w:val="center"/>
        <w:rPr>
          <w:rFonts w:cs="Times New Roman"/>
          <w:color w:val="0D0D0D" w:themeColor="text1" w:themeTint="F2"/>
          <w:kern w:val="0"/>
          <w:szCs w:val="24"/>
          <w:u w:val="single"/>
          <w14:textFill>
            <w14:solidFill>
              <w14:schemeClr w14:val="tx1">
                <w14:lumMod w14:val="95000"/>
                <w14:lumOff w14:val="5000"/>
              </w14:schemeClr>
            </w14:solidFill>
          </w14:textFill>
        </w:rPr>
      </w:pPr>
      <w:r>
        <w:rPr>
          <w:rFonts w:cs="Times New Roman"/>
          <w:color w:val="0D0D0D" w:themeColor="text1" w:themeTint="F2"/>
          <w:kern w:val="0"/>
          <w:szCs w:val="24"/>
          <w:u w:val="single"/>
          <w14:textFill>
            <w14:solidFill>
              <w14:schemeClr w14:val="tx1">
                <w14:lumMod w14:val="95000"/>
                <w14:lumOff w14:val="5000"/>
              </w14:schemeClr>
            </w14:solidFill>
          </w14:textFill>
        </w:rPr>
        <w:t>V</w:t>
      </w:r>
      <w:r>
        <w:rPr>
          <w:rFonts w:cs="Times New Roman"/>
          <w:color w:val="0D0D0D" w:themeColor="text1" w:themeTint="F2"/>
          <w:kern w:val="0"/>
          <w:szCs w:val="24"/>
          <w:u w:val="single"/>
          <w:vertAlign w:val="subscript"/>
          <w14:textFill>
            <w14:solidFill>
              <w14:schemeClr w14:val="tx1">
                <w14:lumMod w14:val="95000"/>
                <w14:lumOff w14:val="5000"/>
              </w14:schemeClr>
            </w14:solidFill>
          </w14:textFill>
        </w:rPr>
        <w:t>2</w:t>
      </w:r>
      <w:r>
        <w:rPr>
          <w:rFonts w:cs="Times New Roman"/>
          <w:color w:val="0D0D0D" w:themeColor="text1" w:themeTint="F2"/>
          <w:kern w:val="0"/>
          <w:szCs w:val="24"/>
          <w:u w:val="single"/>
          <w14:textFill>
            <w14:solidFill>
              <w14:schemeClr w14:val="tx1">
                <w14:lumMod w14:val="95000"/>
                <w14:lumOff w14:val="5000"/>
              </w14:schemeClr>
            </w14:solidFill>
          </w14:textFill>
        </w:rPr>
        <w:t>=</w:t>
      </w:r>
      <w:r>
        <w:rPr>
          <w:rFonts w:ascii="Cambria Math" w:hAnsi="Cambria Math" w:cs="Cambria Math"/>
          <w:color w:val="0D0D0D" w:themeColor="text1" w:themeTint="F2"/>
          <w:kern w:val="0"/>
          <w:szCs w:val="24"/>
          <w:u w:val="single"/>
          <w14:textFill>
            <w14:solidFill>
              <w14:schemeClr w14:val="tx1">
                <w14:lumMod w14:val="95000"/>
                <w14:lumOff w14:val="5000"/>
              </w14:schemeClr>
            </w14:solidFill>
          </w14:textFill>
        </w:rPr>
        <w:t>𝜮</w:t>
      </w:r>
      <w:r>
        <w:rPr>
          <w:rFonts w:cs="Times New Roman"/>
          <w:color w:val="0D0D0D" w:themeColor="text1" w:themeTint="F2"/>
          <w:kern w:val="0"/>
          <w:szCs w:val="24"/>
          <w:u w:val="single"/>
          <w14:textFill>
            <w14:solidFill>
              <w14:schemeClr w14:val="tx1">
                <w14:lumMod w14:val="95000"/>
                <w14:lumOff w14:val="5000"/>
              </w14:schemeClr>
            </w14:solidFill>
          </w14:textFill>
        </w:rPr>
        <w:t>Q</w:t>
      </w:r>
      <w:r>
        <w:rPr>
          <w:rFonts w:cs="Times New Roman"/>
          <w:color w:val="0D0D0D" w:themeColor="text1" w:themeTint="F2"/>
          <w:kern w:val="0"/>
          <w:szCs w:val="24"/>
          <w:u w:val="single"/>
          <w:vertAlign w:val="subscript"/>
          <w14:textFill>
            <w14:solidFill>
              <w14:schemeClr w14:val="tx1">
                <w14:lumMod w14:val="95000"/>
                <w14:lumOff w14:val="5000"/>
              </w14:schemeClr>
            </w14:solidFill>
          </w14:textFill>
        </w:rPr>
        <w:t>消</w:t>
      </w:r>
      <w:r>
        <w:rPr>
          <w:rFonts w:cs="Times New Roman"/>
          <w:color w:val="0D0D0D" w:themeColor="text1" w:themeTint="F2"/>
          <w:kern w:val="0"/>
          <w:szCs w:val="24"/>
          <w:u w:val="single"/>
          <w14:textFill>
            <w14:solidFill>
              <w14:schemeClr w14:val="tx1">
                <w14:lumMod w14:val="95000"/>
                <w14:lumOff w14:val="5000"/>
              </w14:schemeClr>
            </w14:solidFill>
          </w14:textFill>
        </w:rPr>
        <w:t>×t</w:t>
      </w:r>
      <w:r>
        <w:rPr>
          <w:rFonts w:cs="Times New Roman"/>
          <w:color w:val="0D0D0D" w:themeColor="text1" w:themeTint="F2"/>
          <w:kern w:val="0"/>
          <w:szCs w:val="24"/>
          <w:u w:val="single"/>
          <w:vertAlign w:val="subscript"/>
          <w14:textFill>
            <w14:solidFill>
              <w14:schemeClr w14:val="tx1">
                <w14:lumMod w14:val="95000"/>
                <w14:lumOff w14:val="5000"/>
              </w14:schemeClr>
            </w14:solidFill>
          </w14:textFill>
        </w:rPr>
        <w:t>消</w:t>
      </w:r>
    </w:p>
    <w:p w14:paraId="44FAAA02">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式中：</w:t>
      </w:r>
    </w:p>
    <w:p w14:paraId="1DA6A49B">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w:t>
      </w:r>
      <w:r>
        <w:rPr>
          <w:rFonts w:cs="Times New Roman"/>
          <w:color w:val="0D0D0D" w:themeColor="text1" w:themeTint="F2"/>
          <w:kern w:val="0"/>
          <w:szCs w:val="24"/>
          <w:u w:val="single"/>
          <w14:textFill>
            <w14:solidFill>
              <w14:schemeClr w14:val="tx1">
                <w14:lumMod w14:val="95000"/>
                <w14:lumOff w14:val="5000"/>
              </w14:schemeClr>
            </w14:solidFill>
          </w14:textFill>
        </w:rPr>
        <w:t>V</w:t>
      </w:r>
      <w:r>
        <w:rPr>
          <w:rFonts w:cs="Times New Roman"/>
          <w:color w:val="0D0D0D" w:themeColor="text1" w:themeTint="F2"/>
          <w:kern w:val="0"/>
          <w:szCs w:val="24"/>
          <w:u w:val="single"/>
          <w:vertAlign w:val="subscript"/>
          <w14:textFill>
            <w14:solidFill>
              <w14:schemeClr w14:val="tx1">
                <w14:lumMod w14:val="95000"/>
                <w14:lumOff w14:val="5000"/>
              </w14:schemeClr>
            </w14:solidFill>
          </w14:textFill>
        </w:rPr>
        <w:t>1</w:t>
      </w:r>
      <w:r>
        <w:rPr>
          <w:rFonts w:cs="Times New Roman"/>
          <w:color w:val="0D0D0D" w:themeColor="text1" w:themeTint="F2"/>
          <w:kern w:val="0"/>
          <w:szCs w:val="24"/>
          <w:u w:val="single"/>
          <w14:textFill>
            <w14:solidFill>
              <w14:schemeClr w14:val="tx1">
                <w14:lumMod w14:val="95000"/>
                <w14:lumOff w14:val="5000"/>
              </w14:schemeClr>
            </w14:solidFill>
          </w14:textFill>
        </w:rPr>
        <w:t>+V</w:t>
      </w:r>
      <w:r>
        <w:rPr>
          <w:rFonts w:cs="Times New Roman"/>
          <w:color w:val="0D0D0D" w:themeColor="text1" w:themeTint="F2"/>
          <w:kern w:val="0"/>
          <w:szCs w:val="24"/>
          <w:u w:val="single"/>
          <w:vertAlign w:val="subscript"/>
          <w14:textFill>
            <w14:solidFill>
              <w14:schemeClr w14:val="tx1">
                <w14:lumMod w14:val="95000"/>
                <w14:lumOff w14:val="5000"/>
              </w14:schemeClr>
            </w14:solidFill>
          </w14:textFill>
        </w:rPr>
        <w:t>2</w:t>
      </w:r>
      <w:r>
        <w:rPr>
          <w:rFonts w:cs="Times New Roman"/>
          <w:color w:val="0D0D0D" w:themeColor="text1" w:themeTint="F2"/>
          <w:kern w:val="0"/>
          <w:szCs w:val="24"/>
          <w:u w:val="single"/>
          <w14:textFill>
            <w14:solidFill>
              <w14:schemeClr w14:val="tx1">
                <w14:lumMod w14:val="95000"/>
                <w14:lumOff w14:val="5000"/>
              </w14:schemeClr>
            </w14:solidFill>
          </w14:textFill>
        </w:rPr>
        <w:t>-V</w:t>
      </w:r>
      <w:r>
        <w:rPr>
          <w:rFonts w:cs="Times New Roman"/>
          <w:color w:val="0D0D0D" w:themeColor="text1" w:themeTint="F2"/>
          <w:kern w:val="0"/>
          <w:szCs w:val="24"/>
          <w:u w:val="single"/>
          <w:vertAlign w:val="subscript"/>
          <w14:textFill>
            <w14:solidFill>
              <w14:schemeClr w14:val="tx1">
                <w14:lumMod w14:val="95000"/>
                <w14:lumOff w14:val="5000"/>
              </w14:schemeClr>
            </w14:solidFill>
          </w14:textFill>
        </w:rPr>
        <w:t>3</w:t>
      </w:r>
      <w:r>
        <w:rPr>
          <w:rFonts w:hint="eastAsia" w:cs="Times New Roman"/>
          <w:color w:val="0D0D0D" w:themeColor="text1" w:themeTint="F2"/>
          <w:kern w:val="0"/>
          <w:szCs w:val="24"/>
          <w:u w:val="single"/>
          <w14:textFill>
            <w14:solidFill>
              <w14:schemeClr w14:val="tx1">
                <w14:lumMod w14:val="95000"/>
                <w14:lumOff w14:val="5000"/>
              </w14:schemeClr>
            </w14:solidFill>
          </w14:textFill>
        </w:rPr>
        <w:t>）max—指对收集系统范围内不同罐组或装置分别计算，取其中最大值。</w:t>
      </w:r>
    </w:p>
    <w:p w14:paraId="1D059CC3">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V</w:t>
      </w:r>
      <w:r>
        <w:rPr>
          <w:rFonts w:cs="Times New Roman"/>
          <w:color w:val="0D0D0D" w:themeColor="text1" w:themeTint="F2"/>
          <w:kern w:val="0"/>
          <w:szCs w:val="24"/>
          <w:u w:val="single"/>
          <w:vertAlign w:val="subscript"/>
          <w14:textFill>
            <w14:solidFill>
              <w14:schemeClr w14:val="tx1">
                <w14:lumMod w14:val="95000"/>
                <w14:lumOff w14:val="5000"/>
              </w14:schemeClr>
            </w14:solidFill>
          </w14:textFill>
        </w:rPr>
        <w:t>1</w:t>
      </w:r>
      <w:r>
        <w:rPr>
          <w:rFonts w:hint="eastAsia" w:cs="Times New Roman"/>
          <w:color w:val="0D0D0D" w:themeColor="text1" w:themeTint="F2"/>
          <w:kern w:val="0"/>
          <w:szCs w:val="24"/>
          <w:u w:val="single"/>
          <w14:textFill>
            <w14:solidFill>
              <w14:schemeClr w14:val="tx1">
                <w14:lumMod w14:val="95000"/>
                <w14:lumOff w14:val="5000"/>
              </w14:schemeClr>
            </w14:solidFill>
          </w14:textFill>
        </w:rPr>
        <w:t>—收集系统范围内发生事故的一个罐组或一套装置的物料量（储存相同物料的罐组按一个最大储罐计，装置物料量按存留最大物料量的一台反应器或中间储罐计），项目最大储罐为原料及主产品（生物柴油）储罐区的生物柴油/废弃油脂储罐，容积为</w:t>
      </w:r>
      <w:r>
        <w:rPr>
          <w:rFonts w:cs="Times New Roman"/>
          <w:color w:val="0D0D0D" w:themeColor="text1" w:themeTint="F2"/>
          <w:kern w:val="0"/>
          <w:szCs w:val="24"/>
          <w:u w:val="single"/>
          <w14:textFill>
            <w14:solidFill>
              <w14:schemeClr w14:val="tx1">
                <w14:lumMod w14:val="95000"/>
                <w14:lumOff w14:val="5000"/>
              </w14:schemeClr>
            </w14:solidFill>
          </w14:textFill>
        </w:rPr>
        <w:t>2</w:t>
      </w:r>
      <w:r>
        <w:rPr>
          <w:rFonts w:hint="eastAsia" w:cs="Times New Roman"/>
          <w:color w:val="0D0D0D" w:themeColor="text1" w:themeTint="F2"/>
          <w:kern w:val="0"/>
          <w:szCs w:val="24"/>
          <w:u w:val="single"/>
          <w14:textFill>
            <w14:solidFill>
              <w14:schemeClr w14:val="tx1">
                <w14:lumMod w14:val="95000"/>
                <w14:lumOff w14:val="5000"/>
              </w14:schemeClr>
            </w14:solidFill>
          </w14:textFill>
        </w:rPr>
        <w:t>8</w:t>
      </w:r>
      <w:r>
        <w:rPr>
          <w:rFonts w:cs="Times New Roman"/>
          <w:color w:val="0D0D0D" w:themeColor="text1" w:themeTint="F2"/>
          <w:kern w:val="0"/>
          <w:szCs w:val="24"/>
          <w:u w:val="single"/>
          <w14:textFill>
            <w14:solidFill>
              <w14:schemeClr w14:val="tx1">
                <w14:lumMod w14:val="95000"/>
                <w14:lumOff w14:val="5000"/>
              </w14:schemeClr>
            </w14:solidFill>
          </w14:textFill>
        </w:rPr>
        <w:t>00m</w:t>
      </w:r>
      <w:r>
        <w:rPr>
          <w:rFonts w:cs="Times New Roman"/>
          <w:color w:val="0D0D0D" w:themeColor="text1" w:themeTint="F2"/>
          <w:kern w:val="0"/>
          <w:szCs w:val="24"/>
          <w:u w:val="single"/>
          <w:vertAlign w:val="superscript"/>
          <w14:textFill>
            <w14:solidFill>
              <w14:schemeClr w14:val="tx1">
                <w14:lumMod w14:val="95000"/>
                <w14:lumOff w14:val="5000"/>
              </w14:schemeClr>
            </w14:solidFill>
          </w14:textFill>
        </w:rPr>
        <w:t>3</w:t>
      </w:r>
      <w:r>
        <w:rPr>
          <w:rFonts w:hint="eastAsia" w:cs="Times New Roman"/>
          <w:color w:val="0D0D0D" w:themeColor="text1" w:themeTint="F2"/>
          <w:kern w:val="0"/>
          <w:szCs w:val="24"/>
          <w:u w:val="single"/>
          <w14:textFill>
            <w14:solidFill>
              <w14:schemeClr w14:val="tx1">
                <w14:lumMod w14:val="95000"/>
                <w14:lumOff w14:val="5000"/>
              </w14:schemeClr>
            </w14:solidFill>
          </w14:textFill>
        </w:rPr>
        <w:t>，</w:t>
      </w:r>
      <w:r>
        <w:rPr>
          <w:rFonts w:cs="Times New Roman"/>
          <w:color w:val="0D0D0D" w:themeColor="text1" w:themeTint="F2"/>
          <w:kern w:val="0"/>
          <w:szCs w:val="24"/>
          <w:u w:val="single"/>
          <w14:textFill>
            <w14:solidFill>
              <w14:schemeClr w14:val="tx1">
                <w14:lumMod w14:val="95000"/>
                <w14:lumOff w14:val="5000"/>
              </w14:schemeClr>
            </w14:solidFill>
          </w14:textFill>
        </w:rPr>
        <w:t>故V</w:t>
      </w:r>
      <w:r>
        <w:rPr>
          <w:rFonts w:cs="Times New Roman"/>
          <w:color w:val="0D0D0D" w:themeColor="text1" w:themeTint="F2"/>
          <w:kern w:val="0"/>
          <w:szCs w:val="24"/>
          <w:u w:val="single"/>
          <w:vertAlign w:val="subscript"/>
          <w14:textFill>
            <w14:solidFill>
              <w14:schemeClr w14:val="tx1">
                <w14:lumMod w14:val="95000"/>
                <w14:lumOff w14:val="5000"/>
              </w14:schemeClr>
            </w14:solidFill>
          </w14:textFill>
        </w:rPr>
        <w:t>1</w:t>
      </w:r>
      <w:r>
        <w:rPr>
          <w:rFonts w:hint="eastAsia" w:cs="Times New Roman"/>
          <w:color w:val="0D0D0D" w:themeColor="text1" w:themeTint="F2"/>
          <w:kern w:val="0"/>
          <w:szCs w:val="24"/>
          <w:u w:val="single"/>
          <w14:textFill>
            <w14:solidFill>
              <w14:schemeClr w14:val="tx1">
                <w14:lumMod w14:val="95000"/>
                <w14:lumOff w14:val="5000"/>
              </w14:schemeClr>
            </w14:solidFill>
          </w14:textFill>
        </w:rPr>
        <w:t>取</w:t>
      </w:r>
      <w:r>
        <w:rPr>
          <w:rFonts w:cs="Times New Roman"/>
          <w:color w:val="0D0D0D" w:themeColor="text1" w:themeTint="F2"/>
          <w:kern w:val="0"/>
          <w:szCs w:val="24"/>
          <w:u w:val="single"/>
          <w14:textFill>
            <w14:solidFill>
              <w14:schemeClr w14:val="tx1">
                <w14:lumMod w14:val="95000"/>
                <w14:lumOff w14:val="5000"/>
              </w14:schemeClr>
            </w14:solidFill>
          </w14:textFill>
        </w:rPr>
        <w:t>2</w:t>
      </w:r>
      <w:r>
        <w:rPr>
          <w:rFonts w:hint="eastAsia" w:cs="Times New Roman"/>
          <w:color w:val="0D0D0D" w:themeColor="text1" w:themeTint="F2"/>
          <w:kern w:val="0"/>
          <w:szCs w:val="24"/>
          <w:u w:val="single"/>
          <w14:textFill>
            <w14:solidFill>
              <w14:schemeClr w14:val="tx1">
                <w14:lumMod w14:val="95000"/>
                <w14:lumOff w14:val="5000"/>
              </w14:schemeClr>
            </w14:solidFill>
          </w14:textFill>
        </w:rPr>
        <w:t>8</w:t>
      </w:r>
      <w:r>
        <w:rPr>
          <w:rFonts w:cs="Times New Roman"/>
          <w:color w:val="0D0D0D" w:themeColor="text1" w:themeTint="F2"/>
          <w:kern w:val="0"/>
          <w:szCs w:val="24"/>
          <w:u w:val="single"/>
          <w14:textFill>
            <w14:solidFill>
              <w14:schemeClr w14:val="tx1">
                <w14:lumMod w14:val="95000"/>
                <w14:lumOff w14:val="5000"/>
              </w14:schemeClr>
            </w14:solidFill>
          </w14:textFill>
        </w:rPr>
        <w:t>00</w:t>
      </w:r>
      <w:r>
        <w:rPr>
          <w:rFonts w:hint="eastAsia" w:cs="Times New Roman"/>
          <w:color w:val="0D0D0D" w:themeColor="text1" w:themeTint="F2"/>
          <w:kern w:val="0"/>
          <w:szCs w:val="24"/>
          <w:u w:val="single"/>
          <w14:textFill>
            <w14:solidFill>
              <w14:schemeClr w14:val="tx1">
                <w14:lumMod w14:val="95000"/>
                <w14:lumOff w14:val="5000"/>
              </w14:schemeClr>
            </w14:solidFill>
          </w14:textFill>
        </w:rPr>
        <w:t>。</w:t>
      </w:r>
    </w:p>
    <w:p w14:paraId="7B5B9F21">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V</w:t>
      </w:r>
      <w:r>
        <w:rPr>
          <w:rFonts w:cs="Times New Roman"/>
          <w:color w:val="0D0D0D" w:themeColor="text1" w:themeTint="F2"/>
          <w:kern w:val="0"/>
          <w:szCs w:val="24"/>
          <w:u w:val="single"/>
          <w:vertAlign w:val="subscript"/>
          <w14:textFill>
            <w14:solidFill>
              <w14:schemeClr w14:val="tx1">
                <w14:lumMod w14:val="95000"/>
                <w14:lumOff w14:val="5000"/>
              </w14:schemeClr>
            </w14:solidFill>
          </w14:textFill>
        </w:rPr>
        <w:t>2</w:t>
      </w:r>
      <w:r>
        <w:rPr>
          <w:rFonts w:hint="eastAsia" w:cs="Times New Roman"/>
          <w:color w:val="0D0D0D" w:themeColor="text1" w:themeTint="F2"/>
          <w:kern w:val="0"/>
          <w:szCs w:val="24"/>
          <w:u w:val="single"/>
          <w14:textFill>
            <w14:solidFill>
              <w14:schemeClr w14:val="tx1">
                <w14:lumMod w14:val="95000"/>
                <w14:lumOff w14:val="5000"/>
              </w14:schemeClr>
            </w14:solidFill>
          </w14:textFill>
        </w:rPr>
        <w:t>—发生事故的储罐或装置的消防水量，</w:t>
      </w:r>
      <w:r>
        <w:rPr>
          <w:rFonts w:cs="Times New Roman"/>
          <w:color w:val="0D0D0D" w:themeColor="text1" w:themeTint="F2"/>
          <w:kern w:val="0"/>
          <w:szCs w:val="24"/>
          <w:u w:val="single"/>
          <w14:textFill>
            <w14:solidFill>
              <w14:schemeClr w14:val="tx1">
                <w14:lumMod w14:val="95000"/>
                <w14:lumOff w14:val="5000"/>
              </w14:schemeClr>
            </w14:solidFill>
          </w14:textFill>
        </w:rPr>
        <w:t>m</w:t>
      </w:r>
      <w:r>
        <w:rPr>
          <w:rFonts w:cs="Times New Roman"/>
          <w:color w:val="0D0D0D" w:themeColor="text1" w:themeTint="F2"/>
          <w:kern w:val="0"/>
          <w:szCs w:val="24"/>
          <w:u w:val="single"/>
          <w:vertAlign w:val="superscript"/>
          <w14:textFill>
            <w14:solidFill>
              <w14:schemeClr w14:val="tx1">
                <w14:lumMod w14:val="95000"/>
                <w14:lumOff w14:val="5000"/>
              </w14:schemeClr>
            </w14:solidFill>
          </w14:textFill>
        </w:rPr>
        <w:t>3</w:t>
      </w:r>
      <w:r>
        <w:rPr>
          <w:rFonts w:cs="Times New Roman"/>
          <w:color w:val="0D0D0D" w:themeColor="text1" w:themeTint="F2"/>
          <w:kern w:val="0"/>
          <w:szCs w:val="24"/>
          <w:u w:val="single"/>
          <w14:textFill>
            <w14:solidFill>
              <w14:schemeClr w14:val="tx1">
                <w14:lumMod w14:val="95000"/>
                <w14:lumOff w14:val="5000"/>
              </w14:schemeClr>
            </w14:solidFill>
          </w14:textFill>
        </w:rPr>
        <w:t>；</w:t>
      </w:r>
    </w:p>
    <w:p w14:paraId="5D4364F8">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cs="Times New Roman"/>
          <w:color w:val="0D0D0D" w:themeColor="text1" w:themeTint="F2"/>
          <w:kern w:val="0"/>
          <w:szCs w:val="24"/>
          <w:u w:val="single"/>
          <w14:textFill>
            <w14:solidFill>
              <w14:schemeClr w14:val="tx1">
                <w14:lumMod w14:val="95000"/>
                <w14:lumOff w14:val="5000"/>
              </w14:schemeClr>
            </w14:solidFill>
          </w14:textFill>
        </w:rPr>
        <w:t>Q</w:t>
      </w:r>
      <w:r>
        <w:rPr>
          <w:rFonts w:hint="eastAsia" w:cs="Times New Roman"/>
          <w:color w:val="0D0D0D" w:themeColor="text1" w:themeTint="F2"/>
          <w:kern w:val="0"/>
          <w:szCs w:val="24"/>
          <w:u w:val="single"/>
          <w:vertAlign w:val="subscript"/>
          <w14:textFill>
            <w14:solidFill>
              <w14:schemeClr w14:val="tx1">
                <w14:lumMod w14:val="95000"/>
                <w14:lumOff w14:val="5000"/>
              </w14:schemeClr>
            </w14:solidFill>
          </w14:textFill>
        </w:rPr>
        <w:t>消</w:t>
      </w:r>
      <w:r>
        <w:rPr>
          <w:rFonts w:hint="eastAsia" w:cs="Times New Roman"/>
          <w:color w:val="0D0D0D" w:themeColor="text1" w:themeTint="F2"/>
          <w:kern w:val="0"/>
          <w:szCs w:val="24"/>
          <w:u w:val="single"/>
          <w14:textFill>
            <w14:solidFill>
              <w14:schemeClr w14:val="tx1">
                <w14:lumMod w14:val="95000"/>
                <w14:lumOff w14:val="5000"/>
              </w14:schemeClr>
            </w14:solidFill>
          </w14:textFill>
        </w:rPr>
        <w:t>—发生事故的储罐或装置的同时使用的消防设施给水流量，</w:t>
      </w:r>
      <w:r>
        <w:rPr>
          <w:rFonts w:cs="Times New Roman"/>
          <w:color w:val="0D0D0D" w:themeColor="text1" w:themeTint="F2"/>
          <w:kern w:val="0"/>
          <w:szCs w:val="24"/>
          <w:u w:val="single"/>
          <w14:textFill>
            <w14:solidFill>
              <w14:schemeClr w14:val="tx1">
                <w14:lumMod w14:val="95000"/>
                <w14:lumOff w14:val="5000"/>
              </w14:schemeClr>
            </w14:solidFill>
          </w14:textFill>
        </w:rPr>
        <w:t>m</w:t>
      </w:r>
      <w:r>
        <w:rPr>
          <w:rFonts w:cs="Times New Roman"/>
          <w:color w:val="0D0D0D" w:themeColor="text1" w:themeTint="F2"/>
          <w:kern w:val="0"/>
          <w:szCs w:val="24"/>
          <w:u w:val="single"/>
          <w:vertAlign w:val="superscript"/>
          <w14:textFill>
            <w14:solidFill>
              <w14:schemeClr w14:val="tx1">
                <w14:lumMod w14:val="95000"/>
                <w14:lumOff w14:val="5000"/>
              </w14:schemeClr>
            </w14:solidFill>
          </w14:textFill>
        </w:rPr>
        <w:t>3</w:t>
      </w:r>
      <w:r>
        <w:rPr>
          <w:rFonts w:cs="Times New Roman"/>
          <w:color w:val="0D0D0D" w:themeColor="text1" w:themeTint="F2"/>
          <w:kern w:val="0"/>
          <w:szCs w:val="24"/>
          <w:u w:val="single"/>
          <w14:textFill>
            <w14:solidFill>
              <w14:schemeClr w14:val="tx1">
                <w14:lumMod w14:val="95000"/>
                <w14:lumOff w14:val="5000"/>
              </w14:schemeClr>
            </w14:solidFill>
          </w14:textFill>
        </w:rPr>
        <w:t>/h；</w:t>
      </w:r>
    </w:p>
    <w:p w14:paraId="7D855A7A">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cs="Times New Roman"/>
          <w:color w:val="0D0D0D" w:themeColor="text1" w:themeTint="F2"/>
          <w:kern w:val="0"/>
          <w:szCs w:val="24"/>
          <w:u w:val="single"/>
          <w14:textFill>
            <w14:solidFill>
              <w14:schemeClr w14:val="tx1">
                <w14:lumMod w14:val="95000"/>
                <w14:lumOff w14:val="5000"/>
              </w14:schemeClr>
            </w14:solidFill>
          </w14:textFill>
        </w:rPr>
        <w:t>t</w:t>
      </w:r>
      <w:r>
        <w:rPr>
          <w:rFonts w:cs="Times New Roman"/>
          <w:color w:val="0D0D0D" w:themeColor="text1" w:themeTint="F2"/>
          <w:kern w:val="0"/>
          <w:szCs w:val="24"/>
          <w:u w:val="single"/>
          <w:vertAlign w:val="subscript"/>
          <w14:textFill>
            <w14:solidFill>
              <w14:schemeClr w14:val="tx1">
                <w14:lumMod w14:val="95000"/>
                <w14:lumOff w14:val="5000"/>
              </w14:schemeClr>
            </w14:solidFill>
          </w14:textFill>
        </w:rPr>
        <w:t>消</w:t>
      </w:r>
      <w:r>
        <w:rPr>
          <w:rFonts w:cs="Times New Roman"/>
          <w:color w:val="0D0D0D" w:themeColor="text1" w:themeTint="F2"/>
          <w:kern w:val="0"/>
          <w:szCs w:val="24"/>
          <w:u w:val="single"/>
          <w14:textFill>
            <w14:solidFill>
              <w14:schemeClr w14:val="tx1">
                <w14:lumMod w14:val="95000"/>
                <w14:lumOff w14:val="5000"/>
              </w14:schemeClr>
            </w14:solidFill>
          </w14:textFill>
        </w:rPr>
        <w:t>—消防设施对应的设计消防历时，h；</w:t>
      </w:r>
    </w:p>
    <w:p w14:paraId="13BD3914">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罐区最大储罐为生物柴油/废弃油脂储罐，为直径17m、高13.22m的固定顶罐。参照《石油化工企业设计防火标准》（GB50160-2008）（2018年版），单个储罐供水范围为罐壁表面积：2×3.14×8.5×13.22=705.68m</w:t>
      </w:r>
      <w:r>
        <w:rPr>
          <w:rFonts w:hint="eastAsia" w:cs="Times New Roman"/>
          <w:color w:val="0D0D0D" w:themeColor="text1" w:themeTint="F2"/>
          <w:kern w:val="0"/>
          <w:szCs w:val="24"/>
          <w:u w:val="single"/>
          <w:vertAlign w:val="superscript"/>
          <w14:textFill>
            <w14:solidFill>
              <w14:schemeClr w14:val="tx1">
                <w14:lumMod w14:val="95000"/>
                <w14:lumOff w14:val="5000"/>
              </w14:schemeClr>
            </w14:solidFill>
          </w14:textFill>
        </w:rPr>
        <w:t>2</w:t>
      </w:r>
      <w:r>
        <w:rPr>
          <w:rFonts w:hint="eastAsia" w:cs="Times New Roman"/>
          <w:color w:val="0D0D0D" w:themeColor="text1" w:themeTint="F2"/>
          <w:kern w:val="0"/>
          <w:szCs w:val="24"/>
          <w:u w:val="single"/>
          <w14:textFill>
            <w14:solidFill>
              <w14:schemeClr w14:val="tx1">
                <w14:lumMod w14:val="95000"/>
                <w14:lumOff w14:val="5000"/>
              </w14:schemeClr>
            </w14:solidFill>
          </w14:textFill>
        </w:rPr>
        <w:t>，供水强度2.5L/min·m</w:t>
      </w:r>
      <w:r>
        <w:rPr>
          <w:rFonts w:hint="eastAsia" w:cs="Times New Roman"/>
          <w:color w:val="0D0D0D" w:themeColor="text1" w:themeTint="F2"/>
          <w:kern w:val="0"/>
          <w:szCs w:val="24"/>
          <w:u w:val="single"/>
          <w:vertAlign w:val="superscript"/>
          <w14:textFill>
            <w14:solidFill>
              <w14:schemeClr w14:val="tx1">
                <w14:lumMod w14:val="95000"/>
                <w14:lumOff w14:val="5000"/>
              </w14:schemeClr>
            </w14:solidFill>
          </w14:textFill>
        </w:rPr>
        <w:t>2</w:t>
      </w:r>
      <w:r>
        <w:rPr>
          <w:rFonts w:hint="eastAsia" w:cs="Times New Roman"/>
          <w:color w:val="0D0D0D" w:themeColor="text1" w:themeTint="F2"/>
          <w:kern w:val="0"/>
          <w:szCs w:val="24"/>
          <w:u w:val="single"/>
          <w14:textFill>
            <w14:solidFill>
              <w14:schemeClr w14:val="tx1">
                <w14:lumMod w14:val="95000"/>
                <w14:lumOff w14:val="5000"/>
              </w14:schemeClr>
            </w14:solidFill>
          </w14:textFill>
        </w:rPr>
        <w:t>，邻近立式储罐超过3个，冷却水量可按3个罐的消防用水量计算；生物柴油为易燃液体，其储罐为直径17m的固定顶罐，消防冷却用水的延续时间为4h。因此，V2=705.68×2.5×3×60×4/1000=1270.22m</w:t>
      </w:r>
      <w:r>
        <w:rPr>
          <w:rFonts w:hint="eastAsia" w:cs="Times New Roman"/>
          <w:color w:val="0D0D0D" w:themeColor="text1" w:themeTint="F2"/>
          <w:kern w:val="0"/>
          <w:szCs w:val="24"/>
          <w:u w:val="single"/>
          <w:vertAlign w:val="superscript"/>
          <w14:textFill>
            <w14:solidFill>
              <w14:schemeClr w14:val="tx1">
                <w14:lumMod w14:val="95000"/>
                <w14:lumOff w14:val="5000"/>
              </w14:schemeClr>
            </w14:solidFill>
          </w14:textFill>
        </w:rPr>
        <w:t>3</w:t>
      </w:r>
      <w:r>
        <w:rPr>
          <w:rFonts w:hint="eastAsia" w:cs="Times New Roman"/>
          <w:color w:val="0D0D0D" w:themeColor="text1" w:themeTint="F2"/>
          <w:kern w:val="0"/>
          <w:szCs w:val="24"/>
          <w:u w:val="single"/>
          <w14:textFill>
            <w14:solidFill>
              <w14:schemeClr w14:val="tx1">
                <w14:lumMod w14:val="95000"/>
                <w14:lumOff w14:val="5000"/>
              </w14:schemeClr>
            </w14:solidFill>
          </w14:textFill>
        </w:rPr>
        <w:t>。</w:t>
      </w:r>
    </w:p>
    <w:p w14:paraId="04F4C155">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V</w:t>
      </w:r>
      <w:r>
        <w:rPr>
          <w:rFonts w:cs="Times New Roman"/>
          <w:color w:val="0D0D0D" w:themeColor="text1" w:themeTint="F2"/>
          <w:kern w:val="0"/>
          <w:szCs w:val="24"/>
          <w:u w:val="single"/>
          <w:vertAlign w:val="subscript"/>
          <w14:textFill>
            <w14:solidFill>
              <w14:schemeClr w14:val="tx1">
                <w14:lumMod w14:val="95000"/>
                <w14:lumOff w14:val="5000"/>
              </w14:schemeClr>
            </w14:solidFill>
          </w14:textFill>
        </w:rPr>
        <w:t>3</w:t>
      </w:r>
      <w:r>
        <w:rPr>
          <w:rFonts w:hint="eastAsia" w:cs="Times New Roman"/>
          <w:color w:val="0D0D0D" w:themeColor="text1" w:themeTint="F2"/>
          <w:kern w:val="0"/>
          <w:szCs w:val="24"/>
          <w:u w:val="single"/>
          <w14:textFill>
            <w14:solidFill>
              <w14:schemeClr w14:val="tx1">
                <w14:lumMod w14:val="95000"/>
                <w14:lumOff w14:val="5000"/>
              </w14:schemeClr>
            </w14:solidFill>
          </w14:textFill>
        </w:rPr>
        <w:t>—发生事故时可以转输到其他储存或处理设施的物料量，</w:t>
      </w:r>
      <w:r>
        <w:rPr>
          <w:rFonts w:cs="Times New Roman"/>
          <w:color w:val="0D0D0D" w:themeColor="text1" w:themeTint="F2"/>
          <w:kern w:val="0"/>
          <w:szCs w:val="24"/>
          <w:u w:val="single"/>
          <w14:textFill>
            <w14:solidFill>
              <w14:schemeClr w14:val="tx1">
                <w14:lumMod w14:val="95000"/>
                <w14:lumOff w14:val="5000"/>
              </w14:schemeClr>
            </w14:solidFill>
          </w14:textFill>
        </w:rPr>
        <w:t>m</w:t>
      </w:r>
      <w:r>
        <w:rPr>
          <w:rFonts w:cs="Times New Roman"/>
          <w:color w:val="0D0D0D" w:themeColor="text1" w:themeTint="F2"/>
          <w:kern w:val="0"/>
          <w:szCs w:val="24"/>
          <w:u w:val="single"/>
          <w:vertAlign w:val="superscript"/>
          <w14:textFill>
            <w14:solidFill>
              <w14:schemeClr w14:val="tx1">
                <w14:lumMod w14:val="95000"/>
                <w14:lumOff w14:val="5000"/>
              </w14:schemeClr>
            </w14:solidFill>
          </w14:textFill>
        </w:rPr>
        <w:t>3</w:t>
      </w:r>
      <w:r>
        <w:rPr>
          <w:rFonts w:cs="Times New Roman"/>
          <w:color w:val="0D0D0D" w:themeColor="text1" w:themeTint="F2"/>
          <w:kern w:val="0"/>
          <w:szCs w:val="24"/>
          <w:u w:val="single"/>
          <w14:textFill>
            <w14:solidFill>
              <w14:schemeClr w14:val="tx1">
                <w14:lumMod w14:val="95000"/>
                <w14:lumOff w14:val="5000"/>
              </w14:schemeClr>
            </w14:solidFill>
          </w14:textFill>
        </w:rPr>
        <w:t>，项目</w:t>
      </w:r>
      <w:r>
        <w:rPr>
          <w:rFonts w:hint="eastAsia" w:cs="Times New Roman"/>
          <w:color w:val="0D0D0D" w:themeColor="text1" w:themeTint="F2"/>
          <w:kern w:val="0"/>
          <w:szCs w:val="24"/>
          <w:u w:val="single"/>
          <w14:textFill>
            <w14:solidFill>
              <w14:schemeClr w14:val="tx1">
                <w14:lumMod w14:val="95000"/>
                <w14:lumOff w14:val="5000"/>
              </w14:schemeClr>
            </w14:solidFill>
          </w14:textFill>
        </w:rPr>
        <w:t>废弃油脂和生物柴油罐区占地4063.7m</w:t>
      </w:r>
      <w:r>
        <w:rPr>
          <w:rFonts w:hint="eastAsia" w:cs="Times New Roman"/>
          <w:color w:val="0D0D0D" w:themeColor="text1" w:themeTint="F2"/>
          <w:kern w:val="0"/>
          <w:szCs w:val="24"/>
          <w:u w:val="single"/>
          <w:vertAlign w:val="superscript"/>
          <w14:textFill>
            <w14:solidFill>
              <w14:schemeClr w14:val="tx1">
                <w14:lumMod w14:val="95000"/>
                <w14:lumOff w14:val="5000"/>
              </w14:schemeClr>
            </w14:solidFill>
          </w14:textFill>
        </w:rPr>
        <w:t>2</w:t>
      </w:r>
      <w:r>
        <w:rPr>
          <w:rFonts w:hint="eastAsia" w:cs="Times New Roman"/>
          <w:color w:val="0D0D0D" w:themeColor="text1" w:themeTint="F2"/>
          <w:kern w:val="0"/>
          <w:szCs w:val="24"/>
          <w:u w:val="single"/>
          <w14:textFill>
            <w14:solidFill>
              <w14:schemeClr w14:val="tx1">
                <w14:lumMod w14:val="95000"/>
                <w14:lumOff w14:val="5000"/>
              </w14:schemeClr>
            </w14:solidFill>
          </w14:textFill>
        </w:rPr>
        <w:t>，储罐占地1361.19m</w:t>
      </w:r>
      <w:r>
        <w:rPr>
          <w:rFonts w:hint="eastAsia" w:cs="Times New Roman"/>
          <w:color w:val="0D0D0D" w:themeColor="text1" w:themeTint="F2"/>
          <w:kern w:val="0"/>
          <w:szCs w:val="24"/>
          <w:u w:val="single"/>
          <w:vertAlign w:val="superscript"/>
          <w14:textFill>
            <w14:solidFill>
              <w14:schemeClr w14:val="tx1">
                <w14:lumMod w14:val="95000"/>
                <w14:lumOff w14:val="5000"/>
              </w14:schemeClr>
            </w14:solidFill>
          </w14:textFill>
        </w:rPr>
        <w:t>2</w:t>
      </w:r>
      <w:r>
        <w:rPr>
          <w:rFonts w:hint="eastAsia" w:cs="Times New Roman"/>
          <w:color w:val="0D0D0D" w:themeColor="text1" w:themeTint="F2"/>
          <w:kern w:val="0"/>
          <w:szCs w:val="24"/>
          <w:u w:val="single"/>
          <w14:textFill>
            <w14:solidFill>
              <w14:schemeClr w14:val="tx1">
                <w14:lumMod w14:val="95000"/>
                <w14:lumOff w14:val="5000"/>
              </w14:schemeClr>
            </w14:solidFill>
          </w14:textFill>
        </w:rPr>
        <w:t>，设置1.7m围堰，围堰容积约4594.267</w:t>
      </w:r>
      <w:r>
        <w:rPr>
          <w:rFonts w:cs="Times New Roman"/>
          <w:color w:val="0D0D0D" w:themeColor="text1" w:themeTint="F2"/>
          <w:kern w:val="0"/>
          <w:szCs w:val="24"/>
          <w:u w:val="single"/>
          <w14:textFill>
            <w14:solidFill>
              <w14:schemeClr w14:val="tx1">
                <w14:lumMod w14:val="95000"/>
                <w14:lumOff w14:val="5000"/>
              </w14:schemeClr>
            </w14:solidFill>
          </w14:textFill>
        </w:rPr>
        <w:t>m</w:t>
      </w:r>
      <w:r>
        <w:rPr>
          <w:rFonts w:cs="Times New Roman"/>
          <w:color w:val="0D0D0D" w:themeColor="text1" w:themeTint="F2"/>
          <w:kern w:val="0"/>
          <w:szCs w:val="24"/>
          <w:u w:val="single"/>
          <w:vertAlign w:val="superscript"/>
          <w14:textFill>
            <w14:solidFill>
              <w14:schemeClr w14:val="tx1">
                <w14:lumMod w14:val="95000"/>
                <w14:lumOff w14:val="5000"/>
              </w14:schemeClr>
            </w14:solidFill>
          </w14:textFill>
        </w:rPr>
        <w:t>3</w:t>
      </w:r>
      <w:r>
        <w:rPr>
          <w:rFonts w:cs="Times New Roman"/>
          <w:color w:val="0D0D0D" w:themeColor="text1" w:themeTint="F2"/>
          <w:kern w:val="0"/>
          <w:szCs w:val="24"/>
          <w:u w:val="single"/>
          <w14:textFill>
            <w14:solidFill>
              <w14:schemeClr w14:val="tx1">
                <w14:lumMod w14:val="95000"/>
                <w14:lumOff w14:val="5000"/>
              </w14:schemeClr>
            </w14:solidFill>
          </w14:textFill>
        </w:rPr>
        <w:t>，故V</w:t>
      </w:r>
      <w:r>
        <w:rPr>
          <w:rFonts w:cs="Times New Roman"/>
          <w:color w:val="0D0D0D" w:themeColor="text1" w:themeTint="F2"/>
          <w:kern w:val="0"/>
          <w:szCs w:val="24"/>
          <w:u w:val="single"/>
          <w:vertAlign w:val="subscript"/>
          <w14:textFill>
            <w14:solidFill>
              <w14:schemeClr w14:val="tx1">
                <w14:lumMod w14:val="95000"/>
                <w14:lumOff w14:val="5000"/>
              </w14:schemeClr>
            </w14:solidFill>
          </w14:textFill>
        </w:rPr>
        <w:t>3</w:t>
      </w:r>
      <w:r>
        <w:rPr>
          <w:rFonts w:cs="Times New Roman"/>
          <w:color w:val="0D0D0D" w:themeColor="text1" w:themeTint="F2"/>
          <w:kern w:val="0"/>
          <w:szCs w:val="24"/>
          <w:u w:val="single"/>
          <w14:textFill>
            <w14:solidFill>
              <w14:schemeClr w14:val="tx1">
                <w14:lumMod w14:val="95000"/>
                <w14:lumOff w14:val="5000"/>
              </w14:schemeClr>
            </w14:solidFill>
          </w14:textFill>
        </w:rPr>
        <w:t>取</w:t>
      </w:r>
      <w:r>
        <w:rPr>
          <w:rFonts w:hint="eastAsia" w:cs="Times New Roman"/>
          <w:color w:val="0D0D0D" w:themeColor="text1" w:themeTint="F2"/>
          <w:kern w:val="0"/>
          <w:szCs w:val="24"/>
          <w:u w:val="single"/>
          <w14:textFill>
            <w14:solidFill>
              <w14:schemeClr w14:val="tx1">
                <w14:lumMod w14:val="95000"/>
                <w14:lumOff w14:val="5000"/>
              </w14:schemeClr>
            </w14:solidFill>
          </w14:textFill>
        </w:rPr>
        <w:t>3783.51</w:t>
      </w:r>
      <w:r>
        <w:rPr>
          <w:rFonts w:cs="Times New Roman"/>
          <w:color w:val="0D0D0D" w:themeColor="text1" w:themeTint="F2"/>
          <w:kern w:val="0"/>
          <w:szCs w:val="24"/>
          <w:u w:val="single"/>
          <w14:textFill>
            <w14:solidFill>
              <w14:schemeClr w14:val="tx1">
                <w14:lumMod w14:val="95000"/>
                <w14:lumOff w14:val="5000"/>
              </w14:schemeClr>
            </w14:solidFill>
          </w14:textFill>
        </w:rPr>
        <w:t>。</w:t>
      </w:r>
    </w:p>
    <w:p w14:paraId="3CA99599">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V</w:t>
      </w:r>
      <w:r>
        <w:rPr>
          <w:rFonts w:cs="Times New Roman"/>
          <w:color w:val="0D0D0D" w:themeColor="text1" w:themeTint="F2"/>
          <w:kern w:val="0"/>
          <w:szCs w:val="24"/>
          <w:u w:val="single"/>
          <w:vertAlign w:val="subscript"/>
          <w14:textFill>
            <w14:solidFill>
              <w14:schemeClr w14:val="tx1">
                <w14:lumMod w14:val="95000"/>
                <w14:lumOff w14:val="5000"/>
              </w14:schemeClr>
            </w14:solidFill>
          </w14:textFill>
        </w:rPr>
        <w:t>4</w:t>
      </w:r>
      <w:r>
        <w:rPr>
          <w:rFonts w:hint="eastAsia" w:cs="Times New Roman"/>
          <w:color w:val="0D0D0D" w:themeColor="text1" w:themeTint="F2"/>
          <w:kern w:val="0"/>
          <w:szCs w:val="24"/>
          <w:u w:val="single"/>
          <w14:textFill>
            <w14:solidFill>
              <w14:schemeClr w14:val="tx1">
                <w14:lumMod w14:val="95000"/>
                <w14:lumOff w14:val="5000"/>
              </w14:schemeClr>
            </w14:solidFill>
          </w14:textFill>
        </w:rPr>
        <w:t>—发生事故时仍必须进入该收集系统的生产废水量，</w:t>
      </w:r>
      <w:r>
        <w:rPr>
          <w:rFonts w:cs="Times New Roman"/>
          <w:color w:val="0D0D0D" w:themeColor="text1" w:themeTint="F2"/>
          <w:kern w:val="0"/>
          <w:szCs w:val="24"/>
          <w:u w:val="single"/>
          <w14:textFill>
            <w14:solidFill>
              <w14:schemeClr w14:val="tx1">
                <w14:lumMod w14:val="95000"/>
                <w14:lumOff w14:val="5000"/>
              </w14:schemeClr>
            </w14:solidFill>
          </w14:textFill>
        </w:rPr>
        <w:t>m</w:t>
      </w:r>
      <w:r>
        <w:rPr>
          <w:rFonts w:cs="Times New Roman"/>
          <w:color w:val="0D0D0D" w:themeColor="text1" w:themeTint="F2"/>
          <w:kern w:val="0"/>
          <w:szCs w:val="24"/>
          <w:u w:val="single"/>
          <w:vertAlign w:val="superscript"/>
          <w14:textFill>
            <w14:solidFill>
              <w14:schemeClr w14:val="tx1">
                <w14:lumMod w14:val="95000"/>
                <w14:lumOff w14:val="5000"/>
              </w14:schemeClr>
            </w14:solidFill>
          </w14:textFill>
        </w:rPr>
        <w:t>3</w:t>
      </w:r>
      <w:r>
        <w:rPr>
          <w:rFonts w:cs="Times New Roman"/>
          <w:color w:val="0D0D0D" w:themeColor="text1" w:themeTint="F2"/>
          <w:kern w:val="0"/>
          <w:szCs w:val="24"/>
          <w:u w:val="single"/>
          <w14:textFill>
            <w14:solidFill>
              <w14:schemeClr w14:val="tx1">
                <w14:lumMod w14:val="95000"/>
                <w14:lumOff w14:val="5000"/>
              </w14:schemeClr>
            </w14:solidFill>
          </w14:textFill>
        </w:rPr>
        <w:t>，项目</w:t>
      </w:r>
      <w:r>
        <w:rPr>
          <w:rFonts w:hint="eastAsia" w:cs="Times New Roman"/>
          <w:color w:val="0D0D0D" w:themeColor="text1" w:themeTint="F2"/>
          <w:kern w:val="0"/>
          <w:szCs w:val="24"/>
          <w:u w:val="single"/>
          <w14:textFill>
            <w14:solidFill>
              <w14:schemeClr w14:val="tx1">
                <w14:lumMod w14:val="95000"/>
                <w14:lumOff w14:val="5000"/>
              </w14:schemeClr>
            </w14:solidFill>
          </w14:textFill>
        </w:rPr>
        <w:t>废水为单独系统，且</w:t>
      </w:r>
      <w:r>
        <w:rPr>
          <w:rFonts w:cs="Times New Roman"/>
          <w:color w:val="0D0D0D" w:themeColor="text1" w:themeTint="F2"/>
          <w:kern w:val="0"/>
          <w:szCs w:val="24"/>
          <w:u w:val="single"/>
          <w14:textFill>
            <w14:solidFill>
              <w14:schemeClr w14:val="tx1">
                <w14:lumMod w14:val="95000"/>
                <w14:lumOff w14:val="5000"/>
              </w14:schemeClr>
            </w14:solidFill>
          </w14:textFill>
        </w:rPr>
        <w:t>在事故时</w:t>
      </w:r>
      <w:r>
        <w:rPr>
          <w:rFonts w:hint="eastAsia" w:cs="Times New Roman"/>
          <w:color w:val="0D0D0D" w:themeColor="text1" w:themeTint="F2"/>
          <w:kern w:val="0"/>
          <w:szCs w:val="24"/>
          <w:u w:val="single"/>
          <w14:textFill>
            <w14:solidFill>
              <w14:schemeClr w14:val="tx1">
                <w14:lumMod w14:val="95000"/>
                <w14:lumOff w14:val="5000"/>
              </w14:schemeClr>
            </w14:solidFill>
          </w14:textFill>
        </w:rPr>
        <w:t>生产线停止生产，取0</w:t>
      </w:r>
      <w:r>
        <w:rPr>
          <w:rFonts w:cs="Times New Roman"/>
          <w:color w:val="0D0D0D" w:themeColor="text1" w:themeTint="F2"/>
          <w:kern w:val="0"/>
          <w:szCs w:val="24"/>
          <w:u w:val="single"/>
          <w14:textFill>
            <w14:solidFill>
              <w14:schemeClr w14:val="tx1">
                <w14:lumMod w14:val="95000"/>
                <w14:lumOff w14:val="5000"/>
              </w14:schemeClr>
            </w14:solidFill>
          </w14:textFill>
        </w:rPr>
        <w:t>。</w:t>
      </w:r>
    </w:p>
    <w:p w14:paraId="50DCDF81">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V</w:t>
      </w:r>
      <w:r>
        <w:rPr>
          <w:rFonts w:cs="Times New Roman"/>
          <w:color w:val="0D0D0D" w:themeColor="text1" w:themeTint="F2"/>
          <w:kern w:val="0"/>
          <w:szCs w:val="24"/>
          <w:u w:val="single"/>
          <w:vertAlign w:val="subscript"/>
          <w14:textFill>
            <w14:solidFill>
              <w14:schemeClr w14:val="tx1">
                <w14:lumMod w14:val="95000"/>
                <w14:lumOff w14:val="5000"/>
              </w14:schemeClr>
            </w14:solidFill>
          </w14:textFill>
        </w:rPr>
        <w:t>5</w:t>
      </w:r>
      <w:r>
        <w:rPr>
          <w:rFonts w:hint="eastAsia" w:cs="Times New Roman"/>
          <w:color w:val="0D0D0D" w:themeColor="text1" w:themeTint="F2"/>
          <w:kern w:val="0"/>
          <w:szCs w:val="24"/>
          <w:u w:val="single"/>
          <w14:textFill>
            <w14:solidFill>
              <w14:schemeClr w14:val="tx1">
                <w14:lumMod w14:val="95000"/>
                <w14:lumOff w14:val="5000"/>
              </w14:schemeClr>
            </w14:solidFill>
          </w14:textFill>
        </w:rPr>
        <w:t>—发生事故时可能进入该收集系统的降雨量，</w:t>
      </w:r>
      <w:r>
        <w:rPr>
          <w:rFonts w:cs="Times New Roman"/>
          <w:color w:val="0D0D0D" w:themeColor="text1" w:themeTint="F2"/>
          <w:kern w:val="0"/>
          <w:szCs w:val="24"/>
          <w:u w:val="single"/>
          <w14:textFill>
            <w14:solidFill>
              <w14:schemeClr w14:val="tx1">
                <w14:lumMod w14:val="95000"/>
                <w14:lumOff w14:val="5000"/>
              </w14:schemeClr>
            </w14:solidFill>
          </w14:textFill>
        </w:rPr>
        <w:t>m</w:t>
      </w:r>
      <w:r>
        <w:rPr>
          <w:rFonts w:cs="Times New Roman"/>
          <w:color w:val="0D0D0D" w:themeColor="text1" w:themeTint="F2"/>
          <w:kern w:val="0"/>
          <w:szCs w:val="24"/>
          <w:u w:val="single"/>
          <w:vertAlign w:val="superscript"/>
          <w14:textFill>
            <w14:solidFill>
              <w14:schemeClr w14:val="tx1">
                <w14:lumMod w14:val="95000"/>
                <w14:lumOff w14:val="5000"/>
              </w14:schemeClr>
            </w14:solidFill>
          </w14:textFill>
        </w:rPr>
        <w:t>3</w:t>
      </w:r>
      <w:r>
        <w:rPr>
          <w:rFonts w:cs="Times New Roman"/>
          <w:color w:val="0D0D0D" w:themeColor="text1" w:themeTint="F2"/>
          <w:kern w:val="0"/>
          <w:szCs w:val="24"/>
          <w:u w:val="single"/>
          <w14:textFill>
            <w14:solidFill>
              <w14:schemeClr w14:val="tx1">
                <w14:lumMod w14:val="95000"/>
                <w14:lumOff w14:val="5000"/>
              </w14:schemeClr>
            </w14:solidFill>
          </w14:textFill>
        </w:rPr>
        <w:t>。项目在</w:t>
      </w:r>
      <w:r>
        <w:rPr>
          <w:rFonts w:hint="eastAsia"/>
          <w:color w:val="0D0D0D" w:themeColor="text1" w:themeTint="F2"/>
          <w:u w:val="single"/>
          <w14:textFill>
            <w14:solidFill>
              <w14:schemeClr w14:val="tx1">
                <w14:lumMod w14:val="95000"/>
                <w14:lumOff w14:val="5000"/>
              </w14:schemeClr>
            </w14:solidFill>
          </w14:textFill>
        </w:rPr>
        <w:t>事故应急池</w:t>
      </w:r>
      <w:r>
        <w:rPr>
          <w:rFonts w:hint="eastAsia" w:cs="Times New Roman"/>
          <w:color w:val="0D0D0D" w:themeColor="text1" w:themeTint="F2"/>
          <w:kern w:val="0"/>
          <w:szCs w:val="24"/>
          <w:u w:val="single"/>
          <w14:textFill>
            <w14:solidFill>
              <w14:schemeClr w14:val="tx1">
                <w14:lumMod w14:val="95000"/>
                <w14:lumOff w14:val="5000"/>
              </w14:schemeClr>
            </w14:solidFill>
          </w14:textFill>
        </w:rPr>
        <w:t>西面设有</w:t>
      </w:r>
      <w:r>
        <w:rPr>
          <w:rFonts w:cs="Times New Roman"/>
          <w:color w:val="0D0D0D" w:themeColor="text1" w:themeTint="F2"/>
          <w:kern w:val="0"/>
          <w:szCs w:val="24"/>
          <w:u w:val="single"/>
          <w14:textFill>
            <w14:solidFill>
              <w14:schemeClr w14:val="tx1">
                <w14:lumMod w14:val="95000"/>
                <w14:lumOff w14:val="5000"/>
              </w14:schemeClr>
            </w14:solidFill>
          </w14:textFill>
        </w:rPr>
        <w:t>1</w:t>
      </w:r>
      <w:r>
        <w:rPr>
          <w:rFonts w:hint="eastAsia" w:cs="Times New Roman"/>
          <w:color w:val="0D0D0D" w:themeColor="text1" w:themeTint="F2"/>
          <w:kern w:val="0"/>
          <w:szCs w:val="24"/>
          <w:u w:val="single"/>
          <w14:textFill>
            <w14:solidFill>
              <w14:schemeClr w14:val="tx1">
                <w14:lumMod w14:val="95000"/>
                <w14:lumOff w14:val="5000"/>
              </w14:schemeClr>
            </w14:solidFill>
          </w14:textFill>
        </w:rPr>
        <w:t>个284</w:t>
      </w:r>
      <w:r>
        <w:rPr>
          <w:rFonts w:cs="Times New Roman"/>
          <w:color w:val="0D0D0D" w:themeColor="text1" w:themeTint="F2"/>
          <w:kern w:val="0"/>
          <w:szCs w:val="24"/>
          <w:u w:val="single"/>
          <w14:textFill>
            <w14:solidFill>
              <w14:schemeClr w14:val="tx1">
                <w14:lumMod w14:val="95000"/>
                <w14:lumOff w14:val="5000"/>
              </w14:schemeClr>
            </w14:solidFill>
          </w14:textFill>
        </w:rPr>
        <w:t>m</w:t>
      </w:r>
      <w:r>
        <w:rPr>
          <w:rFonts w:cs="Times New Roman"/>
          <w:color w:val="0D0D0D" w:themeColor="text1" w:themeTint="F2"/>
          <w:kern w:val="0"/>
          <w:szCs w:val="24"/>
          <w:u w:val="single"/>
          <w:vertAlign w:val="superscript"/>
          <w14:textFill>
            <w14:solidFill>
              <w14:schemeClr w14:val="tx1">
                <w14:lumMod w14:val="95000"/>
                <w14:lumOff w14:val="5000"/>
              </w14:schemeClr>
            </w14:solidFill>
          </w14:textFill>
        </w:rPr>
        <w:t>3</w:t>
      </w:r>
      <w:r>
        <w:rPr>
          <w:rFonts w:hint="eastAsia" w:cs="Times New Roman"/>
          <w:color w:val="0D0D0D" w:themeColor="text1" w:themeTint="F2"/>
          <w:kern w:val="0"/>
          <w:szCs w:val="24"/>
          <w:u w:val="single"/>
          <w14:textFill>
            <w14:solidFill>
              <w14:schemeClr w14:val="tx1">
                <w14:lumMod w14:val="95000"/>
                <w14:lumOff w14:val="5000"/>
              </w14:schemeClr>
            </w14:solidFill>
          </w14:textFill>
        </w:rPr>
        <w:t>的初期雨水池</w:t>
      </w:r>
      <w:r>
        <w:rPr>
          <w:rFonts w:cs="Times New Roman"/>
          <w:color w:val="0D0D0D" w:themeColor="text1" w:themeTint="F2"/>
          <w:kern w:val="0"/>
          <w:szCs w:val="24"/>
          <w:u w:val="single"/>
          <w14:textFill>
            <w14:solidFill>
              <w14:schemeClr w14:val="tx1">
                <w14:lumMod w14:val="95000"/>
                <w14:lumOff w14:val="5000"/>
              </w14:schemeClr>
            </w14:solidFill>
          </w14:textFill>
        </w:rPr>
        <w:t>收集初期雨水，初期雨水不进入</w:t>
      </w:r>
      <w:r>
        <w:rPr>
          <w:rFonts w:hint="eastAsia"/>
          <w:color w:val="0D0D0D" w:themeColor="text1" w:themeTint="F2"/>
          <w:u w:val="single"/>
          <w14:textFill>
            <w14:solidFill>
              <w14:schemeClr w14:val="tx1">
                <w14:lumMod w14:val="95000"/>
                <w14:lumOff w14:val="5000"/>
              </w14:schemeClr>
            </w14:solidFill>
          </w14:textFill>
        </w:rPr>
        <w:t>事故应急池</w:t>
      </w:r>
      <w:r>
        <w:rPr>
          <w:rFonts w:cs="Times New Roman"/>
          <w:color w:val="0D0D0D" w:themeColor="text1" w:themeTint="F2"/>
          <w:kern w:val="0"/>
          <w:szCs w:val="24"/>
          <w:u w:val="single"/>
          <w14:textFill>
            <w14:solidFill>
              <w14:schemeClr w14:val="tx1">
                <w14:lumMod w14:val="95000"/>
                <w14:lumOff w14:val="5000"/>
              </w14:schemeClr>
            </w14:solidFill>
          </w14:textFill>
        </w:rPr>
        <w:t>，</w:t>
      </w:r>
      <w:r>
        <w:rPr>
          <w:rFonts w:hint="eastAsia" w:cs="Times New Roman"/>
          <w:color w:val="0D0D0D" w:themeColor="text1" w:themeTint="F2"/>
          <w:kern w:val="0"/>
          <w:szCs w:val="24"/>
          <w:u w:val="single"/>
          <w14:textFill>
            <w14:solidFill>
              <w14:schemeClr w14:val="tx1">
                <w14:lumMod w14:val="95000"/>
                <w14:lumOff w14:val="5000"/>
              </w14:schemeClr>
            </w14:solidFill>
          </w14:textFill>
        </w:rPr>
        <w:t>取</w:t>
      </w:r>
      <w:r>
        <w:rPr>
          <w:rFonts w:cs="Times New Roman"/>
          <w:color w:val="0D0D0D" w:themeColor="text1" w:themeTint="F2"/>
          <w:kern w:val="0"/>
          <w:szCs w:val="24"/>
          <w:u w:val="single"/>
          <w14:textFill>
            <w14:solidFill>
              <w14:schemeClr w14:val="tx1">
                <w14:lumMod w14:val="95000"/>
                <w14:lumOff w14:val="5000"/>
              </w14:schemeClr>
            </w14:solidFill>
          </w14:textFill>
        </w:rPr>
        <w:t>0。</w:t>
      </w:r>
    </w:p>
    <w:p w14:paraId="189CDD95">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cs="Times New Roman"/>
          <w:color w:val="0D0D0D" w:themeColor="text1" w:themeTint="F2"/>
          <w:kern w:val="0"/>
          <w:szCs w:val="24"/>
          <w:u w:val="single"/>
          <w14:textFill>
            <w14:solidFill>
              <w14:schemeClr w14:val="tx1">
                <w14:lumMod w14:val="95000"/>
                <w14:lumOff w14:val="5000"/>
              </w14:schemeClr>
            </w14:solidFill>
          </w14:textFill>
        </w:rPr>
        <w:t>经上式计算，事故池容积应不小于</w:t>
      </w:r>
      <w:r>
        <w:rPr>
          <w:rFonts w:hint="eastAsia" w:cs="Times New Roman"/>
          <w:color w:val="0D0D0D" w:themeColor="text1" w:themeTint="F2"/>
          <w:kern w:val="0"/>
          <w:szCs w:val="24"/>
          <w:u w:val="single"/>
          <w14:textFill>
            <w14:solidFill>
              <w14:schemeClr w14:val="tx1">
                <w14:lumMod w14:val="95000"/>
                <w14:lumOff w14:val="5000"/>
              </w14:schemeClr>
            </w14:solidFill>
          </w14:textFill>
        </w:rPr>
        <w:t>286.71</w:t>
      </w:r>
      <w:r>
        <w:rPr>
          <w:rFonts w:cs="Times New Roman"/>
          <w:color w:val="0D0D0D" w:themeColor="text1" w:themeTint="F2"/>
          <w:kern w:val="0"/>
          <w:szCs w:val="24"/>
          <w:u w:val="single"/>
          <w14:textFill>
            <w14:solidFill>
              <w14:schemeClr w14:val="tx1">
                <w14:lumMod w14:val="95000"/>
                <w14:lumOff w14:val="5000"/>
              </w14:schemeClr>
            </w14:solidFill>
          </w14:textFill>
        </w:rPr>
        <w:t>m</w:t>
      </w:r>
      <w:r>
        <w:rPr>
          <w:rFonts w:cs="Times New Roman"/>
          <w:color w:val="0D0D0D" w:themeColor="text1" w:themeTint="F2"/>
          <w:kern w:val="0"/>
          <w:szCs w:val="24"/>
          <w:u w:val="single"/>
          <w:vertAlign w:val="superscript"/>
          <w14:textFill>
            <w14:solidFill>
              <w14:schemeClr w14:val="tx1">
                <w14:lumMod w14:val="95000"/>
                <w14:lumOff w14:val="5000"/>
              </w14:schemeClr>
            </w14:solidFill>
          </w14:textFill>
        </w:rPr>
        <w:t>3</w:t>
      </w:r>
      <w:r>
        <w:rPr>
          <w:rFonts w:hint="eastAsia" w:cs="Times New Roman"/>
          <w:color w:val="0D0D0D" w:themeColor="text1" w:themeTint="F2"/>
          <w:kern w:val="0"/>
          <w:szCs w:val="24"/>
          <w:u w:val="single"/>
          <w14:textFill>
            <w14:solidFill>
              <w14:schemeClr w14:val="tx1">
                <w14:lumMod w14:val="95000"/>
                <w14:lumOff w14:val="5000"/>
              </w14:schemeClr>
            </w14:solidFill>
          </w14:textFill>
        </w:rPr>
        <w:t>，</w:t>
      </w:r>
      <w:r>
        <w:rPr>
          <w:rFonts w:cs="Times New Roman"/>
          <w:color w:val="0D0D0D" w:themeColor="text1" w:themeTint="F2"/>
          <w:kern w:val="0"/>
          <w:szCs w:val="24"/>
          <w:u w:val="single"/>
          <w14:textFill>
            <w14:solidFill>
              <w14:schemeClr w14:val="tx1">
                <w14:lumMod w14:val="95000"/>
                <w14:lumOff w14:val="5000"/>
              </w14:schemeClr>
            </w14:solidFill>
          </w14:textFill>
        </w:rPr>
        <w:t>项目</w:t>
      </w:r>
      <w:r>
        <w:rPr>
          <w:rFonts w:hint="eastAsia" w:cs="Times New Roman"/>
          <w:color w:val="0D0D0D" w:themeColor="text1" w:themeTint="F2"/>
          <w:kern w:val="0"/>
          <w:szCs w:val="24"/>
          <w:u w:val="single"/>
          <w14:textFill>
            <w14:solidFill>
              <w14:schemeClr w14:val="tx1">
                <w14:lumMod w14:val="95000"/>
                <w14:lumOff w14:val="5000"/>
              </w14:schemeClr>
            </w14:solidFill>
          </w14:textFill>
        </w:rPr>
        <w:t>设置1个容积为660m</w:t>
      </w:r>
      <w:r>
        <w:rPr>
          <w:rFonts w:hint="eastAsia" w:cs="Times New Roman"/>
          <w:color w:val="0D0D0D" w:themeColor="text1" w:themeTint="F2"/>
          <w:kern w:val="0"/>
          <w:szCs w:val="24"/>
          <w:u w:val="single"/>
          <w:vertAlign w:val="superscript"/>
          <w14:textFill>
            <w14:solidFill>
              <w14:schemeClr w14:val="tx1">
                <w14:lumMod w14:val="95000"/>
                <w14:lumOff w14:val="5000"/>
              </w14:schemeClr>
            </w14:solidFill>
          </w14:textFill>
        </w:rPr>
        <w:t>3</w:t>
      </w:r>
      <w:r>
        <w:rPr>
          <w:rFonts w:hint="eastAsia" w:cs="Times New Roman"/>
          <w:color w:val="0D0D0D" w:themeColor="text1" w:themeTint="F2"/>
          <w:kern w:val="0"/>
          <w:szCs w:val="24"/>
          <w:u w:val="single"/>
          <w14:textFill>
            <w14:solidFill>
              <w14:schemeClr w14:val="tx1">
                <w14:lumMod w14:val="95000"/>
                <w14:lumOff w14:val="5000"/>
              </w14:schemeClr>
            </w14:solidFill>
          </w14:textFill>
        </w:rPr>
        <w:t>的</w:t>
      </w:r>
      <w:r>
        <w:rPr>
          <w:rFonts w:hint="eastAsia"/>
          <w:color w:val="0D0D0D" w:themeColor="text1" w:themeTint="F2"/>
          <w:u w:val="single"/>
          <w14:textFill>
            <w14:solidFill>
              <w14:schemeClr w14:val="tx1">
                <w14:lumMod w14:val="95000"/>
                <w14:lumOff w14:val="5000"/>
              </w14:schemeClr>
            </w14:solidFill>
          </w14:textFill>
        </w:rPr>
        <w:t>事故应急池</w:t>
      </w:r>
      <w:r>
        <w:rPr>
          <w:rFonts w:cs="Times New Roman"/>
          <w:color w:val="0D0D0D" w:themeColor="text1" w:themeTint="F2"/>
          <w:kern w:val="0"/>
          <w:szCs w:val="24"/>
          <w:u w:val="single"/>
          <w14:textFill>
            <w14:solidFill>
              <w14:schemeClr w14:val="tx1">
                <w14:lumMod w14:val="95000"/>
                <w14:lumOff w14:val="5000"/>
              </w14:schemeClr>
            </w14:solidFill>
          </w14:textFill>
        </w:rPr>
        <w:t>，</w:t>
      </w:r>
      <w:r>
        <w:rPr>
          <w:rFonts w:hint="eastAsia" w:cs="Times New Roman"/>
          <w:color w:val="0D0D0D" w:themeColor="text1" w:themeTint="F2"/>
          <w:kern w:val="0"/>
          <w:szCs w:val="24"/>
          <w:u w:val="single"/>
          <w14:textFill>
            <w14:solidFill>
              <w14:schemeClr w14:val="tx1">
                <w14:lumMod w14:val="95000"/>
                <w14:lumOff w14:val="5000"/>
              </w14:schemeClr>
            </w14:solidFill>
          </w14:textFill>
        </w:rPr>
        <w:t>总容积660</w:t>
      </w:r>
      <w:r>
        <w:rPr>
          <w:rFonts w:cs="Times New Roman"/>
          <w:color w:val="0D0D0D" w:themeColor="text1" w:themeTint="F2"/>
          <w:kern w:val="0"/>
          <w:szCs w:val="24"/>
          <w:u w:val="single"/>
          <w14:textFill>
            <w14:solidFill>
              <w14:schemeClr w14:val="tx1">
                <w14:lumMod w14:val="95000"/>
                <w14:lumOff w14:val="5000"/>
              </w14:schemeClr>
            </w14:solidFill>
          </w14:textFill>
        </w:rPr>
        <w:t>m</w:t>
      </w:r>
      <w:r>
        <w:rPr>
          <w:rFonts w:cs="Times New Roman"/>
          <w:color w:val="0D0D0D" w:themeColor="text1" w:themeTint="F2"/>
          <w:kern w:val="0"/>
          <w:szCs w:val="24"/>
          <w:u w:val="single"/>
          <w:vertAlign w:val="superscript"/>
          <w14:textFill>
            <w14:solidFill>
              <w14:schemeClr w14:val="tx1">
                <w14:lumMod w14:val="95000"/>
                <w14:lumOff w14:val="5000"/>
              </w14:schemeClr>
            </w14:solidFill>
          </w14:textFill>
        </w:rPr>
        <w:t>3</w:t>
      </w:r>
      <w:r>
        <w:rPr>
          <w:rFonts w:cs="Times New Roman"/>
          <w:color w:val="0D0D0D" w:themeColor="text1" w:themeTint="F2"/>
          <w:kern w:val="0"/>
          <w:szCs w:val="24"/>
          <w:u w:val="single"/>
          <w14:textFill>
            <w14:solidFill>
              <w14:schemeClr w14:val="tx1">
                <w14:lumMod w14:val="95000"/>
                <w14:lumOff w14:val="5000"/>
              </w14:schemeClr>
            </w14:solidFill>
          </w14:textFill>
        </w:rPr>
        <w:t>＞</w:t>
      </w:r>
      <w:r>
        <w:rPr>
          <w:rFonts w:hint="eastAsia" w:cs="Times New Roman"/>
          <w:color w:val="0D0D0D" w:themeColor="text1" w:themeTint="F2"/>
          <w:kern w:val="0"/>
          <w:szCs w:val="24"/>
          <w:u w:val="single"/>
          <w14:textFill>
            <w14:solidFill>
              <w14:schemeClr w14:val="tx1">
                <w14:lumMod w14:val="95000"/>
                <w14:lumOff w14:val="5000"/>
              </w14:schemeClr>
            </w14:solidFill>
          </w14:textFill>
        </w:rPr>
        <w:t>286.71</w:t>
      </w:r>
      <w:r>
        <w:rPr>
          <w:rFonts w:cs="Times New Roman"/>
          <w:color w:val="0D0D0D" w:themeColor="text1" w:themeTint="F2"/>
          <w:kern w:val="0"/>
          <w:szCs w:val="24"/>
          <w:u w:val="single"/>
          <w14:textFill>
            <w14:solidFill>
              <w14:schemeClr w14:val="tx1">
                <w14:lumMod w14:val="95000"/>
                <w14:lumOff w14:val="5000"/>
              </w14:schemeClr>
            </w14:solidFill>
          </w14:textFill>
        </w:rPr>
        <w:t>m</w:t>
      </w:r>
      <w:r>
        <w:rPr>
          <w:rFonts w:cs="Times New Roman"/>
          <w:color w:val="0D0D0D" w:themeColor="text1" w:themeTint="F2"/>
          <w:kern w:val="0"/>
          <w:szCs w:val="24"/>
          <w:u w:val="single"/>
          <w:vertAlign w:val="superscript"/>
          <w14:textFill>
            <w14:solidFill>
              <w14:schemeClr w14:val="tx1">
                <w14:lumMod w14:val="95000"/>
                <w14:lumOff w14:val="5000"/>
              </w14:schemeClr>
            </w14:solidFill>
          </w14:textFill>
        </w:rPr>
        <w:t>3</w:t>
      </w:r>
      <w:r>
        <w:rPr>
          <w:rFonts w:cs="Times New Roman"/>
          <w:color w:val="0D0D0D" w:themeColor="text1" w:themeTint="F2"/>
          <w:kern w:val="0"/>
          <w:szCs w:val="24"/>
          <w:u w:val="single"/>
          <w14:textFill>
            <w14:solidFill>
              <w14:schemeClr w14:val="tx1">
                <w14:lumMod w14:val="95000"/>
                <w14:lumOff w14:val="5000"/>
              </w14:schemeClr>
            </w14:solidFill>
          </w14:textFill>
        </w:rPr>
        <w:t>，满足消防及事故状态下的废水容量。因此，在废水处理设施事故状态下，消防废水及事故废水可得到有效储存，不直接外排，不会对</w:t>
      </w:r>
      <w:r>
        <w:rPr>
          <w:rFonts w:hint="eastAsia" w:cs="Times New Roman"/>
          <w:color w:val="0D0D0D" w:themeColor="text1" w:themeTint="F2"/>
          <w:kern w:val="0"/>
          <w:szCs w:val="24"/>
          <w:u w:val="single"/>
          <w14:textFill>
            <w14:solidFill>
              <w14:schemeClr w14:val="tx1">
                <w14:lumMod w14:val="95000"/>
                <w14:lumOff w14:val="5000"/>
              </w14:schemeClr>
            </w14:solidFill>
          </w14:textFill>
        </w:rPr>
        <w:t>园区</w:t>
      </w:r>
      <w:r>
        <w:rPr>
          <w:rFonts w:cs="Times New Roman"/>
          <w:color w:val="0D0D0D" w:themeColor="text1" w:themeTint="F2"/>
          <w:kern w:val="0"/>
          <w:szCs w:val="24"/>
          <w:u w:val="single"/>
          <w14:textFill>
            <w14:solidFill>
              <w14:schemeClr w14:val="tx1">
                <w14:lumMod w14:val="95000"/>
                <w14:lumOff w14:val="5000"/>
              </w14:schemeClr>
            </w14:solidFill>
          </w14:textFill>
        </w:rPr>
        <w:t>污水处理设施及地表水产生不利影响。</w:t>
      </w:r>
    </w:p>
    <w:p w14:paraId="7ADC9811">
      <w:pPr>
        <w:pStyle w:val="10"/>
      </w:pPr>
      <w:r>
        <w:rPr>
          <w:rFonts w:hint="eastAsia"/>
        </w:rPr>
        <w:t>废气事故排放防范措施</w:t>
      </w:r>
    </w:p>
    <w:p w14:paraId="3DCC6A7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当废气治理设施故障时，会导致项目废气直接排放，造成大气环境污染，此时须停止生产并进行检查维修工作，待故障排除后方可继续投入生产。</w:t>
      </w:r>
    </w:p>
    <w:p w14:paraId="779EA9E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为确保处理效率，在车间设备检修期间，废气处理设施也应同时进行检修，日常应有专人负责进行维护。</w:t>
      </w:r>
    </w:p>
    <w:p w14:paraId="3BC68341">
      <w:pPr>
        <w:pStyle w:val="10"/>
      </w:pPr>
      <w:r>
        <w:rPr>
          <w:rFonts w:hint="eastAsia"/>
        </w:rPr>
        <w:t>环境管理与组织体系</w:t>
      </w:r>
    </w:p>
    <w:p w14:paraId="40D5785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企业应设专职环境管理机构――ESH，负责全公司的日常环境管理和对排放源的监控。ESH部门需配有专职安全环保人员，制定岗位职责和有关安全生产、环境保护的考核条例。企业拟针对各环境风险防控重点岗位建立责任机构制度。企业需设置安全管理办公室，配备专职安全管理人员，装置根据需要配备专职或兼职安全管理人员。在装置运转之前及运转过程中，工厂须对操作人员、生产管理人员进行安全教育，制定必要的安全操作规程和管理制度。操作人员在培训合格之后，必须持有上岗证才能上岗。特种作业人员必须经有关培训机构培训并取得特种作业人员上岗资格证后方能上岗。</w:t>
      </w:r>
    </w:p>
    <w:p w14:paraId="08B559C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企业需成立突发环境事件应急救援组织机构，负责组织实施突发环境事件应急处置工作，事故应急救援“指挥领导小组”由总经理、分管副总及生产科、环保安全科等部门组成，下设应急救援办公室（设在环保安全科），日常工作由环保安全科兼管。发生重大事故时，以指挥领导小组为基础，即事故应急救援指挥部，总经理任总指挥，分管副总任副总指挥，负责全厂应急救援工作的组织和指挥，指挥部设在生产调度室。企业应根据《突发环境事件应急监测技术规范》（HJ589-2021）相关要求，制定应急监测计划，并落实应急监测单位。</w:t>
      </w:r>
    </w:p>
    <w:p w14:paraId="2BE8EABA">
      <w:pPr>
        <w:pStyle w:val="10"/>
      </w:pPr>
      <w:r>
        <w:rPr>
          <w:rFonts w:hint="eastAsia"/>
        </w:rPr>
        <w:t>与园区风险应急预案的衔接性</w:t>
      </w:r>
    </w:p>
    <w:p w14:paraId="0140053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（1）与工业园区的应急联动</w:t>
      </w:r>
    </w:p>
    <w:p w14:paraId="63912B4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钦州港经济技术开发区石化产业办公室编制了《钦州石化产业园安全环保事故快速处置方案》，建立了石化园区设立安全环保事故快速处置指挥系统，并成立安全事故快速处置指挥部，具体负责安全环保事故快速处置的组织领导和指挥工作，由开发区管</w:t>
      </w:r>
      <w:r>
        <w:rPr>
          <w:rFonts w:hint="eastAsia"/>
          <w:color w:val="0D0D0D" w:themeColor="text1" w:themeTint="F2"/>
          <w:lang w:eastAsia="zh-CN"/>
          <w14:textFill>
            <w14:solidFill>
              <w14:schemeClr w14:val="tx1">
                <w14:lumMod w14:val="95000"/>
                <w14:lumOff w14:val="5000"/>
              </w14:schemeClr>
            </w14:solidFill>
          </w14:textFill>
        </w:rPr>
        <w:t>委会</w:t>
      </w:r>
      <w:r>
        <w:rPr>
          <w:rFonts w:hint="eastAsia"/>
          <w:color w:val="0D0D0D" w:themeColor="text1" w:themeTint="F2"/>
          <w14:textFill>
            <w14:solidFill>
              <w14:schemeClr w14:val="tx1">
                <w14:lumMod w14:val="95000"/>
                <w14:lumOff w14:val="5000"/>
              </w14:schemeClr>
            </w14:solidFill>
          </w14:textFill>
        </w:rPr>
        <w:t>主任担任总指挥，下属各部门均加入该系统中。</w:t>
      </w:r>
    </w:p>
    <w:p w14:paraId="4668880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企业应急预案与工业园区相衔接，充分利用工业园区现有应急救援资源，与工业园区保持联动。若环境事件发生后，首先启动本公司应急预案，并及时将事故情况向工业园区有关部门报告。同时，公司的应急响应行动与工业园区的应急响应保持联动，确保信息传递和人员的救助以及事故处理的及时和准确无误，做到最快、最好地处理突发事故。当项目超出本级应急处置能力时，应及时请求园区安全事故快速处置指挥部启动《钦州石化产业园安全环保事故快速处置方案》。</w:t>
      </w:r>
    </w:p>
    <w:p w14:paraId="3338721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（2）与钦州市的应急联动</w:t>
      </w:r>
    </w:p>
    <w:p w14:paraId="7203A56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视事故发展情况，钦州市启动《钦州港经济开发区预防和处理突发环境事件应急预案》、《钦州市环境突发污染事件应急预案》及其相关专项预案，实施联动救援。</w:t>
      </w:r>
    </w:p>
    <w:p w14:paraId="10ECEE9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（3）应急疏散路线</w:t>
      </w:r>
    </w:p>
    <w:p w14:paraId="7646E3C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中国（广西）自由贸易试验区钦州港片区应急资源调查报告》，钦州港片区应急救援指挥部办公室设在自贸区钦州港片区管委应急管理局，是钦州港片区应急救援的指挥中心。目前设置有4处临时避难场所（尚未设置固定避难场所），可临时安置人员1万~2万人。这些场所是：仙岛公园、逸仙广场、孔雀湾公园、中马广场。项目如发生风险事故，人员就近疏散进入仙岛公园。</w:t>
      </w:r>
    </w:p>
    <w:p w14:paraId="54FF5856">
      <w:pPr>
        <w:pStyle w:val="10"/>
      </w:pPr>
      <w:r>
        <w:rPr>
          <w:rFonts w:hint="eastAsia"/>
        </w:rPr>
        <w:t>管道输送安全防范措施</w:t>
      </w:r>
    </w:p>
    <w:p w14:paraId="74A0BE55">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1）项目生物柴油、工业级混合油等管道均为无缝管道，仅在相关装置与管道相连处设截止阀和连接口，以降低事故风险发生概率。运营期间，定期对前述物料输送管道进行探伤及耐压泄漏试验。输送前述物料的压缩机、泵应选用绝对无泄漏泵，以避免选用其他类型泵因密封故障而造成这些有毒物料泄漏。</w:t>
      </w:r>
    </w:p>
    <w:p w14:paraId="07237EED">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（2）项目界区内的管道，以及其他危险化学品输送管道采取严格的风险防范措施，要求分别制定相应的管道事故泄漏应急处置方案。</w:t>
      </w:r>
    </w:p>
    <w:p w14:paraId="29E09675">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（3）管道发生泄漏事故后，通过DCS自动控制系统和ESD紧急停车系统，可以在1min内实现紧急切断，停止供料。同时，管道两端储槽通过联动控制，回抽至储罐，回抽时间不超过1min。</w:t>
      </w:r>
    </w:p>
    <w:p w14:paraId="5B80638C">
      <w:pPr>
        <w:pStyle w:val="9"/>
      </w:pPr>
      <w:bookmarkStart w:id="202" w:name="_Toc204062659"/>
      <w:r>
        <w:rPr>
          <w:rFonts w:hint="eastAsia"/>
        </w:rPr>
        <w:t>突发环境事件应急预案</w:t>
      </w:r>
      <w:bookmarkEnd w:id="202"/>
    </w:p>
    <w:p w14:paraId="23330127">
      <w:pPr>
        <w:pStyle w:val="10"/>
      </w:pPr>
      <w:r>
        <w:rPr>
          <w:rFonts w:hint="eastAsia"/>
        </w:rPr>
        <w:t>应急预案主要内容</w:t>
      </w:r>
    </w:p>
    <w:p w14:paraId="2950FB3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在投入生产或使用前，企业应根据《关于进一步加强环境影响评价管理防范环境风险的通知》（环发〔2012〕77号）、《企业事业单位突发环境事件应急预案备案管理办法（试行）》（环发〔2015〕4号）、《建设项目环境风险评价技术导则》（HJ169-2018）等文件要求，针对项目建设内容和风险情况制定完善的风险管理体制，及时开展突发环境事件应急预案的编制工作，并报主管部门备案。突发环境事件应急预案应至少每年组织一次演练，并与一体化基地、石化产业园区、当地环保部门联动，提高企业环境风险防控能力。</w:t>
      </w:r>
    </w:p>
    <w:p w14:paraId="6C66BC3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项目应急预案的主要内容见表5.9-26。</w:t>
      </w:r>
    </w:p>
    <w:p w14:paraId="052DEE3A">
      <w:pPr>
        <w:pStyle w:val="11"/>
      </w:pPr>
      <w:r>
        <w:rPr>
          <w:rFonts w:hint="eastAsia"/>
        </w:rPr>
        <w:t xml:space="preserve"> 项目环境风险应急预案内容一览表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
        <w:gridCol w:w="1943"/>
        <w:gridCol w:w="6800"/>
      </w:tblGrid>
      <w:tr w14:paraId="037C3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vAlign w:val="center"/>
          </w:tcPr>
          <w:p w14:paraId="21C9F09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序号</w:t>
            </w:r>
          </w:p>
        </w:tc>
        <w:tc>
          <w:tcPr>
            <w:tcW w:w="1051" w:type="pct"/>
            <w:vAlign w:val="center"/>
          </w:tcPr>
          <w:p w14:paraId="5B20074E">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项目</w:t>
            </w:r>
          </w:p>
        </w:tc>
        <w:tc>
          <w:tcPr>
            <w:tcW w:w="3679" w:type="pct"/>
            <w:vAlign w:val="center"/>
          </w:tcPr>
          <w:p w14:paraId="76C5207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主要内容</w:t>
            </w:r>
          </w:p>
        </w:tc>
      </w:tr>
      <w:tr w14:paraId="16916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vAlign w:val="center"/>
          </w:tcPr>
          <w:p w14:paraId="504FDBC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1</w:t>
            </w:r>
          </w:p>
        </w:tc>
        <w:tc>
          <w:tcPr>
            <w:tcW w:w="1051" w:type="pct"/>
            <w:vAlign w:val="center"/>
          </w:tcPr>
          <w:p w14:paraId="22AEFBF8">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应急计划区</w:t>
            </w:r>
          </w:p>
        </w:tc>
        <w:tc>
          <w:tcPr>
            <w:tcW w:w="3679" w:type="pct"/>
            <w:vAlign w:val="center"/>
          </w:tcPr>
          <w:p w14:paraId="2E05260C">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危险目标：储罐区、生产车间、污水处理站、废气处理装置、周边环境保护目标等。</w:t>
            </w:r>
          </w:p>
        </w:tc>
      </w:tr>
      <w:tr w14:paraId="7250A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vAlign w:val="center"/>
          </w:tcPr>
          <w:p w14:paraId="6285D85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2</w:t>
            </w:r>
          </w:p>
        </w:tc>
        <w:tc>
          <w:tcPr>
            <w:tcW w:w="1051" w:type="pct"/>
            <w:vAlign w:val="center"/>
          </w:tcPr>
          <w:p w14:paraId="43C90F64">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应急组织机构</w:t>
            </w:r>
          </w:p>
        </w:tc>
        <w:tc>
          <w:tcPr>
            <w:tcW w:w="3679" w:type="pct"/>
            <w:vAlign w:val="center"/>
          </w:tcPr>
          <w:p w14:paraId="1360595B">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应急组织机构分级，各级别主要负责人为应急计划、协调1人，应急人员必须为培训上岗熟练工；区域应急组织机构由当地相关行业专家、卫生安全相关单位组成，并由政府进行统一调度。</w:t>
            </w:r>
          </w:p>
        </w:tc>
      </w:tr>
      <w:tr w14:paraId="6FD2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vAlign w:val="center"/>
          </w:tcPr>
          <w:p w14:paraId="1BF1170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3</w:t>
            </w:r>
          </w:p>
        </w:tc>
        <w:tc>
          <w:tcPr>
            <w:tcW w:w="1051" w:type="pct"/>
            <w:vAlign w:val="center"/>
          </w:tcPr>
          <w:p w14:paraId="3FD80BB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预案分级</w:t>
            </w:r>
          </w:p>
          <w:p w14:paraId="09F8EF61">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响应条件</w:t>
            </w:r>
          </w:p>
        </w:tc>
        <w:tc>
          <w:tcPr>
            <w:tcW w:w="3679" w:type="pct"/>
            <w:vAlign w:val="center"/>
          </w:tcPr>
          <w:p w14:paraId="2E04237F">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规定预案的级别及分级响应程序，应根据环境事件的可控性、严重程度和影响范围，坚持“企业自救、属地为主”的原则，超出本公司环境事件应急预案处置能力时，应及时请求启动上一级应急预案。</w:t>
            </w:r>
          </w:p>
        </w:tc>
      </w:tr>
      <w:tr w14:paraId="2FC92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vAlign w:val="center"/>
          </w:tcPr>
          <w:p w14:paraId="7BC531B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4</w:t>
            </w:r>
          </w:p>
        </w:tc>
        <w:tc>
          <w:tcPr>
            <w:tcW w:w="1051" w:type="pct"/>
            <w:vAlign w:val="center"/>
          </w:tcPr>
          <w:p w14:paraId="571037C7">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应急救援保障</w:t>
            </w:r>
          </w:p>
        </w:tc>
        <w:tc>
          <w:tcPr>
            <w:tcW w:w="3679" w:type="pct"/>
            <w:vAlign w:val="center"/>
          </w:tcPr>
          <w:p w14:paraId="2438BD76">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应急设施、设备与器材等。</w:t>
            </w:r>
          </w:p>
        </w:tc>
      </w:tr>
      <w:tr w14:paraId="02B1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vAlign w:val="center"/>
          </w:tcPr>
          <w:p w14:paraId="540923F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5</w:t>
            </w:r>
          </w:p>
        </w:tc>
        <w:tc>
          <w:tcPr>
            <w:tcW w:w="1051" w:type="pct"/>
            <w:vAlign w:val="center"/>
          </w:tcPr>
          <w:p w14:paraId="7DB66BAF">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报警、联系方式</w:t>
            </w:r>
          </w:p>
        </w:tc>
        <w:tc>
          <w:tcPr>
            <w:tcW w:w="3679" w:type="pct"/>
            <w:vAlign w:val="center"/>
          </w:tcPr>
          <w:p w14:paraId="5A4E236A">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细化应急状态下各主要负责单位的报警通讯方式、地点、电话号码以及相关配套的交通保障、管理、消费联络方法，涉及跨区域的还应与相关区域环境保护部门和上级环保部门保持联系，及时通报事故处理情况，以获得区域性支援。</w:t>
            </w:r>
          </w:p>
        </w:tc>
      </w:tr>
      <w:tr w14:paraId="62E9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vAlign w:val="center"/>
          </w:tcPr>
          <w:p w14:paraId="6FFB887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6</w:t>
            </w:r>
          </w:p>
        </w:tc>
        <w:tc>
          <w:tcPr>
            <w:tcW w:w="1051" w:type="pct"/>
            <w:vAlign w:val="center"/>
          </w:tcPr>
          <w:p w14:paraId="1FAF162D">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应急环境监测</w:t>
            </w:r>
          </w:p>
        </w:tc>
        <w:tc>
          <w:tcPr>
            <w:tcW w:w="3679" w:type="pct"/>
            <w:vAlign w:val="center"/>
          </w:tcPr>
          <w:p w14:paraId="1AF277C5">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由专业队伍负责对事故现场进行侦查监测，对事故性质、参数与后果进行评估，专为指挥部门提供决策依据。</w:t>
            </w:r>
          </w:p>
        </w:tc>
      </w:tr>
      <w:tr w14:paraId="68AE2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vAlign w:val="center"/>
          </w:tcPr>
          <w:p w14:paraId="3151F8F4">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7</w:t>
            </w:r>
          </w:p>
        </w:tc>
        <w:tc>
          <w:tcPr>
            <w:tcW w:w="1051" w:type="pct"/>
            <w:vAlign w:val="center"/>
          </w:tcPr>
          <w:p w14:paraId="30C87837">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抢救、救援控制措施</w:t>
            </w:r>
          </w:p>
        </w:tc>
        <w:tc>
          <w:tcPr>
            <w:tcW w:w="3679" w:type="pct"/>
            <w:vAlign w:val="center"/>
          </w:tcPr>
          <w:p w14:paraId="15B8AC13">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严格规定事故多发区、事故现场、邻近区域、控制防火区域设置控制和清除污染措施及相应设备的数据、使用方法、使用人员。</w:t>
            </w:r>
          </w:p>
        </w:tc>
      </w:tr>
      <w:tr w14:paraId="493DA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vAlign w:val="center"/>
          </w:tcPr>
          <w:p w14:paraId="7B91F438">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8</w:t>
            </w:r>
          </w:p>
        </w:tc>
        <w:tc>
          <w:tcPr>
            <w:tcW w:w="1051" w:type="pct"/>
            <w:vAlign w:val="center"/>
          </w:tcPr>
          <w:p w14:paraId="29531091">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人员紧急撤离、疏散，应急剂量控制、撤离组织计划</w:t>
            </w:r>
          </w:p>
        </w:tc>
        <w:tc>
          <w:tcPr>
            <w:tcW w:w="3679" w:type="pct"/>
            <w:vAlign w:val="center"/>
          </w:tcPr>
          <w:p w14:paraId="72AF46D7">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事故现场、邻近区、受事故影响的区域人员及公众对有毒有害物质应急剂量控制规定，制定紧急撤离组织计划和救护，医疗救护与公众健康。</w:t>
            </w:r>
          </w:p>
        </w:tc>
      </w:tr>
      <w:tr w14:paraId="35AE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vAlign w:val="center"/>
          </w:tcPr>
          <w:p w14:paraId="5C501FF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9</w:t>
            </w:r>
          </w:p>
        </w:tc>
        <w:tc>
          <w:tcPr>
            <w:tcW w:w="1051" w:type="pct"/>
            <w:vAlign w:val="center"/>
          </w:tcPr>
          <w:p w14:paraId="08E701A1">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事故应急救援关闭程序与恢复措施</w:t>
            </w:r>
          </w:p>
        </w:tc>
        <w:tc>
          <w:tcPr>
            <w:tcW w:w="3679" w:type="pct"/>
            <w:vAlign w:val="center"/>
          </w:tcPr>
          <w:p w14:paraId="21362820">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制定相关应急状态终止程序，事故现场、受影响范围内的善后处理、恢复措施，邻近区域解除事故警戒及善后恢复措施。</w:t>
            </w:r>
          </w:p>
        </w:tc>
      </w:tr>
      <w:tr w14:paraId="08419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vAlign w:val="center"/>
          </w:tcPr>
          <w:p w14:paraId="725B8AB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1</w:t>
            </w:r>
            <w:r>
              <w:rPr>
                <w:rFonts w:cs="Times New Roman"/>
                <w:color w:val="0D0D0D" w:themeColor="text1" w:themeTint="F2"/>
                <w:kern w:val="0"/>
                <w:sz w:val="21"/>
                <w:szCs w:val="21"/>
                <w14:textFill>
                  <w14:solidFill>
                    <w14:schemeClr w14:val="tx1">
                      <w14:lumMod w14:val="95000"/>
                      <w14:lumOff w14:val="5000"/>
                    </w14:schemeClr>
                  </w14:solidFill>
                </w14:textFill>
              </w:rPr>
              <w:t>0</w:t>
            </w:r>
          </w:p>
        </w:tc>
        <w:tc>
          <w:tcPr>
            <w:tcW w:w="1051" w:type="pct"/>
            <w:vAlign w:val="center"/>
          </w:tcPr>
          <w:p w14:paraId="3CE5308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应急培训计划</w:t>
            </w:r>
          </w:p>
        </w:tc>
        <w:tc>
          <w:tcPr>
            <w:tcW w:w="3679" w:type="pct"/>
            <w:vAlign w:val="center"/>
          </w:tcPr>
          <w:p w14:paraId="3F8263F5">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按照环境应急预案，应急计划制定后，平时安排人员培训与演练。</w:t>
            </w:r>
          </w:p>
        </w:tc>
      </w:tr>
      <w:tr w14:paraId="6F002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vAlign w:val="center"/>
          </w:tcPr>
          <w:p w14:paraId="5735C1E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1</w:t>
            </w:r>
            <w:r>
              <w:rPr>
                <w:rFonts w:cs="Times New Roman"/>
                <w:color w:val="0D0D0D" w:themeColor="text1" w:themeTint="F2"/>
                <w:kern w:val="0"/>
                <w:sz w:val="21"/>
                <w:szCs w:val="21"/>
                <w14:textFill>
                  <w14:solidFill>
                    <w14:schemeClr w14:val="tx1">
                      <w14:lumMod w14:val="95000"/>
                      <w14:lumOff w14:val="5000"/>
                    </w14:schemeClr>
                  </w14:solidFill>
                </w14:textFill>
              </w:rPr>
              <w:t>1</w:t>
            </w:r>
          </w:p>
        </w:tc>
        <w:tc>
          <w:tcPr>
            <w:tcW w:w="1051" w:type="pct"/>
            <w:vAlign w:val="center"/>
          </w:tcPr>
          <w:p w14:paraId="445D562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公众教育和信息</w:t>
            </w:r>
          </w:p>
        </w:tc>
        <w:tc>
          <w:tcPr>
            <w:tcW w:w="3679" w:type="pct"/>
            <w:vAlign w:val="center"/>
          </w:tcPr>
          <w:p w14:paraId="4BBEBA5C">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在厂区开展公众应急措施教育、发布有关信息。</w:t>
            </w:r>
          </w:p>
        </w:tc>
      </w:tr>
      <w:tr w14:paraId="4903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vAlign w:val="center"/>
          </w:tcPr>
          <w:p w14:paraId="747E4EB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1</w:t>
            </w:r>
            <w:r>
              <w:rPr>
                <w:rFonts w:cs="Times New Roman"/>
                <w:color w:val="0D0D0D" w:themeColor="text1" w:themeTint="F2"/>
                <w:kern w:val="0"/>
                <w:sz w:val="21"/>
                <w:szCs w:val="21"/>
                <w14:textFill>
                  <w14:solidFill>
                    <w14:schemeClr w14:val="tx1">
                      <w14:lumMod w14:val="95000"/>
                      <w14:lumOff w14:val="5000"/>
                    </w14:schemeClr>
                  </w14:solidFill>
                </w14:textFill>
              </w:rPr>
              <w:t>2</w:t>
            </w:r>
          </w:p>
        </w:tc>
        <w:tc>
          <w:tcPr>
            <w:tcW w:w="1051" w:type="pct"/>
            <w:vAlign w:val="center"/>
          </w:tcPr>
          <w:p w14:paraId="2C9F2A8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记录和报告</w:t>
            </w:r>
          </w:p>
        </w:tc>
        <w:tc>
          <w:tcPr>
            <w:tcW w:w="3679" w:type="pct"/>
            <w:vAlign w:val="center"/>
          </w:tcPr>
          <w:p w14:paraId="712F9213">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设置应急事故专门记录，建档案和专门报告制度，设专门部门负责管理。</w:t>
            </w:r>
          </w:p>
        </w:tc>
      </w:tr>
      <w:tr w14:paraId="452BD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vAlign w:val="center"/>
          </w:tcPr>
          <w:p w14:paraId="310D63F2">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1</w:t>
            </w:r>
            <w:r>
              <w:rPr>
                <w:rFonts w:cs="Times New Roman"/>
                <w:color w:val="0D0D0D" w:themeColor="text1" w:themeTint="F2"/>
                <w:kern w:val="0"/>
                <w:sz w:val="21"/>
                <w:szCs w:val="21"/>
                <w14:textFill>
                  <w14:solidFill>
                    <w14:schemeClr w14:val="tx1">
                      <w14:lumMod w14:val="95000"/>
                      <w14:lumOff w14:val="5000"/>
                    </w14:schemeClr>
                  </w14:solidFill>
                </w14:textFill>
              </w:rPr>
              <w:t>3</w:t>
            </w:r>
          </w:p>
        </w:tc>
        <w:tc>
          <w:tcPr>
            <w:tcW w:w="1051" w:type="pct"/>
            <w:vAlign w:val="center"/>
          </w:tcPr>
          <w:p w14:paraId="69BFFE3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附件</w:t>
            </w:r>
          </w:p>
        </w:tc>
        <w:tc>
          <w:tcPr>
            <w:tcW w:w="3679" w:type="pct"/>
            <w:vAlign w:val="center"/>
          </w:tcPr>
          <w:p w14:paraId="0587C8B7">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hint="eastAsia" w:cs="Times New Roman"/>
                <w:color w:val="0D0D0D" w:themeColor="text1" w:themeTint="F2"/>
                <w:kern w:val="0"/>
                <w:sz w:val="21"/>
                <w:szCs w:val="21"/>
                <w14:textFill>
                  <w14:solidFill>
                    <w14:schemeClr w14:val="tx1">
                      <w14:lumMod w14:val="95000"/>
                      <w14:lumOff w14:val="5000"/>
                    </w14:schemeClr>
                  </w14:solidFill>
                </w14:textFill>
              </w:rPr>
              <w:t>与应急事故有关的多种附件材料的准备和形成</w:t>
            </w:r>
          </w:p>
        </w:tc>
      </w:tr>
    </w:tbl>
    <w:p w14:paraId="50F2B9C3">
      <w:pPr>
        <w:pStyle w:val="9"/>
      </w:pPr>
      <w:bookmarkStart w:id="203" w:name="_Toc204062660"/>
      <w:r>
        <w:rPr>
          <w:rFonts w:hint="eastAsia"/>
        </w:rPr>
        <w:t>风险评价结论与建议</w:t>
      </w:r>
      <w:bookmarkEnd w:id="203"/>
    </w:p>
    <w:p w14:paraId="3D523C56">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涉及的危险化学品主要为甲醇、生物柴油、柴油、废机油和导热油等，环境风险主要为甲醇、生物柴油、柴油等储运装置泄漏造成危险物质泄漏，引发火灾、爆炸事故。根据《建设项目环境影响后评价管理办法（试行）》，冶金、石化和化工行业中有重大环境风险，建设地点敏感，且持续排放重金属或者持久性有机污染物的建设项目在运行过程中产生不符合经审批的环境影响报告书情形的，应当开展环境影响后评价。本项目为石化行业，运营过程具有重大环境风险，如在实际运行过程中产生与本次评价不符的情形，建议项目及时开展环境影响后评价。建设单位只要严格按工程设计、操作规程运行和管理，并认真落实本评价提出的各项风险防范措施，可降低各种事故发生的概率及对周围环境的影响，环境风险在可接受范围内。</w:t>
      </w:r>
    </w:p>
    <w:p w14:paraId="43C6C3B2">
      <w:pPr>
        <w:widowControl/>
        <w:spacing w:line="240" w:lineRule="auto"/>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14:paraId="26BC7538">
      <w:pPr>
        <w:pStyle w:val="7"/>
      </w:pPr>
      <w:bookmarkStart w:id="204" w:name="_Toc204062661"/>
      <w:r>
        <w:rPr>
          <w:rFonts w:hint="eastAsia"/>
        </w:rPr>
        <w:t>碳排放影响分析</w:t>
      </w:r>
      <w:bookmarkEnd w:id="204"/>
    </w:p>
    <w:p w14:paraId="3BAEEB72">
      <w:pPr>
        <w:pStyle w:val="8"/>
        <w:numPr>
          <w:ilvl w:val="1"/>
          <w:numId w:val="53"/>
        </w:numPr>
      </w:pPr>
      <w:bookmarkStart w:id="205" w:name="_Toc204062662"/>
      <w:r>
        <w:rPr>
          <w:rFonts w:hint="eastAsia"/>
        </w:rPr>
        <w:t>评价依据</w:t>
      </w:r>
      <w:bookmarkEnd w:id="205"/>
    </w:p>
    <w:p w14:paraId="55A58B52">
      <w:pPr>
        <w:pStyle w:val="46"/>
        <w:widowControl/>
        <w:numPr>
          <w:ilvl w:val="0"/>
          <w:numId w:val="54"/>
        </w:num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《环境影响评价与排污许可领域协同推进碳减排工作方案》（环办环评函〔2021〕277号）；</w:t>
      </w:r>
    </w:p>
    <w:p w14:paraId="66CEF2FB">
      <w:pPr>
        <w:pStyle w:val="46"/>
        <w:widowControl/>
        <w:numPr>
          <w:ilvl w:val="0"/>
          <w:numId w:val="54"/>
        </w:num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《碳排放权交易管理暂行条例》（国务院令第775号）；</w:t>
      </w:r>
    </w:p>
    <w:p w14:paraId="5CCCBF86">
      <w:pPr>
        <w:pStyle w:val="46"/>
        <w:widowControl/>
        <w:numPr>
          <w:ilvl w:val="0"/>
          <w:numId w:val="54"/>
        </w:num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《企业温室气体排放报告核查指南（试行）》（环办气候函〔2021〕130号）；</w:t>
      </w:r>
    </w:p>
    <w:p w14:paraId="2EF60E6E">
      <w:pPr>
        <w:pStyle w:val="46"/>
        <w:widowControl/>
        <w:numPr>
          <w:ilvl w:val="0"/>
          <w:numId w:val="54"/>
        </w:num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《关于加强高耗能、高排放建设项目生态环境源头防控的指导意见》（环环评〔2021〕45号）；</w:t>
      </w:r>
    </w:p>
    <w:p w14:paraId="36CD31C1">
      <w:pPr>
        <w:pStyle w:val="46"/>
        <w:widowControl/>
        <w:numPr>
          <w:ilvl w:val="0"/>
          <w:numId w:val="54"/>
        </w:num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生态环境部办公厅《关于加强企业温室气体排放报告管理相关工作的通知》（环办气候〔2021〕9号）；</w:t>
      </w:r>
    </w:p>
    <w:p w14:paraId="398C9132">
      <w:pPr>
        <w:pStyle w:val="46"/>
        <w:widowControl/>
        <w:numPr>
          <w:ilvl w:val="0"/>
          <w:numId w:val="54"/>
        </w:num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《关于开展重点行业建设项目碳排放环境影响评价试点的通知》（环办环评函〔2021〕346号）；</w:t>
      </w:r>
    </w:p>
    <w:p w14:paraId="23EBE882">
      <w:pPr>
        <w:pStyle w:val="46"/>
        <w:widowControl/>
        <w:numPr>
          <w:ilvl w:val="0"/>
          <w:numId w:val="54"/>
        </w:num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《中国化工生产企业温室气体排放核算方法与报告指南</w:t>
      </w:r>
      <w:r>
        <w:rPr>
          <w:rFonts w:hint="eastAsia"/>
          <w:color w:val="0D0D0D" w:themeColor="text1" w:themeTint="F2"/>
          <w:u w:val="single"/>
          <w:lang w:eastAsia="zh-CN"/>
          <w14:textFill>
            <w14:solidFill>
              <w14:schemeClr w14:val="tx1">
                <w14:lumMod w14:val="95000"/>
                <w14:lumOff w14:val="5000"/>
              </w14:schemeClr>
            </w14:solidFill>
          </w14:textFill>
        </w:rPr>
        <w:t>（试行）》</w:t>
      </w:r>
      <w:bookmarkStart w:id="270" w:name="_GoBack"/>
      <w:bookmarkEnd w:id="270"/>
      <w:r>
        <w:rPr>
          <w:rFonts w:hint="eastAsia"/>
          <w:color w:val="0D0D0D" w:themeColor="text1" w:themeTint="F2"/>
          <w:u w:val="single"/>
          <w14:textFill>
            <w14:solidFill>
              <w14:schemeClr w14:val="tx1">
                <w14:lumMod w14:val="95000"/>
                <w14:lumOff w14:val="5000"/>
              </w14:schemeClr>
            </w14:solidFill>
          </w14:textFill>
        </w:rPr>
        <w:t>；</w:t>
      </w:r>
    </w:p>
    <w:p w14:paraId="6FE4C9EF">
      <w:pPr>
        <w:pStyle w:val="46"/>
        <w:widowControl/>
        <w:numPr>
          <w:ilvl w:val="0"/>
          <w:numId w:val="54"/>
        </w:num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《广西壮族自治区人民政府关于印发广西壮族自治区碳达峰实施方案的通知》（桂政发〔2022〕37号）；</w:t>
      </w:r>
    </w:p>
    <w:p w14:paraId="52163C3D">
      <w:pPr>
        <w:pStyle w:val="46"/>
        <w:widowControl/>
        <w:numPr>
          <w:ilvl w:val="0"/>
          <w:numId w:val="54"/>
        </w:num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《广西壮族自治区生态环境厅关于推进碳排放环境影响评价工作的通知》（桂环函〔2021〕1693号）。</w:t>
      </w:r>
    </w:p>
    <w:p w14:paraId="5AF76BB5">
      <w:pPr>
        <w:pStyle w:val="8"/>
      </w:pPr>
      <w:bookmarkStart w:id="206" w:name="_Toc204062663"/>
      <w:r>
        <w:rPr>
          <w:rFonts w:hint="eastAsia"/>
        </w:rPr>
        <w:t>碳排放政策符合性分析</w:t>
      </w:r>
      <w:bookmarkEnd w:id="206"/>
    </w:p>
    <w:p w14:paraId="1D0B2F64">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关于加强高耗能、高排放建设项目生态环境源头防控的指导意见》（环环评〔2021〕45号，2021年5月30日），将碳排放影响评价纳入环境影响评价体系。各级生态环境部门和行政审批部门应积极推进“两高”项目环评开展试点工作，衔接落实有关区域和行业碳达峰行动方案、清洁能源替代、清洁运输、煤炭消费总量控制等政策要求。在环评工作中，统筹开展污染物和碳排放的源项识别、源强核算、减污降碳措施可行性论证及方案比选，提出协同控制最优方案。鼓励有条件的地区、企业探索实施减污降碳协同治理和碳捕集、封存、综合利用工程试点、示范。</w:t>
      </w:r>
    </w:p>
    <w:p w14:paraId="365F3DB0">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环境影响评价与排污许可领域协同推进碳减排工作方案》（环办环评函〔2021〕277号，2021年6月7日），完善建设项目环境影响评价制度，组织开展试点，探索将碳排放纳入建设项目环境影响评价，2021-2022年，率先针对电力、石化、化工、钢铁、建材、有色等行业建设项目开展碳排放量核算和控制试点。分析确定建设项目二氧化碳产生的关键环节和主要类别，测算评估排放水平，结合能耗、工艺技术分析减排潜力，在环评文件中提出单位原料、产品或燃料碳排放强度或排放总量控制要求；根据国家制定的行业碳达峰方案，分别从原燃料清洁替代、节能降耗技术、余热余能利用、清洁运输方式等方面提出针对性的降碳措施与控制要求。</w:t>
      </w:r>
    </w:p>
    <w:p w14:paraId="49037451">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关于开展重点行业建设项目碳排放环境影响评价试点的通知》（环办环评函〔2021〕346号）及其附件2《重点行业建设项目碳排放环境影响评价试点技术指南（试行）》《广西壮族自治区生态环境厅关于推进碳排放环境影响评价工作的通知》（桂环函〔2021〕1693号），在环境影响报告书中增加碳排放环境影响评价专章，按照桂环函〔2021〕1693号要求，分析建设项目碳排放是否满足相关政策要求，明确建设项目二氧化碳产生节点，开展碳减排及二氧化碳与污染物协同控制措施可行性论证，核算二氧化碳产生和排放量，分析建设项目二氧化碳排放水平，提出建设项目碳排放环境影响评价结论</w:t>
      </w:r>
    </w:p>
    <w:p w14:paraId="5772FC41">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2030年前碳达峰行动方案》（国发〔2020〕23号），行动方案重点任务之一：能源绿色低碳转型行动，大力实施可再生能源替代，加快构建清洁低碳安全高效的能源体系。本项目主要产品为生物柴油，属于绿色能源，非化石燃料，符合《2030年前碳达峰行动方案》的相关要求，并对目标实现有直接助力。</w:t>
      </w:r>
    </w:p>
    <w:p w14:paraId="4A84CE44">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生物柴油生产属于国民经济行业分类中生物柴油生产属于C2541生物质液体燃料生产，工业级混合油生产属于C4220非金属废料和碎屑加工处理，均不涉及《重点行业建设项目碳排放环境影响评价试点技术指南（试行）》（环办环评函〔2021〕346号附件2）附录1所列重点行业。</w:t>
      </w:r>
    </w:p>
    <w:p w14:paraId="1CABB971">
      <w:pPr>
        <w:pStyle w:val="8"/>
      </w:pPr>
      <w:bookmarkStart w:id="207" w:name="_Toc204062664"/>
      <w:r>
        <w:rPr>
          <w:rFonts w:hint="eastAsia"/>
        </w:rPr>
        <w:t>项目碳排放分析</w:t>
      </w:r>
      <w:bookmarkEnd w:id="207"/>
    </w:p>
    <w:p w14:paraId="721F6705">
      <w:pPr>
        <w:widowControl/>
        <w:ind w:firstLine="482" w:firstLineChars="200"/>
        <w:rPr>
          <w:b/>
          <w:bCs/>
          <w:color w:val="0D0D0D" w:themeColor="text1" w:themeTint="F2"/>
          <w:u w:val="single"/>
          <w14:textFill>
            <w14:solidFill>
              <w14:schemeClr w14:val="tx1">
                <w14:lumMod w14:val="95000"/>
                <w14:lumOff w14:val="5000"/>
              </w14:schemeClr>
            </w14:solidFill>
          </w14:textFill>
        </w:rPr>
      </w:pPr>
      <w:r>
        <w:rPr>
          <w:rFonts w:hint="eastAsia"/>
          <w:b/>
          <w:bCs/>
          <w:color w:val="0D0D0D" w:themeColor="text1" w:themeTint="F2"/>
          <w:u w:val="single"/>
          <w14:textFill>
            <w14:solidFill>
              <w14:schemeClr w14:val="tx1">
                <w14:lumMod w14:val="95000"/>
                <w14:lumOff w14:val="5000"/>
              </w14:schemeClr>
            </w14:solidFill>
          </w14:textFill>
        </w:rPr>
        <w:t>1、核算边界</w:t>
      </w:r>
    </w:p>
    <w:p w14:paraId="5A2AF66E">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参照《碳排放核算与报告要求 第10部分：化工生产企业》（GB∕T32151.10-2023），本次评价以项目占地为边界，核算和报告边界内所有生产设施产生的温室气体排放。生产设施范围包括直接生产系统、辅助生产系统、以及直接为生产服务的附属生产系统，其中辅助生产系统包括动力、供电、供水、化验、机修、库房、运输等，附属生产系统包括生产指挥系统（厂部）和厂区内为生产服务的部门。</w:t>
      </w:r>
    </w:p>
    <w:p w14:paraId="3D3CC974">
      <w:pPr>
        <w:widowControl/>
        <w:ind w:firstLine="482" w:firstLineChars="200"/>
        <w:rPr>
          <w:b/>
          <w:bCs/>
          <w:color w:val="0D0D0D" w:themeColor="text1" w:themeTint="F2"/>
          <w:u w:val="single"/>
          <w14:textFill>
            <w14:solidFill>
              <w14:schemeClr w14:val="tx1">
                <w14:lumMod w14:val="95000"/>
                <w14:lumOff w14:val="5000"/>
              </w14:schemeClr>
            </w14:solidFill>
          </w14:textFill>
        </w:rPr>
      </w:pPr>
      <w:r>
        <w:rPr>
          <w:rFonts w:hint="eastAsia"/>
          <w:b/>
          <w:bCs/>
          <w:color w:val="0D0D0D" w:themeColor="text1" w:themeTint="F2"/>
          <w:u w:val="single"/>
          <w14:textFill>
            <w14:solidFill>
              <w14:schemeClr w14:val="tx1">
                <w14:lumMod w14:val="95000"/>
                <w14:lumOff w14:val="5000"/>
              </w14:schemeClr>
            </w14:solidFill>
          </w14:textFill>
        </w:rPr>
        <w:t>2、碳排放源识别</w:t>
      </w:r>
    </w:p>
    <w:p w14:paraId="60094BC5">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（1）碳排放情形</w:t>
      </w:r>
    </w:p>
    <w:p w14:paraId="7BF27133">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根据《中国化工生产企业温室气体排放核算方法与报告指南（试行）》，温室气体主要排放源及种类包括如下：</w:t>
      </w:r>
    </w:p>
    <w:p w14:paraId="0659CEA7">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①燃料排放。指化石燃料在各种类型的固定或移动燃烧设备中（如锅炉、燃烧器、涡轮机、加热器、焚烧炉、煅烧炉、窑炉、熔炉、烤炉、内燃机等）与氧气充分燃烧生成的CO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排放。</w:t>
      </w:r>
    </w:p>
    <w:p w14:paraId="30C513E8">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项目使用生物质颗粒燃料及收集装置尾气作为燃料与氧气充分燃烧生成的CO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排放与其生长过程中吸收的CO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相当，其CO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排放量忽略不计。</w:t>
      </w:r>
    </w:p>
    <w:p w14:paraId="437D653C">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②工业生产过程排放。主要指化石燃料和</w:t>
      </w:r>
      <w:r>
        <w:rPr>
          <w:rFonts w:hint="eastAsia"/>
          <w:color w:val="0D0D0D" w:themeColor="text1" w:themeTint="F2"/>
          <w:u w:val="single"/>
          <w:lang w:eastAsia="zh-CN"/>
          <w14:textFill>
            <w14:solidFill>
              <w14:schemeClr w14:val="tx1">
                <w14:lumMod w14:val="95000"/>
                <w14:lumOff w14:val="5000"/>
              </w14:schemeClr>
            </w14:solidFill>
          </w14:textFill>
        </w:rPr>
        <w:t>其他</w:t>
      </w:r>
      <w:r>
        <w:rPr>
          <w:rFonts w:hint="eastAsia"/>
          <w:color w:val="0D0D0D" w:themeColor="text1" w:themeTint="F2"/>
          <w:u w:val="single"/>
          <w14:textFill>
            <w14:solidFill>
              <w14:schemeClr w14:val="tx1">
                <w14:lumMod w14:val="95000"/>
                <w14:lumOff w14:val="5000"/>
              </w14:schemeClr>
            </w14:solidFill>
          </w14:textFill>
        </w:rPr>
        <w:t>碳氢化合物用作原材料产生的CO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排放，包括放空的废气经火炬处理后产生的CO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排放。</w:t>
      </w:r>
    </w:p>
    <w:p w14:paraId="7F113BEB">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项目无放空的废气、无碳酸盐使用、不存在硝酸或己二酸生产过程，生产过程无CO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、N</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O排放；</w:t>
      </w:r>
    </w:p>
    <w:p w14:paraId="379960BB">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③CO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回收利用量。主要指报告主体回收燃料燃烧或工业生产过程产生的CO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并作为产品外供给</w:t>
      </w:r>
      <w:r>
        <w:rPr>
          <w:rFonts w:hint="eastAsia"/>
          <w:color w:val="0D0D0D" w:themeColor="text1" w:themeTint="F2"/>
          <w:u w:val="single"/>
          <w:lang w:eastAsia="zh-CN"/>
          <w14:textFill>
            <w14:solidFill>
              <w14:schemeClr w14:val="tx1">
                <w14:lumMod w14:val="95000"/>
                <w14:lumOff w14:val="5000"/>
              </w14:schemeClr>
            </w14:solidFill>
          </w14:textFill>
        </w:rPr>
        <w:t>其他</w:t>
      </w:r>
      <w:r>
        <w:rPr>
          <w:rFonts w:hint="eastAsia"/>
          <w:color w:val="0D0D0D" w:themeColor="text1" w:themeTint="F2"/>
          <w:u w:val="single"/>
          <w14:textFill>
            <w14:solidFill>
              <w14:schemeClr w14:val="tx1">
                <w14:lumMod w14:val="95000"/>
                <w14:lumOff w14:val="5000"/>
              </w14:schemeClr>
            </w14:solidFill>
          </w14:textFill>
        </w:rPr>
        <w:t>单位从而应予扣减的那部分二氧化碳，不包括企业现场回收自用的部分。</w:t>
      </w:r>
    </w:p>
    <w:p w14:paraId="6BCBCA62">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项目无回收燃料燃烧或工业生产过程产生的CO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并作为产品外供给</w:t>
      </w:r>
      <w:r>
        <w:rPr>
          <w:rFonts w:hint="eastAsia"/>
          <w:color w:val="0D0D0D" w:themeColor="text1" w:themeTint="F2"/>
          <w:u w:val="single"/>
          <w:lang w:eastAsia="zh-CN"/>
          <w14:textFill>
            <w14:solidFill>
              <w14:schemeClr w14:val="tx1">
                <w14:lumMod w14:val="95000"/>
                <w14:lumOff w14:val="5000"/>
              </w14:schemeClr>
            </w14:solidFill>
          </w14:textFill>
        </w:rPr>
        <w:t>其他</w:t>
      </w:r>
      <w:r>
        <w:rPr>
          <w:rFonts w:hint="eastAsia"/>
          <w:color w:val="0D0D0D" w:themeColor="text1" w:themeTint="F2"/>
          <w:u w:val="single"/>
          <w14:textFill>
            <w14:solidFill>
              <w14:schemeClr w14:val="tx1">
                <w14:lumMod w14:val="95000"/>
                <w14:lumOff w14:val="5000"/>
              </w14:schemeClr>
            </w14:solidFill>
          </w14:textFill>
        </w:rPr>
        <w:t>单位。</w:t>
      </w:r>
    </w:p>
    <w:p w14:paraId="4790C212">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④净购入的电力和热力消费引起的排放。该部分排放实际上发生在生产这些电力或热力的企业，但由企业主体的消费活动引发，此处依照规定也计入企业主体的排放总量中。</w:t>
      </w:r>
    </w:p>
    <w:p w14:paraId="09A445BA">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项目有外购电力和热力消费引起的CO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排放。</w:t>
      </w:r>
    </w:p>
    <w:p w14:paraId="3EFE8939">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⑤其他温室气体排放。</w:t>
      </w:r>
    </w:p>
    <w:p w14:paraId="74335A29">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项目不存在氟化物等的生产或其他温室气体排放行为或生产活动，无其他温室气体排放。</w:t>
      </w:r>
    </w:p>
    <w:p w14:paraId="7E13A3E5">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（2）本项目情况</w:t>
      </w:r>
    </w:p>
    <w:p w14:paraId="64042F6D">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副产物为重质脂肪酸、精甘油、轻组分及少量沼气，其中1500t/a轻组分作为1＃导热油炉辅助燃料，沼气脱硫净化后引至1＃导热油炉燃烧处理，不属于化石燃料，其碳源于生物固碳，视为零碳排放，不计入直接排放源。</w:t>
      </w:r>
    </w:p>
    <w:p w14:paraId="0F9C61C3">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项目生产需外购电2100万kWH/a，外购蒸汽约1.88万t/a。</w:t>
      </w:r>
    </w:p>
    <w:p w14:paraId="7D5F1E4C">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项目不进行CO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回收利用。</w:t>
      </w:r>
    </w:p>
    <w:p w14:paraId="451A4D1C">
      <w:pPr>
        <w:widowControl/>
        <w:ind w:firstLine="482" w:firstLineChars="200"/>
        <w:rPr>
          <w:b/>
          <w:bCs/>
          <w:color w:val="0D0D0D" w:themeColor="text1" w:themeTint="F2"/>
          <w:u w:val="single"/>
          <w14:textFill>
            <w14:solidFill>
              <w14:schemeClr w14:val="tx1">
                <w14:lumMod w14:val="95000"/>
                <w14:lumOff w14:val="5000"/>
              </w14:schemeClr>
            </w14:solidFill>
          </w14:textFill>
        </w:rPr>
      </w:pPr>
      <w:r>
        <w:rPr>
          <w:rFonts w:hint="eastAsia"/>
          <w:b/>
          <w:bCs/>
          <w:color w:val="0D0D0D" w:themeColor="text1" w:themeTint="F2"/>
          <w:u w:val="single"/>
          <w14:textFill>
            <w14:solidFill>
              <w14:schemeClr w14:val="tx1">
                <w14:lumMod w14:val="95000"/>
                <w14:lumOff w14:val="5000"/>
              </w14:schemeClr>
            </w14:solidFill>
          </w14:textFill>
        </w:rPr>
        <w:t>3、二氧化碳排放量计算</w:t>
      </w:r>
    </w:p>
    <w:p w14:paraId="16442440">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根据《中国化工生产企业温室气体排放核算方法与报告指南（试行）》，项目碳排放总量计算公式如下：</w:t>
      </w:r>
    </w:p>
    <w:p w14:paraId="50648743">
      <w:pPr>
        <w:widowControl/>
        <w:ind w:firstLine="480" w:firstLineChars="200"/>
        <w:jc w:val="center"/>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E</w:t>
      </w:r>
      <w:r>
        <w:rPr>
          <w:rFonts w:hint="eastAsia"/>
          <w:color w:val="0D0D0D" w:themeColor="text1" w:themeTint="F2"/>
          <w:u w:val="single"/>
          <w:vertAlign w:val="subscript"/>
          <w14:textFill>
            <w14:solidFill>
              <w14:schemeClr w14:val="tx1">
                <w14:lumMod w14:val="95000"/>
                <w14:lumOff w14:val="5000"/>
              </w14:schemeClr>
            </w14:solidFill>
          </w14:textFill>
        </w:rPr>
        <w:t>GHG</w:t>
      </w:r>
      <w:r>
        <w:rPr>
          <w:rFonts w:hint="eastAsia"/>
          <w:color w:val="0D0D0D" w:themeColor="text1" w:themeTint="F2"/>
          <w:u w:val="single"/>
          <w14:textFill>
            <w14:solidFill>
              <w14:schemeClr w14:val="tx1">
                <w14:lumMod w14:val="95000"/>
                <w14:lumOff w14:val="5000"/>
              </w14:schemeClr>
            </w14:solidFill>
          </w14:textFill>
        </w:rPr>
        <w:t>=ECO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_</w:t>
      </w:r>
      <w:r>
        <w:rPr>
          <w:rFonts w:hint="eastAsia"/>
          <w:color w:val="0D0D0D" w:themeColor="text1" w:themeTint="F2"/>
          <w:u w:val="single"/>
          <w:vertAlign w:val="subscript"/>
          <w14:textFill>
            <w14:solidFill>
              <w14:schemeClr w14:val="tx1">
                <w14:lumMod w14:val="95000"/>
                <w14:lumOff w14:val="5000"/>
              </w14:schemeClr>
            </w14:solidFill>
          </w14:textFill>
        </w:rPr>
        <w:t>燃烧</w:t>
      </w:r>
      <w:r>
        <w:rPr>
          <w:rFonts w:hint="eastAsia"/>
          <w:color w:val="0D0D0D" w:themeColor="text1" w:themeTint="F2"/>
          <w:u w:val="single"/>
          <w14:textFill>
            <w14:solidFill>
              <w14:schemeClr w14:val="tx1">
                <w14:lumMod w14:val="95000"/>
                <w14:lumOff w14:val="5000"/>
              </w14:schemeClr>
            </w14:solidFill>
          </w14:textFill>
        </w:rPr>
        <w:t>+E</w:t>
      </w:r>
      <w:r>
        <w:rPr>
          <w:rFonts w:hint="eastAsia"/>
          <w:color w:val="0D0D0D" w:themeColor="text1" w:themeTint="F2"/>
          <w:u w:val="single"/>
          <w:vertAlign w:val="subscript"/>
          <w14:textFill>
            <w14:solidFill>
              <w14:schemeClr w14:val="tx1">
                <w14:lumMod w14:val="95000"/>
                <w14:lumOff w14:val="5000"/>
              </w14:schemeClr>
            </w14:solidFill>
          </w14:textFill>
        </w:rPr>
        <w:t>GHG_过程</w:t>
      </w:r>
      <w:r>
        <w:rPr>
          <w:rFonts w:hint="eastAsia"/>
          <w:color w:val="0D0D0D" w:themeColor="text1" w:themeTint="F2"/>
          <w:u w:val="single"/>
          <w14:textFill>
            <w14:solidFill>
              <w14:schemeClr w14:val="tx1">
                <w14:lumMod w14:val="95000"/>
                <w14:lumOff w14:val="5000"/>
              </w14:schemeClr>
            </w14:solidFill>
          </w14:textFill>
        </w:rPr>
        <w:t>-RCO</w:t>
      </w:r>
      <w:r>
        <w:rPr>
          <w:rFonts w:hint="eastAsia"/>
          <w:color w:val="0D0D0D" w:themeColor="text1" w:themeTint="F2"/>
          <w:u w:val="single"/>
          <w:vertAlign w:val="subscript"/>
          <w14:textFill>
            <w14:solidFill>
              <w14:schemeClr w14:val="tx1">
                <w14:lumMod w14:val="95000"/>
                <w14:lumOff w14:val="5000"/>
              </w14:schemeClr>
            </w14:solidFill>
          </w14:textFill>
        </w:rPr>
        <w:t>2_回收</w:t>
      </w:r>
      <w:r>
        <w:rPr>
          <w:rFonts w:hint="eastAsia"/>
          <w:color w:val="0D0D0D" w:themeColor="text1" w:themeTint="F2"/>
          <w:u w:val="single"/>
          <w14:textFill>
            <w14:solidFill>
              <w14:schemeClr w14:val="tx1">
                <w14:lumMod w14:val="95000"/>
                <w14:lumOff w14:val="5000"/>
              </w14:schemeClr>
            </w14:solidFill>
          </w14:textFill>
        </w:rPr>
        <w:t>+ECO</w:t>
      </w:r>
      <w:r>
        <w:rPr>
          <w:rFonts w:hint="eastAsia"/>
          <w:color w:val="0D0D0D" w:themeColor="text1" w:themeTint="F2"/>
          <w:u w:val="single"/>
          <w:vertAlign w:val="subscript"/>
          <w14:textFill>
            <w14:solidFill>
              <w14:schemeClr w14:val="tx1">
                <w14:lumMod w14:val="95000"/>
                <w14:lumOff w14:val="5000"/>
              </w14:schemeClr>
            </w14:solidFill>
          </w14:textFill>
        </w:rPr>
        <w:t>2_净电</w:t>
      </w:r>
      <w:r>
        <w:rPr>
          <w:rFonts w:hint="eastAsia"/>
          <w:color w:val="0D0D0D" w:themeColor="text1" w:themeTint="F2"/>
          <w:u w:val="single"/>
          <w14:textFill>
            <w14:solidFill>
              <w14:schemeClr w14:val="tx1">
                <w14:lumMod w14:val="95000"/>
                <w14:lumOff w14:val="5000"/>
              </w14:schemeClr>
            </w14:solidFill>
          </w14:textFill>
        </w:rPr>
        <w:t>+ECO</w:t>
      </w:r>
      <w:r>
        <w:rPr>
          <w:rFonts w:hint="eastAsia"/>
          <w:color w:val="0D0D0D" w:themeColor="text1" w:themeTint="F2"/>
          <w:u w:val="single"/>
          <w:vertAlign w:val="subscript"/>
          <w14:textFill>
            <w14:solidFill>
              <w14:schemeClr w14:val="tx1">
                <w14:lumMod w14:val="95000"/>
                <w14:lumOff w14:val="5000"/>
              </w14:schemeClr>
            </w14:solidFill>
          </w14:textFill>
        </w:rPr>
        <w:t>2_净热</w:t>
      </w:r>
    </w:p>
    <w:p w14:paraId="3BA5E43D">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式中：</w:t>
      </w:r>
    </w:p>
    <w:p w14:paraId="6631DC43">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E</w:t>
      </w:r>
      <w:r>
        <w:rPr>
          <w:rFonts w:hint="eastAsia"/>
          <w:color w:val="0D0D0D" w:themeColor="text1" w:themeTint="F2"/>
          <w:u w:val="single"/>
          <w:vertAlign w:val="subscript"/>
          <w14:textFill>
            <w14:solidFill>
              <w14:schemeClr w14:val="tx1">
                <w14:lumMod w14:val="95000"/>
                <w14:lumOff w14:val="5000"/>
              </w14:schemeClr>
            </w14:solidFill>
          </w14:textFill>
        </w:rPr>
        <w:t>GHG</w:t>
      </w:r>
      <w:r>
        <w:rPr>
          <w:rFonts w:hint="eastAsia"/>
          <w:color w:val="0D0D0D" w:themeColor="text1" w:themeTint="F2"/>
          <w:u w:val="single"/>
          <w14:textFill>
            <w14:solidFill>
              <w14:schemeClr w14:val="tx1">
                <w14:lumMod w14:val="95000"/>
                <w14:lumOff w14:val="5000"/>
              </w14:schemeClr>
            </w14:solidFill>
          </w14:textFill>
        </w:rPr>
        <w:t>为温室气体排放总量，单位为吨CO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当量；</w:t>
      </w:r>
    </w:p>
    <w:p w14:paraId="0CAB19E6">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E</w:t>
      </w:r>
      <w:r>
        <w:rPr>
          <w:rFonts w:hint="eastAsia"/>
          <w:color w:val="0D0D0D" w:themeColor="text1" w:themeTint="F2"/>
          <w:u w:val="single"/>
          <w:vertAlign w:val="subscript"/>
          <w14:textFill>
            <w14:solidFill>
              <w14:schemeClr w14:val="tx1">
                <w14:lumMod w14:val="95000"/>
                <w14:lumOff w14:val="5000"/>
              </w14:schemeClr>
            </w14:solidFill>
          </w14:textFill>
        </w:rPr>
        <w:t>CO2_燃烧</w:t>
      </w:r>
      <w:r>
        <w:rPr>
          <w:rFonts w:hint="eastAsia"/>
          <w:color w:val="0D0D0D" w:themeColor="text1" w:themeTint="F2"/>
          <w:u w:val="single"/>
          <w14:textFill>
            <w14:solidFill>
              <w14:schemeClr w14:val="tx1">
                <w14:lumMod w14:val="95000"/>
                <w14:lumOff w14:val="5000"/>
              </w14:schemeClr>
            </w14:solidFill>
          </w14:textFill>
        </w:rPr>
        <w:t>为企业边界内化石燃料燃烧产生的CO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排放；</w:t>
      </w:r>
    </w:p>
    <w:p w14:paraId="0A6D2D31">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E</w:t>
      </w:r>
      <w:r>
        <w:rPr>
          <w:rFonts w:hint="eastAsia"/>
          <w:color w:val="0D0D0D" w:themeColor="text1" w:themeTint="F2"/>
          <w:u w:val="single"/>
          <w:vertAlign w:val="subscript"/>
          <w14:textFill>
            <w14:solidFill>
              <w14:schemeClr w14:val="tx1">
                <w14:lumMod w14:val="95000"/>
                <w14:lumOff w14:val="5000"/>
              </w14:schemeClr>
            </w14:solidFill>
          </w14:textFill>
        </w:rPr>
        <w:t>GHG_过程</w:t>
      </w:r>
      <w:r>
        <w:rPr>
          <w:rFonts w:hint="eastAsia"/>
          <w:color w:val="0D0D0D" w:themeColor="text1" w:themeTint="F2"/>
          <w:u w:val="single"/>
          <w14:textFill>
            <w14:solidFill>
              <w14:schemeClr w14:val="tx1">
                <w14:lumMod w14:val="95000"/>
                <w14:lumOff w14:val="5000"/>
              </w14:schemeClr>
            </w14:solidFill>
          </w14:textFill>
        </w:rPr>
        <w:t>为企业边界内工业生产过程产生的各种温室气体CO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当量排放；（本项目无）</w:t>
      </w:r>
    </w:p>
    <w:p w14:paraId="4737F1DF">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R</w:t>
      </w:r>
      <w:r>
        <w:rPr>
          <w:rFonts w:hint="eastAsia"/>
          <w:color w:val="0D0D0D" w:themeColor="text1" w:themeTint="F2"/>
          <w:u w:val="single"/>
          <w:vertAlign w:val="subscript"/>
          <w14:textFill>
            <w14:solidFill>
              <w14:schemeClr w14:val="tx1">
                <w14:lumMod w14:val="95000"/>
                <w14:lumOff w14:val="5000"/>
              </w14:schemeClr>
            </w14:solidFill>
          </w14:textFill>
        </w:rPr>
        <w:t>CO2_回收</w:t>
      </w:r>
      <w:r>
        <w:rPr>
          <w:rFonts w:hint="eastAsia"/>
          <w:color w:val="0D0D0D" w:themeColor="text1" w:themeTint="F2"/>
          <w:u w:val="single"/>
          <w14:textFill>
            <w14:solidFill>
              <w14:schemeClr w14:val="tx1">
                <w14:lumMod w14:val="95000"/>
                <w14:lumOff w14:val="5000"/>
              </w14:schemeClr>
            </w14:solidFill>
          </w14:textFill>
        </w:rPr>
        <w:t>为企业回收且外供的CO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量；（本项目无）</w:t>
      </w:r>
    </w:p>
    <w:p w14:paraId="5FC24BCE">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E</w:t>
      </w:r>
      <w:r>
        <w:rPr>
          <w:rFonts w:hint="eastAsia"/>
          <w:color w:val="0D0D0D" w:themeColor="text1" w:themeTint="F2"/>
          <w:u w:val="single"/>
          <w:vertAlign w:val="subscript"/>
          <w14:textFill>
            <w14:solidFill>
              <w14:schemeClr w14:val="tx1">
                <w14:lumMod w14:val="95000"/>
                <w14:lumOff w14:val="5000"/>
              </w14:schemeClr>
            </w14:solidFill>
          </w14:textFill>
        </w:rPr>
        <w:t>CO2_净电</w:t>
      </w:r>
      <w:r>
        <w:rPr>
          <w:rFonts w:hint="eastAsia"/>
          <w:color w:val="0D0D0D" w:themeColor="text1" w:themeTint="F2"/>
          <w:u w:val="single"/>
          <w14:textFill>
            <w14:solidFill>
              <w14:schemeClr w14:val="tx1">
                <w14:lumMod w14:val="95000"/>
                <w14:lumOff w14:val="5000"/>
              </w14:schemeClr>
            </w14:solidFill>
          </w14:textFill>
        </w:rPr>
        <w:t>为企业净购入的电力消费引起的CO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排放；</w:t>
      </w:r>
    </w:p>
    <w:p w14:paraId="10B6F1D2">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E</w:t>
      </w:r>
      <w:r>
        <w:rPr>
          <w:rFonts w:hint="eastAsia"/>
          <w:color w:val="0D0D0D" w:themeColor="text1" w:themeTint="F2"/>
          <w:u w:val="single"/>
          <w:vertAlign w:val="subscript"/>
          <w14:textFill>
            <w14:solidFill>
              <w14:schemeClr w14:val="tx1">
                <w14:lumMod w14:val="95000"/>
                <w14:lumOff w14:val="5000"/>
              </w14:schemeClr>
            </w14:solidFill>
          </w14:textFill>
        </w:rPr>
        <w:t>CO2_净热</w:t>
      </w:r>
      <w:r>
        <w:rPr>
          <w:rFonts w:hint="eastAsia"/>
          <w:color w:val="0D0D0D" w:themeColor="text1" w:themeTint="F2"/>
          <w:u w:val="single"/>
          <w14:textFill>
            <w14:solidFill>
              <w14:schemeClr w14:val="tx1">
                <w14:lumMod w14:val="95000"/>
                <w14:lumOff w14:val="5000"/>
              </w14:schemeClr>
            </w14:solidFill>
          </w14:textFill>
        </w:rPr>
        <w:t>为企业净购入的热力消费引起的CO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排放。</w:t>
      </w:r>
    </w:p>
    <w:p w14:paraId="2C51881B">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（1）净购入的电力、热力消费引起的二氧化碳排放量</w:t>
      </w:r>
    </w:p>
    <w:p w14:paraId="21A02453">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①计算公式</w:t>
      </w:r>
    </w:p>
    <w:p w14:paraId="5F2C5C64">
      <w:pPr>
        <w:widowControl/>
        <w:ind w:firstLine="480" w:firstLineChars="200"/>
        <w:jc w:val="center"/>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E</w:t>
      </w:r>
      <w:r>
        <w:rPr>
          <w:rFonts w:hint="eastAsia"/>
          <w:color w:val="0D0D0D" w:themeColor="text1" w:themeTint="F2"/>
          <w:u w:val="single"/>
          <w:vertAlign w:val="subscript"/>
          <w14:textFill>
            <w14:solidFill>
              <w14:schemeClr w14:val="tx1">
                <w14:lumMod w14:val="95000"/>
                <w14:lumOff w14:val="5000"/>
              </w14:schemeClr>
            </w14:solidFill>
          </w14:textFill>
        </w:rPr>
        <w:t>CO2_净电</w:t>
      </w:r>
      <w:r>
        <w:rPr>
          <w:rFonts w:hint="eastAsia"/>
          <w:color w:val="0D0D0D" w:themeColor="text1" w:themeTint="F2"/>
          <w:u w:val="single"/>
          <w14:textFill>
            <w14:solidFill>
              <w14:schemeClr w14:val="tx1">
                <w14:lumMod w14:val="95000"/>
                <w14:lumOff w14:val="5000"/>
              </w14:schemeClr>
            </w14:solidFill>
          </w14:textFill>
        </w:rPr>
        <w:t>=AD</w:t>
      </w:r>
      <w:r>
        <w:rPr>
          <w:rFonts w:hint="eastAsia"/>
          <w:color w:val="0D0D0D" w:themeColor="text1" w:themeTint="F2"/>
          <w:u w:val="single"/>
          <w:vertAlign w:val="subscript"/>
          <w14:textFill>
            <w14:solidFill>
              <w14:schemeClr w14:val="tx1">
                <w14:lumMod w14:val="95000"/>
                <w14:lumOff w14:val="5000"/>
              </w14:schemeClr>
            </w14:solidFill>
          </w14:textFill>
        </w:rPr>
        <w:t>电力</w:t>
      </w:r>
      <w:r>
        <w:rPr>
          <w:rFonts w:hint="eastAsia"/>
          <w:color w:val="0D0D0D" w:themeColor="text1" w:themeTint="F2"/>
          <w:u w:val="single"/>
          <w14:textFill>
            <w14:solidFill>
              <w14:schemeClr w14:val="tx1">
                <w14:lumMod w14:val="95000"/>
                <w14:lumOff w14:val="5000"/>
              </w14:schemeClr>
            </w14:solidFill>
          </w14:textFill>
        </w:rPr>
        <w:t>×EF</w:t>
      </w:r>
      <w:r>
        <w:rPr>
          <w:rFonts w:hint="eastAsia"/>
          <w:color w:val="0D0D0D" w:themeColor="text1" w:themeTint="F2"/>
          <w:u w:val="single"/>
          <w:vertAlign w:val="subscript"/>
          <w14:textFill>
            <w14:solidFill>
              <w14:schemeClr w14:val="tx1">
                <w14:lumMod w14:val="95000"/>
                <w14:lumOff w14:val="5000"/>
              </w14:schemeClr>
            </w14:solidFill>
          </w14:textFill>
        </w:rPr>
        <w:t>电力</w:t>
      </w:r>
    </w:p>
    <w:p w14:paraId="7ED68A67">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式中：</w:t>
      </w:r>
    </w:p>
    <w:p w14:paraId="1D2D73C0">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E</w:t>
      </w:r>
      <w:r>
        <w:rPr>
          <w:rFonts w:hint="eastAsia"/>
          <w:color w:val="0D0D0D" w:themeColor="text1" w:themeTint="F2"/>
          <w:u w:val="single"/>
          <w:vertAlign w:val="subscript"/>
          <w14:textFill>
            <w14:solidFill>
              <w14:schemeClr w14:val="tx1">
                <w14:lumMod w14:val="95000"/>
                <w14:lumOff w14:val="5000"/>
              </w14:schemeClr>
            </w14:solidFill>
          </w14:textFill>
        </w:rPr>
        <w:t>CO2_净电</w:t>
      </w:r>
      <w:r>
        <w:rPr>
          <w:rFonts w:hint="eastAsia"/>
          <w:color w:val="0D0D0D" w:themeColor="text1" w:themeTint="F2"/>
          <w:u w:val="single"/>
          <w14:textFill>
            <w14:solidFill>
              <w14:schemeClr w14:val="tx1">
                <w14:lumMod w14:val="95000"/>
                <w14:lumOff w14:val="5000"/>
              </w14:schemeClr>
            </w14:solidFill>
          </w14:textFill>
        </w:rPr>
        <w:t>为企业净购入的电力消费引起的CO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排放，单位为吨CO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w:t>
      </w:r>
    </w:p>
    <w:p w14:paraId="66874DA9">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AD</w:t>
      </w:r>
      <w:r>
        <w:rPr>
          <w:rFonts w:hint="eastAsia"/>
          <w:color w:val="0D0D0D" w:themeColor="text1" w:themeTint="F2"/>
          <w:u w:val="single"/>
          <w:vertAlign w:val="subscript"/>
          <w14:textFill>
            <w14:solidFill>
              <w14:schemeClr w14:val="tx1">
                <w14:lumMod w14:val="95000"/>
                <w14:lumOff w14:val="5000"/>
              </w14:schemeClr>
            </w14:solidFill>
          </w14:textFill>
        </w:rPr>
        <w:t>电力</w:t>
      </w:r>
      <w:r>
        <w:rPr>
          <w:rFonts w:hint="eastAsia"/>
          <w:color w:val="0D0D0D" w:themeColor="text1" w:themeTint="F2"/>
          <w:u w:val="single"/>
          <w14:textFill>
            <w14:solidFill>
              <w14:schemeClr w14:val="tx1">
                <w14:lumMod w14:val="95000"/>
                <w14:lumOff w14:val="5000"/>
              </w14:schemeClr>
            </w14:solidFill>
          </w14:textFill>
        </w:rPr>
        <w:t>为净购入电量，单位为兆瓦时（MWh）；本项目用电21000MWh/a；</w:t>
      </w:r>
    </w:p>
    <w:p w14:paraId="3001BC89">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EF</w:t>
      </w:r>
      <w:r>
        <w:rPr>
          <w:rFonts w:hint="eastAsia"/>
          <w:color w:val="0D0D0D" w:themeColor="text1" w:themeTint="F2"/>
          <w:u w:val="single"/>
          <w:vertAlign w:val="subscript"/>
          <w14:textFill>
            <w14:solidFill>
              <w14:schemeClr w14:val="tx1">
                <w14:lumMod w14:val="95000"/>
                <w14:lumOff w14:val="5000"/>
              </w14:schemeClr>
            </w14:solidFill>
          </w14:textFill>
        </w:rPr>
        <w:t>电力</w:t>
      </w:r>
      <w:r>
        <w:rPr>
          <w:rFonts w:hint="eastAsia"/>
          <w:color w:val="0D0D0D" w:themeColor="text1" w:themeTint="F2"/>
          <w:u w:val="single"/>
          <w14:textFill>
            <w14:solidFill>
              <w14:schemeClr w14:val="tx1">
                <w14:lumMod w14:val="95000"/>
                <w14:lumOff w14:val="5000"/>
              </w14:schemeClr>
            </w14:solidFill>
          </w14:textFill>
        </w:rPr>
        <w:t>为电力的CO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排放因子，单位为吨CO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/兆瓦时（tCO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/MWh）；取值0.4044t/MWh（取自2024年12月20日生态环境部《关于发布2022年电力二氧化碳排放因子的公告》公告 2024年 第33号）</w:t>
      </w:r>
    </w:p>
    <w:p w14:paraId="59E247DA">
      <w:pPr>
        <w:widowControl/>
        <w:ind w:firstLine="480" w:firstLineChars="200"/>
        <w:jc w:val="center"/>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E</w:t>
      </w:r>
      <w:r>
        <w:rPr>
          <w:rFonts w:hint="eastAsia"/>
          <w:color w:val="0D0D0D" w:themeColor="text1" w:themeTint="F2"/>
          <w:u w:val="single"/>
          <w:vertAlign w:val="subscript"/>
          <w14:textFill>
            <w14:solidFill>
              <w14:schemeClr w14:val="tx1">
                <w14:lumMod w14:val="95000"/>
                <w14:lumOff w14:val="5000"/>
              </w14:schemeClr>
            </w14:solidFill>
          </w14:textFill>
        </w:rPr>
        <w:t>CO2_净热</w:t>
      </w:r>
      <w:r>
        <w:rPr>
          <w:rFonts w:hint="eastAsia"/>
          <w:color w:val="0D0D0D" w:themeColor="text1" w:themeTint="F2"/>
          <w:u w:val="single"/>
          <w14:textFill>
            <w14:solidFill>
              <w14:schemeClr w14:val="tx1">
                <w14:lumMod w14:val="95000"/>
                <w14:lumOff w14:val="5000"/>
              </w14:schemeClr>
            </w14:solidFill>
          </w14:textFill>
        </w:rPr>
        <w:t>=AD</w:t>
      </w:r>
      <w:r>
        <w:rPr>
          <w:rFonts w:hint="eastAsia"/>
          <w:color w:val="0D0D0D" w:themeColor="text1" w:themeTint="F2"/>
          <w:u w:val="single"/>
          <w:vertAlign w:val="subscript"/>
          <w14:textFill>
            <w14:solidFill>
              <w14:schemeClr w14:val="tx1">
                <w14:lumMod w14:val="95000"/>
                <w14:lumOff w14:val="5000"/>
              </w14:schemeClr>
            </w14:solidFill>
          </w14:textFill>
        </w:rPr>
        <w:t>热力</w:t>
      </w:r>
      <w:r>
        <w:rPr>
          <w:rFonts w:hint="eastAsia"/>
          <w:color w:val="0D0D0D" w:themeColor="text1" w:themeTint="F2"/>
          <w:u w:val="single"/>
          <w14:textFill>
            <w14:solidFill>
              <w14:schemeClr w14:val="tx1">
                <w14:lumMod w14:val="95000"/>
                <w14:lumOff w14:val="5000"/>
              </w14:schemeClr>
            </w14:solidFill>
          </w14:textFill>
        </w:rPr>
        <w:t>×EF</w:t>
      </w:r>
      <w:r>
        <w:rPr>
          <w:rFonts w:hint="eastAsia"/>
          <w:color w:val="0D0D0D" w:themeColor="text1" w:themeTint="F2"/>
          <w:u w:val="single"/>
          <w:vertAlign w:val="subscript"/>
          <w14:textFill>
            <w14:solidFill>
              <w14:schemeClr w14:val="tx1">
                <w14:lumMod w14:val="95000"/>
                <w14:lumOff w14:val="5000"/>
              </w14:schemeClr>
            </w14:solidFill>
          </w14:textFill>
        </w:rPr>
        <w:t>热力</w:t>
      </w:r>
    </w:p>
    <w:p w14:paraId="6D6F4BAB">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式中：</w:t>
      </w:r>
    </w:p>
    <w:p w14:paraId="3D2141AA">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E</w:t>
      </w:r>
      <w:r>
        <w:rPr>
          <w:rFonts w:hint="eastAsia"/>
          <w:color w:val="0D0D0D" w:themeColor="text1" w:themeTint="F2"/>
          <w:u w:val="single"/>
          <w:vertAlign w:val="subscript"/>
          <w14:textFill>
            <w14:solidFill>
              <w14:schemeClr w14:val="tx1">
                <w14:lumMod w14:val="95000"/>
                <w14:lumOff w14:val="5000"/>
              </w14:schemeClr>
            </w14:solidFill>
          </w14:textFill>
        </w:rPr>
        <w:t>CO2_净热</w:t>
      </w:r>
      <w:r>
        <w:rPr>
          <w:rFonts w:hint="eastAsia"/>
          <w:color w:val="0D0D0D" w:themeColor="text1" w:themeTint="F2"/>
          <w:u w:val="single"/>
          <w14:textFill>
            <w14:solidFill>
              <w14:schemeClr w14:val="tx1">
                <w14:lumMod w14:val="95000"/>
                <w14:lumOff w14:val="5000"/>
              </w14:schemeClr>
            </w14:solidFill>
          </w14:textFill>
        </w:rPr>
        <w:t>为企业净购入的热力消费引起的CO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排放，单位为吨CO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w:t>
      </w:r>
    </w:p>
    <w:p w14:paraId="5C3BC269">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AD</w:t>
      </w:r>
      <w:r>
        <w:rPr>
          <w:rFonts w:hint="eastAsia"/>
          <w:color w:val="0D0D0D" w:themeColor="text1" w:themeTint="F2"/>
          <w:u w:val="single"/>
          <w:vertAlign w:val="subscript"/>
          <w14:textFill>
            <w14:solidFill>
              <w14:schemeClr w14:val="tx1">
                <w14:lumMod w14:val="95000"/>
                <w14:lumOff w14:val="5000"/>
              </w14:schemeClr>
            </w14:solidFill>
          </w14:textFill>
        </w:rPr>
        <w:t>热力</w:t>
      </w:r>
      <w:r>
        <w:rPr>
          <w:rFonts w:hint="eastAsia"/>
          <w:color w:val="0D0D0D" w:themeColor="text1" w:themeTint="F2"/>
          <w:u w:val="single"/>
          <w14:textFill>
            <w14:solidFill>
              <w14:schemeClr w14:val="tx1">
                <w14:lumMod w14:val="95000"/>
                <w14:lumOff w14:val="5000"/>
              </w14:schemeClr>
            </w14:solidFill>
          </w14:textFill>
        </w:rPr>
        <w:t>为净购入热力量，单位为百万千焦（GJ）；外购蒸汽约1.44万t/a折算40320GJ。</w:t>
      </w:r>
    </w:p>
    <w:p w14:paraId="561C9E6F">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EF</w:t>
      </w:r>
      <w:r>
        <w:rPr>
          <w:rFonts w:hint="eastAsia"/>
          <w:color w:val="0D0D0D" w:themeColor="text1" w:themeTint="F2"/>
          <w:u w:val="single"/>
          <w:vertAlign w:val="subscript"/>
          <w14:textFill>
            <w14:solidFill>
              <w14:schemeClr w14:val="tx1">
                <w14:lumMod w14:val="95000"/>
                <w14:lumOff w14:val="5000"/>
              </w14:schemeClr>
            </w14:solidFill>
          </w14:textFill>
        </w:rPr>
        <w:t>热力</w:t>
      </w:r>
      <w:r>
        <w:rPr>
          <w:rFonts w:hint="eastAsia"/>
          <w:color w:val="0D0D0D" w:themeColor="text1" w:themeTint="F2"/>
          <w:u w:val="single"/>
          <w14:textFill>
            <w14:solidFill>
              <w14:schemeClr w14:val="tx1">
                <w14:lumMod w14:val="95000"/>
                <w14:lumOff w14:val="5000"/>
              </w14:schemeClr>
            </w14:solidFill>
          </w14:textFill>
        </w:rPr>
        <w:t>为热力的CO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排放因子，单位分别为吨CO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/百万千焦（tCO2/GJ）。取值0.11tCO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/GJ（取自《关于做好2023-2025年发电行业企业温室气体排放报告管理有关工作的通知》）</w:t>
      </w:r>
    </w:p>
    <w:p w14:paraId="7EF46837">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计算结果详见表6.3-1。</w:t>
      </w:r>
    </w:p>
    <w:p w14:paraId="624DF589">
      <w:pPr>
        <w:pStyle w:val="11"/>
      </w:pPr>
      <w:r>
        <w:rPr>
          <w:rFonts w:hint="eastAsia"/>
        </w:rPr>
        <w:t xml:space="preserve"> 项目净购入电力的碳排放量</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
        <w:gridCol w:w="2750"/>
        <w:gridCol w:w="2898"/>
        <w:gridCol w:w="2596"/>
      </w:tblGrid>
      <w:tr w14:paraId="3BA61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540" w:type="pct"/>
            <w:vAlign w:val="center"/>
          </w:tcPr>
          <w:p w14:paraId="22AB63E0">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类别</w:t>
            </w:r>
          </w:p>
        </w:tc>
        <w:tc>
          <w:tcPr>
            <w:tcW w:w="1488" w:type="pct"/>
            <w:vAlign w:val="center"/>
          </w:tcPr>
          <w:p w14:paraId="24235999">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购入量（MWh）</w:t>
            </w:r>
          </w:p>
        </w:tc>
        <w:tc>
          <w:tcPr>
            <w:tcW w:w="1568" w:type="pct"/>
            <w:vAlign w:val="center"/>
          </w:tcPr>
          <w:p w14:paraId="7B311886">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EF（tCO</w:t>
            </w:r>
            <w:r>
              <w:rPr>
                <w:rFonts w:hint="eastAsia"/>
                <w:color w:val="0D0D0D" w:themeColor="text1" w:themeTint="F2"/>
                <w:sz w:val="21"/>
                <w:szCs w:val="21"/>
                <w:u w:val="single"/>
                <w:vertAlign w:val="subscript"/>
                <w14:textFill>
                  <w14:solidFill>
                    <w14:schemeClr w14:val="tx1">
                      <w14:lumMod w14:val="95000"/>
                      <w14:lumOff w14:val="5000"/>
                    </w14:schemeClr>
                  </w14:solidFill>
                </w14:textFill>
              </w:rPr>
              <w:t>2</w:t>
            </w:r>
            <w:r>
              <w:rPr>
                <w:rFonts w:hint="eastAsia"/>
                <w:color w:val="0D0D0D" w:themeColor="text1" w:themeTint="F2"/>
                <w:sz w:val="21"/>
                <w:szCs w:val="21"/>
                <w:u w:val="single"/>
                <w14:textFill>
                  <w14:solidFill>
                    <w14:schemeClr w14:val="tx1">
                      <w14:lumMod w14:val="95000"/>
                      <w14:lumOff w14:val="5000"/>
                    </w14:schemeClr>
                  </w14:solidFill>
                </w14:textFill>
              </w:rPr>
              <w:t>/MWh）</w:t>
            </w:r>
          </w:p>
        </w:tc>
        <w:tc>
          <w:tcPr>
            <w:tcW w:w="1404" w:type="pct"/>
            <w:vAlign w:val="center"/>
          </w:tcPr>
          <w:p w14:paraId="2586B3A2">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E电力（tCO</w:t>
            </w:r>
            <w:r>
              <w:rPr>
                <w:rFonts w:hint="eastAsia"/>
                <w:color w:val="0D0D0D" w:themeColor="text1" w:themeTint="F2"/>
                <w:sz w:val="21"/>
                <w:szCs w:val="21"/>
                <w:u w:val="single"/>
                <w:vertAlign w:val="subscript"/>
                <w14:textFill>
                  <w14:solidFill>
                    <w14:schemeClr w14:val="tx1">
                      <w14:lumMod w14:val="95000"/>
                      <w14:lumOff w14:val="5000"/>
                    </w14:schemeClr>
                  </w14:solidFill>
                </w14:textFill>
              </w:rPr>
              <w:t>2</w:t>
            </w:r>
            <w:r>
              <w:rPr>
                <w:rFonts w:hint="eastAsia"/>
                <w:color w:val="0D0D0D" w:themeColor="text1" w:themeTint="F2"/>
                <w:sz w:val="21"/>
                <w:szCs w:val="21"/>
                <w:u w:val="single"/>
                <w14:textFill>
                  <w14:solidFill>
                    <w14:schemeClr w14:val="tx1">
                      <w14:lumMod w14:val="95000"/>
                      <w14:lumOff w14:val="5000"/>
                    </w14:schemeClr>
                  </w14:solidFill>
                </w14:textFill>
              </w:rPr>
              <w:t>）</w:t>
            </w:r>
          </w:p>
        </w:tc>
      </w:tr>
      <w:tr w14:paraId="5EA0A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0" w:type="pct"/>
            <w:vAlign w:val="center"/>
          </w:tcPr>
          <w:p w14:paraId="6DE09EE8">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电力</w:t>
            </w:r>
          </w:p>
        </w:tc>
        <w:tc>
          <w:tcPr>
            <w:tcW w:w="1488" w:type="pct"/>
            <w:vAlign w:val="center"/>
          </w:tcPr>
          <w:p w14:paraId="5D3D0B76">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21000</w:t>
            </w:r>
          </w:p>
        </w:tc>
        <w:tc>
          <w:tcPr>
            <w:tcW w:w="1568" w:type="pct"/>
            <w:vAlign w:val="center"/>
          </w:tcPr>
          <w:p w14:paraId="09ED9E57">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0.4044</w:t>
            </w:r>
          </w:p>
        </w:tc>
        <w:tc>
          <w:tcPr>
            <w:tcW w:w="1404" w:type="pct"/>
            <w:vAlign w:val="center"/>
          </w:tcPr>
          <w:p w14:paraId="7BE0155E">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8492.4</w:t>
            </w:r>
          </w:p>
        </w:tc>
      </w:tr>
      <w:tr w14:paraId="61EC0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0" w:type="pct"/>
            <w:vAlign w:val="center"/>
          </w:tcPr>
          <w:p w14:paraId="540BE772">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热力</w:t>
            </w:r>
          </w:p>
        </w:tc>
        <w:tc>
          <w:tcPr>
            <w:tcW w:w="1488" w:type="pct"/>
            <w:vAlign w:val="center"/>
          </w:tcPr>
          <w:p w14:paraId="67BADDC6">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40320</w:t>
            </w:r>
          </w:p>
        </w:tc>
        <w:tc>
          <w:tcPr>
            <w:tcW w:w="1568" w:type="pct"/>
            <w:vAlign w:val="center"/>
          </w:tcPr>
          <w:p w14:paraId="06DADB36">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0.11</w:t>
            </w:r>
          </w:p>
        </w:tc>
        <w:tc>
          <w:tcPr>
            <w:tcW w:w="1404" w:type="pct"/>
            <w:vAlign w:val="center"/>
          </w:tcPr>
          <w:p w14:paraId="151857C6">
            <w:pPr>
              <w:widowControl/>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4435.2</w:t>
            </w:r>
          </w:p>
        </w:tc>
      </w:tr>
    </w:tbl>
    <w:p w14:paraId="0E4E3F3D">
      <w:pPr>
        <w:widowControl/>
        <w:ind w:firstLine="480" w:firstLineChars="200"/>
        <w:jc w:val="left"/>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（3）温室气体排放总量</w:t>
      </w:r>
    </w:p>
    <w:p w14:paraId="780D8F4C">
      <w:pPr>
        <w:widowControl/>
        <w:ind w:firstLine="480" w:firstLineChars="200"/>
        <w:jc w:val="left"/>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本项目净购入电力、热力产生的CO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排放总量为12927.6t</w:t>
      </w:r>
      <w:r>
        <w:rPr>
          <w:color w:val="0D0D0D" w:themeColor="text1" w:themeTint="F2"/>
          <w:u w:val="single"/>
          <w14:textFill>
            <w14:solidFill>
              <w14:schemeClr w14:val="tx1">
                <w14:lumMod w14:val="95000"/>
                <w14:lumOff w14:val="5000"/>
              </w14:schemeClr>
            </w14:solidFill>
          </w14:textFill>
        </w:rPr>
        <w:t>CO</w:t>
      </w:r>
      <w:r>
        <w:rPr>
          <w:color w:val="0D0D0D" w:themeColor="text1" w:themeTint="F2"/>
          <w:u w:val="single"/>
          <w:vertAlign w:val="subscript"/>
          <w14:textFill>
            <w14:solidFill>
              <w14:schemeClr w14:val="tx1">
                <w14:lumMod w14:val="95000"/>
                <w14:lumOff w14:val="5000"/>
              </w14:schemeClr>
            </w14:solidFill>
          </w14:textFill>
        </w:rPr>
        <w:t>2</w:t>
      </w:r>
      <w:r>
        <w:rPr>
          <w:color w:val="0D0D0D" w:themeColor="text1" w:themeTint="F2"/>
          <w:u w:val="single"/>
          <w14:textFill>
            <w14:solidFill>
              <w14:schemeClr w14:val="tx1">
                <w14:lumMod w14:val="95000"/>
                <w14:lumOff w14:val="5000"/>
              </w14:schemeClr>
            </w14:solidFill>
          </w14:textFill>
        </w:rPr>
        <w:t>/a</w:t>
      </w:r>
      <w:r>
        <w:rPr>
          <w:rFonts w:hint="eastAsia"/>
          <w:color w:val="0D0D0D" w:themeColor="text1" w:themeTint="F2"/>
          <w:u w:val="single"/>
          <w14:textFill>
            <w14:solidFill>
              <w14:schemeClr w14:val="tx1">
                <w14:lumMod w14:val="95000"/>
                <w14:lumOff w14:val="5000"/>
              </w14:schemeClr>
            </w14:solidFill>
          </w14:textFill>
        </w:rPr>
        <w:t>。</w:t>
      </w:r>
    </w:p>
    <w:p w14:paraId="0995E86E">
      <w:pPr>
        <w:pStyle w:val="8"/>
      </w:pPr>
      <w:bookmarkStart w:id="208" w:name="_Toc204062665"/>
      <w:r>
        <w:rPr>
          <w:rFonts w:hint="eastAsia"/>
        </w:rPr>
        <w:t>生产工艺减污降碳措施</w:t>
      </w:r>
      <w:bookmarkEnd w:id="208"/>
    </w:p>
    <w:p w14:paraId="31CF8C98">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项目在工艺设计、设备选型、电气系统、节能管理等各方面均采用了一系列节能措施，项目业主重视生产中各个环节的节能降耗，取得了较为明显的节能效果。</w:t>
      </w:r>
    </w:p>
    <w:p w14:paraId="02518142">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（1）工艺及设备</w:t>
      </w:r>
    </w:p>
    <w:p w14:paraId="562DA9EB">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优化各级工艺操作参数，考虑节能要求。对于流程中消耗能量和产生能量的操作单元进行综合平衡，合理安排各种位能的最合理回收，使能量回收率较高而且合理。选用高效节能设备，如：高效压缩机、机泵、高效填料塔、高效换热器等可降低电量消耗。</w:t>
      </w:r>
    </w:p>
    <w:p w14:paraId="18D41B8F">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加强隔热保冷措施，对各种保温、保冷设备、管道、阀门采用有效的隔热、保冷措施。保温材料选择质轻、导热系数小的新型材料，减少能量损失。</w:t>
      </w:r>
    </w:p>
    <w:p w14:paraId="1C31FBBE">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进入装置的公用物料管线均装设用能计量器具，准确考核和控制能源消耗。</w:t>
      </w:r>
    </w:p>
    <w:p w14:paraId="21D47B68">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合理布置总平面，简化工艺流程，使管道和电缆走向短捷顺畅，从而减少管路压力损失及电缆压降。</w:t>
      </w:r>
    </w:p>
    <w:p w14:paraId="6F8F0CC9">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（2）电气</w:t>
      </w:r>
    </w:p>
    <w:p w14:paraId="04F988BD">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建立完善的通讯设施及可靠的供电系统，充分保证了装置的安全生产、节能降耗，同时也保证了操作人员的安全。</w:t>
      </w:r>
    </w:p>
    <w:p w14:paraId="73FF7C72">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（3）给排水</w:t>
      </w:r>
    </w:p>
    <w:p w14:paraId="1F57DE8C">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本项目生产水尽量用循环水，少用或不用直流水；各装置给水均设置计量设施；尽量减少生产给水服务点，以减少生产给水用量；凝结水尽量回收，以减少生产给水用量。</w:t>
      </w:r>
    </w:p>
    <w:p w14:paraId="090170E3">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（4）热力</w:t>
      </w:r>
    </w:p>
    <w:p w14:paraId="1C18DABE">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为了减少管道及设备的散热损失，选用保温材料品种和确定保温结构。采用自力式流量调节阀，对蒸汽流量进行自动调节和控制，实现管网调度、运行、调节的自动监控。</w:t>
      </w:r>
    </w:p>
    <w:p w14:paraId="0EAE3F90">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5、减污降碳协同技术：企业今后应不断优化工艺，提高反应转化率，减少净购入电力、热力。</w:t>
      </w:r>
    </w:p>
    <w:p w14:paraId="61405914">
      <w:pPr>
        <w:pStyle w:val="8"/>
      </w:pPr>
      <w:bookmarkStart w:id="209" w:name="_Toc204062666"/>
      <w:r>
        <w:rPr>
          <w:rFonts w:hint="eastAsia"/>
        </w:rPr>
        <w:t>建筑设计减污降碳措施</w:t>
      </w:r>
      <w:bookmarkEnd w:id="209"/>
    </w:p>
    <w:p w14:paraId="6C5ECF10">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项目拟在建筑设计、给排水系统、电气系统、暖通系统等各方面采用一系列节能措施，可取得较为明显的节能效果。</w:t>
      </w:r>
    </w:p>
    <w:p w14:paraId="0C3A8C0E">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（1）建筑节能设计</w:t>
      </w:r>
    </w:p>
    <w:p w14:paraId="6B3AD5AB">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①在总平面规划上，综合考虑朝向、风向的关系，力求达到良好的自然通风，充足的日照，并强调室内通风及蓄热，建筑朝向南北向布置，有利节能设计。</w:t>
      </w:r>
    </w:p>
    <w:p w14:paraId="3E22EC9C">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②综合考虑建筑物维护结构的热工性能，窗墙面积比和体形系数，最大限度地提高建筑物的综合节能指标。</w:t>
      </w:r>
    </w:p>
    <w:p w14:paraId="7B004E9E">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③外门窗安装中，其门窗框与洞口之间均采用发泡填充剂堵塞，以避免形成冷桥。外门窗的气密性为4-6级，符合节能要求。</w:t>
      </w:r>
    </w:p>
    <w:p w14:paraId="645D4647">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④对建筑外围护结构和材料进行了节能设计，采用新材料，新墙体，提高建筑室内热环境综合指标。</w:t>
      </w:r>
    </w:p>
    <w:p w14:paraId="695E0BA0">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⑤公共建筑外窗采用铝合金LOW-E中空玻璃。</w:t>
      </w:r>
    </w:p>
    <w:p w14:paraId="57F0E04D">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⑥建筑外墙面采用浅色装修材料，降低外墙面吸收系数，有利于建筑节能设计。</w:t>
      </w:r>
    </w:p>
    <w:p w14:paraId="73571684">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⑦在室外公共场地适中位置使用太阳能灯具照明，节省电能。建筑钢筋混凝土外墙部分采用无机保温干粉砂浆内保温复合墙体。建筑屋面采用25厚岩棉保温板，可以起到保温节能的作用。局部屋面采用绿化措施，以达到降温、隔热效果。</w:t>
      </w:r>
    </w:p>
    <w:p w14:paraId="7083CDCE">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⑧合理设置空调机位置，减少空调工作距离风机选择高效率、低能耗的浪费。</w:t>
      </w:r>
    </w:p>
    <w:p w14:paraId="0B7B3ABF">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（2）给排水节能设计</w:t>
      </w:r>
    </w:p>
    <w:p w14:paraId="11895BE0">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①充分利用市政管网压力供水，一，二，三层采用市政给水管直接供水。</w:t>
      </w:r>
    </w:p>
    <w:p w14:paraId="5D96537A">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②选配节水型卫生洁具、电动感应龙头等有效的卫生节水洁具。</w:t>
      </w:r>
    </w:p>
    <w:p w14:paraId="6B0D4483">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③卫生洁具排水管采用高水封配件。</w:t>
      </w:r>
    </w:p>
    <w:p w14:paraId="770A4395">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（3）电气节能设计</w:t>
      </w:r>
    </w:p>
    <w:p w14:paraId="554B3F2A">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①根据负荷分布情况，综合考虑投资和年运行费用，对本工程负荷进行合理分配，选取容量与电力符合相适应的变压器，使其工作在高效区内。选择高效低能耗节能型变压器。</w:t>
      </w:r>
    </w:p>
    <w:p w14:paraId="4E2343E0">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②合理设计供配电系统。以缩短配电半径，减少线路损失。按年综合运行费用最小原则确定单位面积经济电流密度，按经济电流密度合理选择导线截面。</w:t>
      </w:r>
    </w:p>
    <w:p w14:paraId="3F47FAA7">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③提高功率因数减少电能损耗，分散与集中补偿相结合，对距供电点较远且无功功率较大的采用就地补偿。其它均在变电所内集中补偿。</w:t>
      </w:r>
    </w:p>
    <w:p w14:paraId="4767A060">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④选用高效率电动机，减少电动机的各部分损耗，提高电动机的效率。</w:t>
      </w:r>
    </w:p>
    <w:p w14:paraId="6F779567">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⑤照明节能方法：选用节能高效光源及灯具；楼梯间照明为防止白天亮灯，采用声控光控开关，以利节电；选用成熟、有效、可靠的节能型低压电器。</w:t>
      </w:r>
    </w:p>
    <w:p w14:paraId="59AB7725">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（4）暖通节能设计：</w:t>
      </w:r>
    </w:p>
    <w:p w14:paraId="2206A17B">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①风管与砖、混凝土风道的连接接口，应顺着气流方向插入，并应采取密封措施。</w:t>
      </w:r>
    </w:p>
    <w:p w14:paraId="0E6611EF">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②选用高效、节能、低噪音或超低噪音和低振动的设备。</w:t>
      </w:r>
    </w:p>
    <w:p w14:paraId="054BBC4E">
      <w:pPr>
        <w:pStyle w:val="8"/>
      </w:pPr>
      <w:bookmarkStart w:id="210" w:name="_Toc204062667"/>
      <w:r>
        <w:rPr>
          <w:rFonts w:hint="eastAsia"/>
        </w:rPr>
        <w:t>碳排放管理与监测计划</w:t>
      </w:r>
      <w:bookmarkEnd w:id="210"/>
    </w:p>
    <w:p w14:paraId="74C8F1F6">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（1）组织管理</w:t>
      </w:r>
    </w:p>
    <w:p w14:paraId="5BF76121">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①建立制度</w:t>
      </w:r>
    </w:p>
    <w:p w14:paraId="1F20BBCE">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为规范企业碳管理工作，结合自身生产管理实际情况，建立碳管理制度，明确各岗位职责及权限范围；明确战略管理、碳排放管理、碳资产管理、信息公开等具体内容；明确各事项审批流程及时限；明确管理制度的时效性。</w:t>
      </w:r>
    </w:p>
    <w:p w14:paraId="45D18489">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②能力培养</w:t>
      </w:r>
    </w:p>
    <w:p w14:paraId="5165EFB3">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为确保企业碳管理工作人员具备相应能力，企业应开展以下工作：通过教育、培训、技能和经验交流，确保从事碳管理有关工作人员具备相应的能力，并保存相关记录；对与碳管理工作有重大影响的人员进行岗位专业技能培训，并保存培训记录；企业可选择外派培训、内部培训和横向交流等方式开展培训工作。</w:t>
      </w:r>
    </w:p>
    <w:p w14:paraId="4EA984A9">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③意识培养</w:t>
      </w:r>
    </w:p>
    <w:p w14:paraId="6A7037E9">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企业应采取措施，使全体人员都意识到：实施企业碳管理工作的重要性；降低碳排放、提高碳排放绩效给企业带来的效益，以及个人工作改进能带来的碳排放绩效；偏离碳管理制度规定运行程序的潜在后果。</w:t>
      </w:r>
    </w:p>
    <w:p w14:paraId="6E1DDC8E">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（2）监测管理</w:t>
      </w:r>
    </w:p>
    <w:p w14:paraId="7C706605">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企业应根据自身的生产工艺以及《温室气体排放核算与报告要求第10部分：化工生产企业》（GB/T32151.10-2015）中核算标准和国家相关部门发布的技术指南的有关要求，确保对其运行中的决定碳排放绩效的关键特性进行定期监视、测量和分析，关键特性至少应包括：排放源设施、各碳源流数据、具备实测条件的与排放因子相关的数据、碳排放相关数据和生产相关数据获取方式、数据的准确性。本项目温室气体排放源以购入电力排放为主，因此应关注项目电力消耗，按月记录电力使用量，保存台账。</w:t>
      </w:r>
    </w:p>
    <w:p w14:paraId="318CC5BC">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企业应对监视和测量获取的相关数据进行分析，应开展以下工作：</w:t>
      </w:r>
    </w:p>
    <w:p w14:paraId="46D0B47D">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①规范碳排放数据的整理和分析；</w:t>
      </w:r>
    </w:p>
    <w:p w14:paraId="1FCB054C">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②对数据来源进行分类整理；</w:t>
      </w:r>
    </w:p>
    <w:p w14:paraId="72DB67BC">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③对排放因子及相关参数的监测数据进行分类整理；</w:t>
      </w:r>
    </w:p>
    <w:p w14:paraId="26DA695D">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④对数据进行处理并进行统计分析；</w:t>
      </w:r>
    </w:p>
    <w:p w14:paraId="7EF17657">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⑤形成数据分析报告并存档。</w:t>
      </w:r>
    </w:p>
    <w:p w14:paraId="1055EE54">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（3）信息公开</w:t>
      </w:r>
    </w:p>
    <w:p w14:paraId="237EBF2D">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《国务院关于印发“十三五”控制温室气体排放工作方案的通知》（国发〔2016〕61号）中指出，控制温室气体排放工作方案包括建立温室气体排放信息披露制度：</w:t>
      </w:r>
    </w:p>
    <w:p w14:paraId="5078F814">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①研究建立国家应对气候变化公报制度；</w:t>
      </w:r>
    </w:p>
    <w:p w14:paraId="4BD1E77A">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②定期公布我国低碳发展目标实现及政策行动进展情况；</w:t>
      </w:r>
    </w:p>
    <w:p w14:paraId="4EAA0B23">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③建立温室气体排放数据信息发布平台；</w:t>
      </w:r>
    </w:p>
    <w:p w14:paraId="6C7A130E">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④推动地方温室气体排放数据信息公开；</w:t>
      </w:r>
    </w:p>
    <w:p w14:paraId="0DD01DA2">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企业应按照主管部门相关要求和规定，核算并上报企业碳排放情况。披露途径可通过公司网站、地市（州）发展改革委网站、纸媒等方式公布，披露内容可包括企业应对气候变化的策略、目标，温室气体排放情况（总量、强度、构成、趋势等），减排措施和效果梳理（低碳技术运用），企业参与全国碳市场交易情况（核算核查、监测计划、履约、碳资产管理等）等内容。</w:t>
      </w:r>
    </w:p>
    <w:p w14:paraId="040D9012">
      <w:pPr>
        <w:pStyle w:val="8"/>
      </w:pPr>
      <w:bookmarkStart w:id="211" w:name="_Toc204062668"/>
      <w:r>
        <w:rPr>
          <w:rFonts w:hint="eastAsia"/>
        </w:rPr>
        <w:t>结论</w:t>
      </w:r>
      <w:bookmarkEnd w:id="211"/>
    </w:p>
    <w:p w14:paraId="5AD6768A">
      <w:pPr>
        <w:widowControl/>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本项目符合碳排放相关政策，以项目占地为边界，核算生产系统产生的温室气体排放，主要排放源为购入电力和热力排放，购入电力碳排放量为8492.4tCO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，购入热力的碳排放量为4435.2tCO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，碳排放总量为12927.6tCO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。在工艺设计、设备选型、建筑材料、电气系统、节能管理等方面，本项目均采用了一系列节能措施以实现生产中各个环节的节能降耗。</w:t>
      </w:r>
    </w:p>
    <w:p w14:paraId="6FBA26DB">
      <w:pPr>
        <w:widowControl/>
        <w:spacing w:line="240" w:lineRule="auto"/>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14:paraId="4990E216">
      <w:pPr>
        <w:pStyle w:val="7"/>
      </w:pPr>
      <w:bookmarkStart w:id="212" w:name="_Toc204062669"/>
      <w:r>
        <w:rPr>
          <w:rFonts w:hint="eastAsia"/>
        </w:rPr>
        <w:t>环境保护措施及其可行性分析</w:t>
      </w:r>
      <w:bookmarkEnd w:id="212"/>
    </w:p>
    <w:p w14:paraId="69489409">
      <w:pPr>
        <w:pStyle w:val="8"/>
        <w:numPr>
          <w:ilvl w:val="1"/>
          <w:numId w:val="55"/>
        </w:numPr>
      </w:pPr>
      <w:bookmarkStart w:id="213" w:name="_Toc204062670"/>
      <w:r>
        <w:rPr>
          <w:rFonts w:hint="eastAsia"/>
        </w:rPr>
        <w:t>施工期环境保护措施</w:t>
      </w:r>
      <w:bookmarkEnd w:id="213"/>
    </w:p>
    <w:p w14:paraId="28D68D99">
      <w:pPr>
        <w:pStyle w:val="9"/>
        <w:numPr>
          <w:ilvl w:val="2"/>
          <w:numId w:val="56"/>
        </w:numPr>
      </w:pPr>
      <w:bookmarkStart w:id="214" w:name="_Toc204062671"/>
      <w:r>
        <w:rPr>
          <w:rFonts w:hint="eastAsia"/>
        </w:rPr>
        <w:t>废气污染防治措施</w:t>
      </w:r>
      <w:bookmarkEnd w:id="214"/>
    </w:p>
    <w:p w14:paraId="3AAF6E7D">
      <w:pPr>
        <w:ind w:firstLine="480" w:firstLineChars="200"/>
        <w:rPr>
          <w:rFonts w:cs="Times New Roman"/>
          <w:color w:val="0D0D0D" w:themeColor="text1" w:themeTint="F2"/>
          <w14:textFill>
            <w14:solidFill>
              <w14:schemeClr w14:val="tx1">
                <w14:lumMod w14:val="95000"/>
                <w14:lumOff w14:val="5000"/>
              </w14:schemeClr>
            </w14:solidFill>
          </w14:textFill>
        </w:rPr>
      </w:pPr>
      <w:bookmarkStart w:id="215" w:name="_Hlk26868765"/>
      <w:r>
        <w:rPr>
          <w:rFonts w:hint="eastAsia" w:cs="Times New Roman"/>
          <w:color w:val="0D0D0D" w:themeColor="text1" w:themeTint="F2"/>
          <w14:textFill>
            <w14:solidFill>
              <w14:schemeClr w14:val="tx1">
                <w14:lumMod w14:val="95000"/>
                <w14:lumOff w14:val="5000"/>
              </w14:schemeClr>
            </w14:solidFill>
          </w14:textFill>
        </w:rPr>
        <w:t>项目施工期应严格遵守《防治城市扬尘污染技术规范》（HJ/T393-2007）等要求，落实好大气污染防治措施，施工单位为建筑工地施工扬尘防控治理的第一责任单位，对施工项目扬尘防控治理工作措施的落实负总责。为防止施工期间产生的扬尘，使粉尘污染降到最低，建设过程中应采取以下防治措施：</w:t>
      </w:r>
    </w:p>
    <w:p w14:paraId="772E9224">
      <w:pPr>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（1）土石方开挖过程中洒水使作业保持一定的湿度，对施工场地内松散、干涸的表土，也应经常洒水防治粉尘；回填土方时，在表层土质干燥时应适当洒水，防止粉尘飞扬。</w:t>
      </w:r>
    </w:p>
    <w:p w14:paraId="50A95C06">
      <w:pPr>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（2）加强回填土方堆放场的管理，要制定土方表面压实、定期喷水、覆盖等措施；不需要的泥土、建筑材料弃渣应及时运走，不宜长时间堆积。</w:t>
      </w:r>
    </w:p>
    <w:p w14:paraId="0C3C3038">
      <w:pPr>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3）运土卡车及建筑材料运输车应按规定配置防洒装备，装载不宜过满，保证运输过程中不散落；并规划好运输车辆的运行路线与时间，尽量避免在繁华区、交通集中区和居民住宅等敏感区行驶；对环境要求高的路段，应根据实际情况选择在夜间运输，以减少粉尘对环境的影响。</w:t>
      </w:r>
    </w:p>
    <w:p w14:paraId="7C12863E">
      <w:pPr>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（4）运输车辆加蓬盖、装卸场地在装卸前将先冲洗干净，减少车轮、底盘等携带泥土散落路面。</w:t>
      </w:r>
    </w:p>
    <w:p w14:paraId="6DB4F7AD">
      <w:pPr>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（5）对运输过程中洒落在路面上的泥土要及时清扫，以减少运行过程中的扬尘。</w:t>
      </w:r>
    </w:p>
    <w:p w14:paraId="417C3E64">
      <w:pPr>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（6）施工单位通过使用污染物排放符合国家标准的施工机械、运输车辆，加强施工机械、运输车辆的维护保养，使施工机械和车辆处于良好的工作状态。</w:t>
      </w:r>
    </w:p>
    <w:p w14:paraId="56724E28">
      <w:pPr>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（7）加强环境管理，合理安排施工进度并尽量缩短工期。施工结束时，应及时对施工占用场地恢复地面道路及植被。</w:t>
      </w:r>
    </w:p>
    <w:p w14:paraId="7A2D2779">
      <w:pPr>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（8）使用环保装修材料，加强室内通风。</w:t>
      </w:r>
    </w:p>
    <w:p w14:paraId="31505015">
      <w:pPr>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采取以上措施后，项目产生的大气污染物均能达标排放，且措施易操作、经济便捷，因此，项目采取的废气污染防治措施是可行的。</w:t>
      </w:r>
    </w:p>
    <w:bookmarkEnd w:id="215"/>
    <w:p w14:paraId="20D1FE6E">
      <w:pPr>
        <w:pStyle w:val="9"/>
      </w:pPr>
      <w:bookmarkStart w:id="216" w:name="_Toc204062672"/>
      <w:r>
        <w:rPr>
          <w:rFonts w:hint="eastAsia"/>
        </w:rPr>
        <w:t>废水污染防治措施</w:t>
      </w:r>
      <w:bookmarkEnd w:id="216"/>
    </w:p>
    <w:p w14:paraId="5EAA7DB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施工期废水主要为施工废水和施工人员生活污水，可通过合理组织设计、文明施工、加强工地管理并采取有效措施来降低项目施工期废水对环境的影响，主要的措施有：</w:t>
      </w:r>
    </w:p>
    <w:p w14:paraId="4DA6E32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在施工场地建设临时排水沟，同时在排水沟末端设置临时隔油沉淀池，避免污水污染外环境，施工废水沉淀处理后，尽量回用，在晴天时增加对施工场地内道路及施工面的喷洒，降低扬尘对空气环境的影响。</w:t>
      </w:r>
    </w:p>
    <w:p w14:paraId="1973F51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（2）落实生活污水的收集处理措施，施工人员生活污水经临时化粪池处理后用于周边林地施肥，以减少污染物的排放，减轻对区域地表水的污染。</w:t>
      </w:r>
    </w:p>
    <w:p w14:paraId="0CEB066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采取以上措施后，项目施工期产生的废水不对地表水和地下水环境产生污染，污染防治措施简单易行，因此，本项目采取的废水防治措施是可行的。</w:t>
      </w:r>
    </w:p>
    <w:p w14:paraId="331A889F">
      <w:pPr>
        <w:pStyle w:val="9"/>
      </w:pPr>
      <w:bookmarkStart w:id="217" w:name="_Toc204062673"/>
      <w:r>
        <w:rPr>
          <w:rFonts w:hint="eastAsia"/>
        </w:rPr>
        <w:t>噪声污染防治措施</w:t>
      </w:r>
      <w:bookmarkEnd w:id="217"/>
    </w:p>
    <w:p w14:paraId="2D92DF8A">
      <w:pPr>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项目施工噪声对周围环境的影响虽然是暂时的，随着施工期的结束而自动消除，但由于施工时噪声值较大，为了最大限度地减轻施工噪声对周围环境的影响，必须采取以下污染防治措施：</w:t>
      </w:r>
    </w:p>
    <w:p w14:paraId="76967397">
      <w:pPr>
        <w:ind w:firstLine="480" w:firstLineChars="200"/>
        <w:rPr>
          <w:rFonts w:cs="Times New Roman"/>
          <w:color w:val="0D0D0D" w:themeColor="text1" w:themeTint="F2"/>
          <w14:textFill>
            <w14:solidFill>
              <w14:schemeClr w14:val="tx1">
                <w14:lumMod w14:val="95000"/>
                <w14:lumOff w14:val="5000"/>
              </w14:schemeClr>
            </w14:solidFill>
          </w14:textFill>
        </w:rPr>
      </w:pPr>
      <w:r>
        <w:rPr>
          <w:rFonts w:cs="Times New Roman"/>
          <w:color w:val="0D0D0D" w:themeColor="text1" w:themeTint="F2"/>
          <w14:textFill>
            <w14:solidFill>
              <w14:schemeClr w14:val="tx1">
                <w14:lumMod w14:val="95000"/>
                <w14:lumOff w14:val="5000"/>
              </w14:schemeClr>
            </w14:solidFill>
          </w14:textFill>
        </w:rPr>
        <w:t>（1）</w:t>
      </w:r>
      <w:r>
        <w:rPr>
          <w:rFonts w:hint="eastAsia" w:cs="Times New Roman"/>
          <w:color w:val="0D0D0D" w:themeColor="text1" w:themeTint="F2"/>
          <w14:textFill>
            <w14:solidFill>
              <w14:schemeClr w14:val="tx1">
                <w14:lumMod w14:val="95000"/>
                <w14:lumOff w14:val="5000"/>
              </w14:schemeClr>
            </w14:solidFill>
          </w14:textFill>
        </w:rPr>
        <w:t>合理安排施工时间，缩短工期，尽量减少施工噪声对沿线居民等敏感目标的影响</w:t>
      </w:r>
      <w:r>
        <w:rPr>
          <w:rFonts w:cs="Times New Roman"/>
          <w:color w:val="0D0D0D" w:themeColor="text1" w:themeTint="F2"/>
          <w14:textFill>
            <w14:solidFill>
              <w14:schemeClr w14:val="tx1">
                <w14:lumMod w14:val="95000"/>
                <w14:lumOff w14:val="5000"/>
              </w14:schemeClr>
            </w14:solidFill>
          </w14:textFill>
        </w:rPr>
        <w:t>。</w:t>
      </w:r>
    </w:p>
    <w:p w14:paraId="04DD6C7C">
      <w:pPr>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（2）对施工机械进行必要的控制，选用高效低噪施工机械，禁止运转不正常、噪声超标的机械设备进场。</w:t>
      </w:r>
    </w:p>
    <w:p w14:paraId="75EF7AF0">
      <w:pPr>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（3）施工车辆、物料及弃渣运输车辆，应尽可能避免运输路线穿过居民集中居住区时应减速慢行和禁鸣喇叭，并在运输时间上加以限制，6:00以前、21:00以后应禁止施工运输。</w:t>
      </w:r>
    </w:p>
    <w:p w14:paraId="7F4C4BA2">
      <w:pPr>
        <w:ind w:firstLine="480" w:firstLineChars="200"/>
        <w:rPr>
          <w:rFonts w:cs="Times New Roman"/>
          <w:color w:val="0D0D0D" w:themeColor="text1" w:themeTint="F2"/>
          <w14:textFill>
            <w14:solidFill>
              <w14:schemeClr w14:val="tx1">
                <w14:lumMod w14:val="95000"/>
                <w14:lumOff w14:val="5000"/>
              </w14:schemeClr>
            </w14:solidFill>
          </w14:textFill>
        </w:rPr>
      </w:pPr>
      <w:r>
        <w:rPr>
          <w:rFonts w:cs="Times New Roman"/>
          <w:color w:val="0D0D0D" w:themeColor="text1" w:themeTint="F2"/>
          <w14:textFill>
            <w14:solidFill>
              <w14:schemeClr w14:val="tx1">
                <w14:lumMod w14:val="95000"/>
                <w14:lumOff w14:val="5000"/>
              </w14:schemeClr>
            </w14:solidFill>
          </w14:textFill>
        </w:rPr>
        <w:t>（</w:t>
      </w:r>
      <w:r>
        <w:rPr>
          <w:rFonts w:hint="eastAsia" w:cs="Times New Roman"/>
          <w:color w:val="0D0D0D" w:themeColor="text1" w:themeTint="F2"/>
          <w14:textFill>
            <w14:solidFill>
              <w14:schemeClr w14:val="tx1">
                <w14:lumMod w14:val="95000"/>
                <w14:lumOff w14:val="5000"/>
              </w14:schemeClr>
            </w14:solidFill>
          </w14:textFill>
        </w:rPr>
        <w:t>4</w:t>
      </w:r>
      <w:r>
        <w:rPr>
          <w:rFonts w:cs="Times New Roman"/>
          <w:color w:val="0D0D0D" w:themeColor="text1" w:themeTint="F2"/>
          <w14:textFill>
            <w14:solidFill>
              <w14:schemeClr w14:val="tx1">
                <w14:lumMod w14:val="95000"/>
                <w14:lumOff w14:val="5000"/>
              </w14:schemeClr>
            </w14:solidFill>
          </w14:textFill>
        </w:rPr>
        <w:t>）</w:t>
      </w:r>
      <w:r>
        <w:rPr>
          <w:rFonts w:hint="eastAsia" w:cs="Times New Roman"/>
          <w:color w:val="0D0D0D" w:themeColor="text1" w:themeTint="F2"/>
          <w14:textFill>
            <w14:solidFill>
              <w14:schemeClr w14:val="tx1">
                <w14:lumMod w14:val="95000"/>
                <w14:lumOff w14:val="5000"/>
              </w14:schemeClr>
            </w14:solidFill>
          </w14:textFill>
        </w:rPr>
        <w:t>在夜间（22:00～次日6:00）和午间（12:00～14:00）不得进行施工，若因特殊需要必须连续施工作业的，必须向生态环境主管部门申请得到批准，并且必须公告附近居民。</w:t>
      </w:r>
    </w:p>
    <w:p w14:paraId="2CFE8F32">
      <w:pPr>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（5）在施工现场张贴通告和环境保护部门投诉电话，以接受群众监督。</w:t>
      </w:r>
    </w:p>
    <w:p w14:paraId="4D244048">
      <w:pPr>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项目通过采取以上措施后，可一定程度降低施工噪声对周边区域声环境产生的影响，措施可行。</w:t>
      </w:r>
    </w:p>
    <w:p w14:paraId="1BF7FA41">
      <w:pPr>
        <w:pStyle w:val="9"/>
      </w:pPr>
      <w:bookmarkStart w:id="218" w:name="_Toc204062674"/>
      <w:r>
        <w:rPr>
          <w:rFonts w:hint="eastAsia"/>
        </w:rPr>
        <w:t>固体废物污染防治措施</w:t>
      </w:r>
      <w:bookmarkEnd w:id="218"/>
    </w:p>
    <w:p w14:paraId="49497EC4">
      <w:pPr>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项目施工期固体废物影响范围主要在施工区，影响是可逆的，随着施工期的结束而消失。在施工过程中应严格遵守相关规定，建议采取以下防治措施：</w:t>
      </w:r>
    </w:p>
    <w:p w14:paraId="23910AF5">
      <w:pPr>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（1）</w:t>
      </w:r>
      <w:r>
        <w:rPr>
          <w:rFonts w:cs="Times New Roman"/>
          <w:color w:val="0D0D0D" w:themeColor="text1" w:themeTint="F2"/>
          <w14:textFill>
            <w14:solidFill>
              <w14:schemeClr w14:val="tx1">
                <w14:lumMod w14:val="95000"/>
                <w14:lumOff w14:val="5000"/>
              </w14:schemeClr>
            </w14:solidFill>
          </w14:textFill>
        </w:rPr>
        <w:t>建筑垃圾可回收利用的部分回收利用，不能回收利用的按照市政主管部门的要求清运至指定建筑垃圾消纳场妥善处置</w:t>
      </w:r>
      <w:r>
        <w:rPr>
          <w:rFonts w:hint="eastAsia" w:cs="Times New Roman"/>
          <w:color w:val="0D0D0D" w:themeColor="text1" w:themeTint="F2"/>
          <w14:textFill>
            <w14:solidFill>
              <w14:schemeClr w14:val="tx1">
                <w14:lumMod w14:val="95000"/>
                <w14:lumOff w14:val="5000"/>
              </w14:schemeClr>
            </w14:solidFill>
          </w14:textFill>
        </w:rPr>
        <w:t>。</w:t>
      </w:r>
    </w:p>
    <w:p w14:paraId="0E5E261C">
      <w:pPr>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（2）</w:t>
      </w:r>
      <w:r>
        <w:rPr>
          <w:rFonts w:cs="Times New Roman"/>
          <w:color w:val="0D0D0D" w:themeColor="text1" w:themeTint="F2"/>
          <w14:textFill>
            <w14:solidFill>
              <w14:schemeClr w14:val="tx1">
                <w14:lumMod w14:val="95000"/>
                <w14:lumOff w14:val="5000"/>
              </w14:schemeClr>
            </w14:solidFill>
          </w14:textFill>
        </w:rPr>
        <w:t>施工人员生活垃圾统一袋装收集放置于垃圾桶中，交由环卫部门统一清运处置。</w:t>
      </w:r>
    </w:p>
    <w:p w14:paraId="4CE8B020">
      <w:pPr>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（3）车辆运输散体物料和废弃物时，必须密闭、包扎、覆盖，不得沿途漏撒；运载土方的车辆必须在规定的时间内，按指定路段行驶。</w:t>
      </w:r>
    </w:p>
    <w:p w14:paraId="15B99F0F">
      <w:pPr>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采取以上措施后，项目施工期产生的固体废物不会对环境造成较大的影响，污染防治措施简单易行，因此，项目采取的固体废物防治措施是可行的。</w:t>
      </w:r>
    </w:p>
    <w:p w14:paraId="7FBA1559">
      <w:pPr>
        <w:pStyle w:val="8"/>
      </w:pPr>
      <w:bookmarkStart w:id="219" w:name="_Toc204062675"/>
      <w:r>
        <w:rPr>
          <w:rFonts w:hint="eastAsia"/>
        </w:rPr>
        <w:t>运营期环境保护措施及其可行性分析</w:t>
      </w:r>
      <w:bookmarkEnd w:id="219"/>
    </w:p>
    <w:p w14:paraId="40DCCC01">
      <w:pPr>
        <w:pStyle w:val="9"/>
        <w:numPr>
          <w:ilvl w:val="2"/>
          <w:numId w:val="57"/>
        </w:numPr>
      </w:pPr>
      <w:bookmarkStart w:id="220" w:name="_Toc204062676"/>
      <w:r>
        <w:rPr>
          <w:rFonts w:hint="eastAsia"/>
        </w:rPr>
        <w:t>大气污染防治措施及其可行性分析</w:t>
      </w:r>
      <w:bookmarkEnd w:id="220"/>
    </w:p>
    <w:p w14:paraId="052A3D4D">
      <w:pPr>
        <w:pStyle w:val="10"/>
      </w:pPr>
      <w:r>
        <w:rPr>
          <w:rFonts w:hint="eastAsia"/>
        </w:rPr>
        <w:t>大气污染防治措施</w:t>
      </w:r>
    </w:p>
    <w:p w14:paraId="0E56379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（1）工艺比选</w:t>
      </w:r>
    </w:p>
    <w:p w14:paraId="4386A5F6">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参考《三废处理工程技术手册-废气卷》和《挥发性有机物（VOCs）污染防治技术政策》等文件，工业固定污染源有机废气治理技术可分为回收和销毁两种方式。回收是通过物理的方法，改变温度、压力或采用选择性吸附剂和选择性渗透膜等方法来富集分离有机气相污染物，主要有吸附、吸收、冷凝及膜分离法。回收的挥发性有机物可以直接或经过简单纯化后返回工艺过程再利用，以减少原料的消耗，或者用于有机溶剂质量要求较低的生产工艺，或者集中进行分离提纯。销毁主要是通过化学或生化反应，用热、光、催化剂和微生物等将有机化合物转变成为二氧化碳和水等无毒害或低毒害的无机小分子化合物，主要治理技术有直接焚烧、蓄热式直接焚烧、催化燃烧、蓄热式催化燃烧、生物法、等离子体破坏等，各污染防治措施详见表7.2-1。</w:t>
      </w:r>
    </w:p>
    <w:p w14:paraId="6664CE3C">
      <w:pPr>
        <w:pStyle w:val="2"/>
        <w:ind w:firstLine="24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14:paraId="6FAF1DB6">
      <w:pPr>
        <w:pStyle w:val="11"/>
        <w:numPr>
          <w:ilvl w:val="4"/>
          <w:numId w:val="58"/>
        </w:numPr>
      </w:pPr>
      <w:r>
        <w:rPr>
          <w:rFonts w:hint="eastAsia"/>
        </w:rPr>
        <w:t xml:space="preserve"> 有机废气治理方法比较</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
        <w:gridCol w:w="1067"/>
        <w:gridCol w:w="2736"/>
        <w:gridCol w:w="2815"/>
        <w:gridCol w:w="2189"/>
      </w:tblGrid>
      <w:tr w14:paraId="71362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6" w:type="pct"/>
            <w:vAlign w:val="center"/>
          </w:tcPr>
          <w:p w14:paraId="2A9646E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序号</w:t>
            </w:r>
          </w:p>
        </w:tc>
        <w:tc>
          <w:tcPr>
            <w:tcW w:w="577" w:type="pct"/>
            <w:vAlign w:val="center"/>
          </w:tcPr>
          <w:p w14:paraId="622A32D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处理方法</w:t>
            </w:r>
          </w:p>
        </w:tc>
        <w:tc>
          <w:tcPr>
            <w:tcW w:w="1480" w:type="pct"/>
            <w:vAlign w:val="center"/>
          </w:tcPr>
          <w:p w14:paraId="07ECE0FC">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主要原理</w:t>
            </w:r>
          </w:p>
        </w:tc>
        <w:tc>
          <w:tcPr>
            <w:tcW w:w="1523" w:type="pct"/>
            <w:vAlign w:val="center"/>
          </w:tcPr>
          <w:p w14:paraId="257FE19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主要优点</w:t>
            </w:r>
          </w:p>
        </w:tc>
        <w:tc>
          <w:tcPr>
            <w:tcW w:w="1185" w:type="pct"/>
            <w:vAlign w:val="center"/>
          </w:tcPr>
          <w:p w14:paraId="35FE209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主要缺点</w:t>
            </w:r>
          </w:p>
        </w:tc>
      </w:tr>
      <w:tr w14:paraId="4DBF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 w:type="pct"/>
            <w:vAlign w:val="center"/>
          </w:tcPr>
          <w:p w14:paraId="44A34B4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w:t>
            </w:r>
          </w:p>
        </w:tc>
        <w:tc>
          <w:tcPr>
            <w:tcW w:w="577" w:type="pct"/>
            <w:vAlign w:val="center"/>
          </w:tcPr>
          <w:p w14:paraId="478CE3B3">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活性炭吸附</w:t>
            </w:r>
          </w:p>
        </w:tc>
        <w:tc>
          <w:tcPr>
            <w:tcW w:w="1480" w:type="pct"/>
            <w:vAlign w:val="center"/>
          </w:tcPr>
          <w:p w14:paraId="0308273E">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有机废气由风机提供动力进入塔体，由于活性炭固体表面上存在着未平衡和未饱和的分子引力或化学键力，因此当此固体表面与气体接触时，就能吸引气体分子，使其浓聚并保持在固体表面，污染物质从而被吸附去除。</w:t>
            </w:r>
          </w:p>
        </w:tc>
        <w:tc>
          <w:tcPr>
            <w:tcW w:w="1523" w:type="pct"/>
            <w:vAlign w:val="center"/>
          </w:tcPr>
          <w:p w14:paraId="6AD62780">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能够同时处理多种混合废气，适用于VOCs浓度＜200mg/m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olor w:val="0D0D0D" w:themeColor="text1" w:themeTint="F2"/>
                <w:sz w:val="21"/>
                <w:szCs w:val="21"/>
                <w:u w:val="single"/>
                <w14:textFill>
                  <w14:solidFill>
                    <w14:schemeClr w14:val="tx1">
                      <w14:lumMod w14:val="95000"/>
                      <w14:lumOff w14:val="5000"/>
                    </w14:schemeClr>
                  </w14:solidFill>
                </w14:textFill>
              </w:rPr>
              <w:t>的有机废气，单套装置适用气体流量范围1000~60000m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olor w:val="0D0D0D" w:themeColor="text1" w:themeTint="F2"/>
                <w:sz w:val="21"/>
                <w:szCs w:val="21"/>
                <w:u w:val="single"/>
                <w14:textFill>
                  <w14:solidFill>
                    <w14:schemeClr w14:val="tx1">
                      <w14:lumMod w14:val="95000"/>
                      <w14:lumOff w14:val="5000"/>
                    </w14:schemeClr>
                  </w14:solidFill>
                </w14:textFill>
              </w:rPr>
              <w:t>/h；净化率50%~80%，设备简单、投资小、维护方便。</w:t>
            </w:r>
          </w:p>
        </w:tc>
        <w:tc>
          <w:tcPr>
            <w:tcW w:w="1185" w:type="pct"/>
            <w:vAlign w:val="center"/>
          </w:tcPr>
          <w:p w14:paraId="34B63943">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设备初次投入成本较低，但运行费用较高；活性炭容易吸附饱和，需经常更换，产生危险废物。</w:t>
            </w:r>
          </w:p>
        </w:tc>
      </w:tr>
      <w:tr w14:paraId="4007C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 w:type="pct"/>
            <w:vAlign w:val="center"/>
          </w:tcPr>
          <w:p w14:paraId="48E31CB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w:t>
            </w:r>
          </w:p>
        </w:tc>
        <w:tc>
          <w:tcPr>
            <w:tcW w:w="577" w:type="pct"/>
            <w:vAlign w:val="center"/>
          </w:tcPr>
          <w:p w14:paraId="4BD15AA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冷凝法</w:t>
            </w:r>
          </w:p>
        </w:tc>
        <w:tc>
          <w:tcPr>
            <w:tcW w:w="1480" w:type="pct"/>
            <w:vAlign w:val="center"/>
          </w:tcPr>
          <w:p w14:paraId="398F2E54">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是利用物质在不同温度下具有不同饱和蒸汽压的性质，降低系统温度或提高系统压力，使处于蒸汽状态的污染物从废气中冷凝分离出来的方法。</w:t>
            </w:r>
          </w:p>
        </w:tc>
        <w:tc>
          <w:tcPr>
            <w:tcW w:w="1523" w:type="pct"/>
            <w:vAlign w:val="center"/>
          </w:tcPr>
          <w:p w14:paraId="44F123CF">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适用于高浓度有机废气的净化。</w:t>
            </w:r>
          </w:p>
        </w:tc>
        <w:tc>
          <w:tcPr>
            <w:tcW w:w="1185" w:type="pct"/>
            <w:vAlign w:val="center"/>
          </w:tcPr>
          <w:p w14:paraId="71F78720">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冷凝效率取决于冷凝温度和废气的性质，去除效率因不同温度和废气组分波动较大，经过冷凝后尾气仍然含有一定浓度的有机物，需进行二次低浓度尾气治理。</w:t>
            </w:r>
          </w:p>
        </w:tc>
      </w:tr>
      <w:tr w14:paraId="28C36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 w:type="pct"/>
            <w:vAlign w:val="center"/>
          </w:tcPr>
          <w:p w14:paraId="05B86C9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w:t>
            </w:r>
          </w:p>
        </w:tc>
        <w:tc>
          <w:tcPr>
            <w:tcW w:w="577" w:type="pct"/>
            <w:vAlign w:val="center"/>
          </w:tcPr>
          <w:p w14:paraId="0F298152">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吸附+再生+冷凝回收</w:t>
            </w:r>
          </w:p>
        </w:tc>
        <w:tc>
          <w:tcPr>
            <w:tcW w:w="1480" w:type="pct"/>
            <w:vAlign w:val="center"/>
          </w:tcPr>
          <w:p w14:paraId="4652D253">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采用新型吸附材料（活性炭纤维）吸附，在接近饱和后引入热空气进行脱附、解析，脱附后废气浓度很高使用冷凝器集中冷凝回收，回收效率较高，回收后的液体可以回用。</w:t>
            </w:r>
          </w:p>
        </w:tc>
        <w:tc>
          <w:tcPr>
            <w:tcW w:w="1523" w:type="pct"/>
            <w:vAlign w:val="center"/>
          </w:tcPr>
          <w:p w14:paraId="725B8215">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适用于VOCs浓度≥1000mg/m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olor w:val="0D0D0D" w:themeColor="text1" w:themeTint="F2"/>
                <w:sz w:val="21"/>
                <w:szCs w:val="21"/>
                <w:u w:val="single"/>
                <w14:textFill>
                  <w14:solidFill>
                    <w14:schemeClr w14:val="tx1">
                      <w14:lumMod w14:val="95000"/>
                      <w14:lumOff w14:val="5000"/>
                    </w14:schemeClr>
                  </w14:solidFill>
                </w14:textFill>
              </w:rPr>
              <w:t>的有机废气，单套装置适用气体流量范围1000~150000m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olor w:val="0D0D0D" w:themeColor="text1" w:themeTint="F2"/>
                <w:sz w:val="21"/>
                <w:szCs w:val="21"/>
                <w:u w:val="single"/>
                <w14:textFill>
                  <w14:solidFill>
                    <w14:schemeClr w14:val="tx1">
                      <w14:lumMod w14:val="95000"/>
                      <w14:lumOff w14:val="5000"/>
                    </w14:schemeClr>
                  </w14:solidFill>
                </w14:textFill>
              </w:rPr>
              <w:t>/h；能同时处理多种混合废气，净化率可达90%-95%，可回收液体出售或回用，降低成本。</w:t>
            </w:r>
          </w:p>
        </w:tc>
        <w:tc>
          <w:tcPr>
            <w:tcW w:w="1185" w:type="pct"/>
            <w:vAlign w:val="center"/>
          </w:tcPr>
          <w:p w14:paraId="3B9A47DB">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处理设备庞大，需要较高的设备投入，当处理体系中含有烟、粉尘、油等物质时，废气必须经过预处理；污染物种类复杂时，回收后的溶剂需要进一步处理才能使用。</w:t>
            </w:r>
          </w:p>
        </w:tc>
      </w:tr>
      <w:tr w14:paraId="1375A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 w:type="pct"/>
            <w:vAlign w:val="center"/>
          </w:tcPr>
          <w:p w14:paraId="6BB38EF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w:t>
            </w:r>
          </w:p>
        </w:tc>
        <w:tc>
          <w:tcPr>
            <w:tcW w:w="577" w:type="pct"/>
            <w:vAlign w:val="center"/>
          </w:tcPr>
          <w:p w14:paraId="6280ABC4">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吸收法</w:t>
            </w:r>
          </w:p>
        </w:tc>
        <w:tc>
          <w:tcPr>
            <w:tcW w:w="1480" w:type="pct"/>
            <w:vAlign w:val="center"/>
          </w:tcPr>
          <w:p w14:paraId="7D4A58CA">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是利用相似相溶原理，采用低挥发或不挥发液体为吸收剂，使废气中的有害组分被吸收剂吸收，使VOCs从气相转移到液相中，从而达到净化废气的目的。</w:t>
            </w:r>
          </w:p>
        </w:tc>
        <w:tc>
          <w:tcPr>
            <w:tcW w:w="1523" w:type="pct"/>
            <w:vAlign w:val="center"/>
          </w:tcPr>
          <w:p w14:paraId="283D2E60">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适用于处理高压、低温、高浓度的VOCs废气，设施运行费用低。</w:t>
            </w:r>
          </w:p>
        </w:tc>
        <w:tc>
          <w:tcPr>
            <w:tcW w:w="1185" w:type="pct"/>
            <w:vAlign w:val="center"/>
          </w:tcPr>
          <w:p w14:paraId="4E28EF6B">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吸收剂需定期更换，产生的废水需处理达标后排放或作为危险废物处理。</w:t>
            </w:r>
          </w:p>
        </w:tc>
      </w:tr>
      <w:tr w14:paraId="2A00D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 w:type="pct"/>
            <w:vAlign w:val="center"/>
          </w:tcPr>
          <w:p w14:paraId="249B065F">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5</w:t>
            </w:r>
          </w:p>
        </w:tc>
        <w:tc>
          <w:tcPr>
            <w:tcW w:w="577" w:type="pct"/>
            <w:vAlign w:val="center"/>
          </w:tcPr>
          <w:p w14:paraId="6A50284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吸附+催化燃烧</w:t>
            </w:r>
          </w:p>
        </w:tc>
        <w:tc>
          <w:tcPr>
            <w:tcW w:w="1480" w:type="pct"/>
            <w:vAlign w:val="center"/>
          </w:tcPr>
          <w:p w14:paraId="202512DE">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采用新型吸附材料吸附，在接近饱和后引入热空气进行脱附、解析，脱附后废气引入催化燃烧床无焰燃烧，将其彻底净化，热气体在系统中循环使用，大大降低能耗。</w:t>
            </w:r>
          </w:p>
        </w:tc>
        <w:tc>
          <w:tcPr>
            <w:tcW w:w="1523" w:type="pct"/>
            <w:vAlign w:val="center"/>
          </w:tcPr>
          <w:p w14:paraId="49518C8A">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适用于VOCs浓度100~2000mg/m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olor w:val="0D0D0D" w:themeColor="text1" w:themeTint="F2"/>
                <w:sz w:val="21"/>
                <w:szCs w:val="21"/>
                <w:u w:val="single"/>
                <w14:textFill>
                  <w14:solidFill>
                    <w14:schemeClr w14:val="tx1">
                      <w14:lumMod w14:val="95000"/>
                      <w14:lumOff w14:val="5000"/>
                    </w14:schemeClr>
                  </w14:solidFill>
                </w14:textFill>
              </w:rPr>
              <w:t>的有机废气，单套装置适用气体流量范围10000~180000m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olor w:val="0D0D0D" w:themeColor="text1" w:themeTint="F2"/>
                <w:sz w:val="21"/>
                <w:szCs w:val="21"/>
                <w:u w:val="single"/>
                <w14:textFill>
                  <w14:solidFill>
                    <w14:schemeClr w14:val="tx1">
                      <w14:lumMod w14:val="95000"/>
                      <w14:lumOff w14:val="5000"/>
                    </w14:schemeClr>
                  </w14:solidFill>
                </w14:textFill>
              </w:rPr>
              <w:t>/h；基本上不会造成二次污染。设备较简单，投资少，见效快。</w:t>
            </w:r>
          </w:p>
        </w:tc>
        <w:tc>
          <w:tcPr>
            <w:tcW w:w="1185" w:type="pct"/>
            <w:vAlign w:val="center"/>
          </w:tcPr>
          <w:p w14:paraId="58896552">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催化剂易中毒失效和不耐高温，只适用高浓度废气。</w:t>
            </w:r>
          </w:p>
        </w:tc>
      </w:tr>
      <w:tr w14:paraId="24EEC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 w:type="pct"/>
            <w:vAlign w:val="center"/>
          </w:tcPr>
          <w:p w14:paraId="5CEDA256">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6</w:t>
            </w:r>
          </w:p>
        </w:tc>
        <w:tc>
          <w:tcPr>
            <w:tcW w:w="577" w:type="pct"/>
            <w:vAlign w:val="center"/>
          </w:tcPr>
          <w:p w14:paraId="2379B50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蓄热式焚烧系统（RTO）</w:t>
            </w:r>
          </w:p>
        </w:tc>
        <w:tc>
          <w:tcPr>
            <w:tcW w:w="1480" w:type="pct"/>
            <w:vAlign w:val="center"/>
          </w:tcPr>
          <w:p w14:paraId="0F239E93">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将有机废气通过进风口，进入分风室，在旋转阀门的作用下进入蓄热床，废气被蓄热陶瓷逐渐加热后进入燃烧室，VOCs在燃烧室内高温氧化（700-900℃）并放出热量，高温烟气再与另一侧蓄热床上的蓄积陶瓷进行热交换，将热量蓄积在蓄热陶瓷上，烟气以140℃左右的温度排放。通过旋转阀门的转动，废气进出陶瓷的区域被轮换，实现蓄热区与换热区交替转换。</w:t>
            </w:r>
          </w:p>
        </w:tc>
        <w:tc>
          <w:tcPr>
            <w:tcW w:w="1523" w:type="pct"/>
            <w:vAlign w:val="center"/>
          </w:tcPr>
          <w:p w14:paraId="648721A0">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适用于VOCs浓度≥1000mg/m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olor w:val="0D0D0D" w:themeColor="text1" w:themeTint="F2"/>
                <w:sz w:val="21"/>
                <w:szCs w:val="21"/>
                <w:u w:val="single"/>
                <w14:textFill>
                  <w14:solidFill>
                    <w14:schemeClr w14:val="tx1">
                      <w14:lumMod w14:val="95000"/>
                      <w14:lumOff w14:val="5000"/>
                    </w14:schemeClr>
                  </w14:solidFill>
                </w14:textFill>
              </w:rPr>
              <w:t>的有机废气，单套装置适用气体流量范围＜40000m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olor w:val="0D0D0D" w:themeColor="text1" w:themeTint="F2"/>
                <w:sz w:val="21"/>
                <w:szCs w:val="21"/>
                <w:u w:val="single"/>
                <w14:textFill>
                  <w14:solidFill>
                    <w14:schemeClr w14:val="tx1">
                      <w14:lumMod w14:val="95000"/>
                      <w14:lumOff w14:val="5000"/>
                    </w14:schemeClr>
                  </w14:solidFill>
                </w14:textFill>
              </w:rPr>
              <w:t>/h；可对外通过换热器、蒸汽锅炉等形式输出系统余热。处理的气体种类多，适用范围广。全自动控制、操作管理方便。安全性高、净化效率高达95%以上。</w:t>
            </w:r>
          </w:p>
        </w:tc>
        <w:tc>
          <w:tcPr>
            <w:tcW w:w="1185" w:type="pct"/>
            <w:vAlign w:val="center"/>
          </w:tcPr>
          <w:p w14:paraId="2F21E81E">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一次性投资较高，需要补充燃料，只适用高浓度废气。</w:t>
            </w:r>
          </w:p>
        </w:tc>
      </w:tr>
      <w:tr w14:paraId="2DE8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 w:type="pct"/>
            <w:vAlign w:val="center"/>
          </w:tcPr>
          <w:p w14:paraId="48243E5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7</w:t>
            </w:r>
          </w:p>
        </w:tc>
        <w:tc>
          <w:tcPr>
            <w:tcW w:w="577" w:type="pct"/>
            <w:vAlign w:val="center"/>
          </w:tcPr>
          <w:p w14:paraId="31786FA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低温等离子体法</w:t>
            </w:r>
          </w:p>
        </w:tc>
        <w:tc>
          <w:tcPr>
            <w:tcW w:w="1480" w:type="pct"/>
            <w:vAlign w:val="center"/>
          </w:tcPr>
          <w:p w14:paraId="7460A159">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低温等离子体技术又称非平衡等离子体技术，是在外加电场的作用下，通过介质放电产生大量的高能粒子，高能粒子与有机污染物分子发生一系列复杂的等离子体物理化学反应，从而将有机污染物降解为无毒无害物质。</w:t>
            </w:r>
          </w:p>
        </w:tc>
        <w:tc>
          <w:tcPr>
            <w:tcW w:w="1523" w:type="pct"/>
            <w:vAlign w:val="center"/>
          </w:tcPr>
          <w:p w14:paraId="3A1AD64F">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适用于VOCs浓度＜500mg/m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olor w:val="0D0D0D" w:themeColor="text1" w:themeTint="F2"/>
                <w:sz w:val="21"/>
                <w:szCs w:val="21"/>
                <w:u w:val="single"/>
                <w14:textFill>
                  <w14:solidFill>
                    <w14:schemeClr w14:val="tx1">
                      <w14:lumMod w14:val="95000"/>
                      <w14:lumOff w14:val="5000"/>
                    </w14:schemeClr>
                  </w14:solidFill>
                </w14:textFill>
              </w:rPr>
              <w:t>的有机废气，单套装置适用气体流量范围1000~50000m</w:t>
            </w:r>
            <w:r>
              <w:rPr>
                <w:rFonts w:hint="eastAsia"/>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olor w:val="0D0D0D" w:themeColor="text1" w:themeTint="F2"/>
                <w:sz w:val="21"/>
                <w:szCs w:val="21"/>
                <w:u w:val="single"/>
                <w14:textFill>
                  <w14:solidFill>
                    <w14:schemeClr w14:val="tx1">
                      <w14:lumMod w14:val="95000"/>
                      <w14:lumOff w14:val="5000"/>
                    </w14:schemeClr>
                  </w14:solidFill>
                </w14:textFill>
              </w:rPr>
              <w:t>/h；等离子体反应器几乎没有阻力，系统的动力消耗非常低装置简单，反应器为模块式结构，易于搬迁和安装；不需要预热时间，可以即时开启与关闭；所占空间较小；抗颗粒物干扰能力强，对于油烟、油雾等无需进行过滤预处理。</w:t>
            </w:r>
          </w:p>
        </w:tc>
        <w:tc>
          <w:tcPr>
            <w:tcW w:w="1185" w:type="pct"/>
            <w:vAlign w:val="center"/>
          </w:tcPr>
          <w:p w14:paraId="329C5BA8">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对水蒸气比较敏感，当水蒸气含量高于5%时处理效率及效果将受到影响，同时一般在同等风量下的初始设备投资较；高。要将不同的化学键打开，需要的能量不同，特别是对于混合气体的净化，有些分子容易被破坏并被彻底氧化，而有些分子则不易被破坏或者只是降解而未被彻底氧化，可能产生二次污染。</w:t>
            </w:r>
          </w:p>
        </w:tc>
      </w:tr>
    </w:tbl>
    <w:p w14:paraId="0D1404FD">
      <w:pPr>
        <w:pStyle w:val="11"/>
      </w:pPr>
      <w:r>
        <w:rPr>
          <w:rFonts w:hint="eastAsia"/>
        </w:rPr>
        <w:t xml:space="preserve"> 臭气处理工艺比选</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
        <w:gridCol w:w="588"/>
        <w:gridCol w:w="2458"/>
        <w:gridCol w:w="2120"/>
        <w:gridCol w:w="2044"/>
        <w:gridCol w:w="1557"/>
      </w:tblGrid>
      <w:tr w14:paraId="48AFA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Align w:val="center"/>
          </w:tcPr>
          <w:p w14:paraId="1F076C2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序号</w:t>
            </w:r>
          </w:p>
        </w:tc>
        <w:tc>
          <w:tcPr>
            <w:tcW w:w="318" w:type="pct"/>
            <w:vAlign w:val="center"/>
          </w:tcPr>
          <w:p w14:paraId="7ACDDD2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方法</w:t>
            </w:r>
          </w:p>
        </w:tc>
        <w:tc>
          <w:tcPr>
            <w:tcW w:w="1330" w:type="pct"/>
            <w:vAlign w:val="center"/>
          </w:tcPr>
          <w:p w14:paraId="46AAF79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原理</w:t>
            </w:r>
          </w:p>
        </w:tc>
        <w:tc>
          <w:tcPr>
            <w:tcW w:w="1147" w:type="pct"/>
            <w:vAlign w:val="center"/>
          </w:tcPr>
          <w:p w14:paraId="27E9399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优点</w:t>
            </w:r>
          </w:p>
        </w:tc>
        <w:tc>
          <w:tcPr>
            <w:tcW w:w="1106" w:type="pct"/>
            <w:vAlign w:val="center"/>
          </w:tcPr>
          <w:p w14:paraId="3953389D">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缺点</w:t>
            </w:r>
          </w:p>
        </w:tc>
        <w:tc>
          <w:tcPr>
            <w:tcW w:w="842" w:type="pct"/>
            <w:vAlign w:val="center"/>
          </w:tcPr>
          <w:p w14:paraId="3A60F508">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适用范围</w:t>
            </w:r>
          </w:p>
        </w:tc>
      </w:tr>
      <w:tr w14:paraId="78C74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Align w:val="center"/>
          </w:tcPr>
          <w:p w14:paraId="14E4A2A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w:t>
            </w:r>
          </w:p>
        </w:tc>
        <w:tc>
          <w:tcPr>
            <w:tcW w:w="318" w:type="pct"/>
            <w:vAlign w:val="center"/>
          </w:tcPr>
          <w:p w14:paraId="223F823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生物法</w:t>
            </w:r>
          </w:p>
        </w:tc>
        <w:tc>
          <w:tcPr>
            <w:tcW w:w="1330" w:type="pct"/>
            <w:vAlign w:val="center"/>
          </w:tcPr>
          <w:p w14:paraId="7972F9ED">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利用附着在反应器内填料上的微生物，在新陈代谢过程中将废气中的污染物降解为简单的无机物和微生物细胞质。</w:t>
            </w:r>
          </w:p>
        </w:tc>
        <w:tc>
          <w:tcPr>
            <w:tcW w:w="1147" w:type="pct"/>
            <w:vAlign w:val="center"/>
          </w:tcPr>
          <w:p w14:paraId="4AEAEEA9">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除臭效率高、处理彻底、操作简便、无二次污染、运行费用低，被称为是一项绿色除臭技术。</w:t>
            </w:r>
          </w:p>
        </w:tc>
        <w:tc>
          <w:tcPr>
            <w:tcW w:w="1106" w:type="pct"/>
            <w:vAlign w:val="center"/>
          </w:tcPr>
          <w:p w14:paraId="31D2A316">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存在微生物容易随液相流失、营养物添加过量易造成反应床堵塞等问题。</w:t>
            </w:r>
          </w:p>
        </w:tc>
        <w:tc>
          <w:tcPr>
            <w:tcW w:w="842" w:type="pct"/>
            <w:vAlign w:val="center"/>
          </w:tcPr>
          <w:p w14:paraId="3B5226F5">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适用于可生物降解的水溶性恶臭物质的去除。</w:t>
            </w:r>
          </w:p>
        </w:tc>
      </w:tr>
      <w:tr w14:paraId="1B18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Align w:val="center"/>
          </w:tcPr>
          <w:p w14:paraId="0FF12F3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2</w:t>
            </w:r>
          </w:p>
        </w:tc>
        <w:tc>
          <w:tcPr>
            <w:tcW w:w="318" w:type="pct"/>
            <w:vAlign w:val="center"/>
          </w:tcPr>
          <w:p w14:paraId="32ACAB71">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洗涤法</w:t>
            </w:r>
          </w:p>
        </w:tc>
        <w:tc>
          <w:tcPr>
            <w:tcW w:w="1330" w:type="pct"/>
            <w:vAlign w:val="center"/>
          </w:tcPr>
          <w:p w14:paraId="2539E7D1">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利用化学药液与臭气分子发生化学反应，生成无臭物质，以达到除臭目的。</w:t>
            </w:r>
          </w:p>
        </w:tc>
        <w:tc>
          <w:tcPr>
            <w:tcW w:w="1147" w:type="pct"/>
            <w:vAlign w:val="center"/>
          </w:tcPr>
          <w:p w14:paraId="397F07A1">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处理流量大，工艺成熟。</w:t>
            </w:r>
          </w:p>
        </w:tc>
        <w:tc>
          <w:tcPr>
            <w:tcW w:w="1106" w:type="pct"/>
            <w:vAlign w:val="center"/>
          </w:tcPr>
          <w:p w14:paraId="595488FF">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处理效率不高，消耗吸收剂，运行费用高，污染物仅由气相转移到液相，存在二次污染。</w:t>
            </w:r>
          </w:p>
        </w:tc>
        <w:tc>
          <w:tcPr>
            <w:tcW w:w="842" w:type="pct"/>
            <w:vAlign w:val="center"/>
          </w:tcPr>
          <w:p w14:paraId="67B83D32">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适用于高、中浓度的恶臭气体。</w:t>
            </w:r>
          </w:p>
        </w:tc>
      </w:tr>
      <w:tr w14:paraId="3F042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Align w:val="center"/>
          </w:tcPr>
          <w:p w14:paraId="18C68479">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3</w:t>
            </w:r>
          </w:p>
        </w:tc>
        <w:tc>
          <w:tcPr>
            <w:tcW w:w="318" w:type="pct"/>
            <w:vAlign w:val="center"/>
          </w:tcPr>
          <w:p w14:paraId="12D4D02E">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吸附法</w:t>
            </w:r>
          </w:p>
        </w:tc>
        <w:tc>
          <w:tcPr>
            <w:tcW w:w="1330" w:type="pct"/>
            <w:vAlign w:val="center"/>
          </w:tcPr>
          <w:p w14:paraId="09432D5C">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采用活性炭等多孔介质吸附恶臭物质。</w:t>
            </w:r>
          </w:p>
        </w:tc>
        <w:tc>
          <w:tcPr>
            <w:tcW w:w="1147" w:type="pct"/>
            <w:vAlign w:val="center"/>
          </w:tcPr>
          <w:p w14:paraId="712FE22F">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该方法工艺处理效率高，工艺简单，一次性投入少。</w:t>
            </w:r>
          </w:p>
        </w:tc>
        <w:tc>
          <w:tcPr>
            <w:tcW w:w="1106" w:type="pct"/>
            <w:vAlign w:val="center"/>
          </w:tcPr>
          <w:p w14:paraId="55051504">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吸附介质一旦饱和需要更换，会产生废活性炭，对高浓度臭气处理效率较低。</w:t>
            </w:r>
          </w:p>
        </w:tc>
        <w:tc>
          <w:tcPr>
            <w:tcW w:w="842" w:type="pct"/>
            <w:vAlign w:val="center"/>
          </w:tcPr>
          <w:p w14:paraId="70AA3895">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适用于低浓度、高净化要求的恶臭气体。</w:t>
            </w:r>
          </w:p>
        </w:tc>
      </w:tr>
      <w:tr w14:paraId="423FF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Align w:val="center"/>
          </w:tcPr>
          <w:p w14:paraId="1CB33A17">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4</w:t>
            </w:r>
          </w:p>
        </w:tc>
        <w:tc>
          <w:tcPr>
            <w:tcW w:w="318" w:type="pct"/>
            <w:vAlign w:val="center"/>
          </w:tcPr>
          <w:p w14:paraId="22C845C5">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植物液处理</w:t>
            </w:r>
          </w:p>
        </w:tc>
        <w:tc>
          <w:tcPr>
            <w:tcW w:w="1330" w:type="pct"/>
            <w:vAlign w:val="center"/>
          </w:tcPr>
          <w:p w14:paraId="78295FFE">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利用天然植物除味液吸附空气中的异味分子，并与异味分子发生聚合、分解化学反应，使之失去臭味。</w:t>
            </w:r>
          </w:p>
        </w:tc>
        <w:tc>
          <w:tcPr>
            <w:tcW w:w="1147" w:type="pct"/>
            <w:vAlign w:val="center"/>
          </w:tcPr>
          <w:p w14:paraId="665493C6">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该方法设备安装简便，建设周期短，投资低。</w:t>
            </w:r>
          </w:p>
        </w:tc>
        <w:tc>
          <w:tcPr>
            <w:tcW w:w="1106" w:type="pct"/>
            <w:vAlign w:val="center"/>
          </w:tcPr>
          <w:p w14:paraId="55B6008C">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处理效率低，且天然植物除味液属于消耗产品，后续运行费用高。</w:t>
            </w:r>
          </w:p>
        </w:tc>
        <w:tc>
          <w:tcPr>
            <w:tcW w:w="842" w:type="pct"/>
            <w:vAlign w:val="center"/>
          </w:tcPr>
          <w:p w14:paraId="1AB0754E">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适用于低浓度的恶臭气体。</w:t>
            </w:r>
          </w:p>
        </w:tc>
      </w:tr>
      <w:tr w14:paraId="4BDE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Align w:val="center"/>
          </w:tcPr>
          <w:p w14:paraId="2A1117B0">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5</w:t>
            </w:r>
          </w:p>
        </w:tc>
        <w:tc>
          <w:tcPr>
            <w:tcW w:w="318" w:type="pct"/>
            <w:vAlign w:val="center"/>
          </w:tcPr>
          <w:p w14:paraId="6CC678FA">
            <w:pPr>
              <w:spacing w:line="240" w:lineRule="auto"/>
              <w:jc w:val="center"/>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燃烧法</w:t>
            </w:r>
          </w:p>
        </w:tc>
        <w:tc>
          <w:tcPr>
            <w:tcW w:w="1330" w:type="pct"/>
            <w:vAlign w:val="center"/>
          </w:tcPr>
          <w:p w14:paraId="151BF7F3">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通过高温氧化将恶臭物质氧化具体可以分为直接燃烧法、热力燃烧法和催化燃烧法。</w:t>
            </w:r>
          </w:p>
        </w:tc>
        <w:tc>
          <w:tcPr>
            <w:tcW w:w="1147" w:type="pct"/>
            <w:vAlign w:val="center"/>
          </w:tcPr>
          <w:p w14:paraId="6D03D2C2">
            <w:pPr>
              <w:spacing w:line="240" w:lineRule="auto"/>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燃烧法能够迅速将废气中的有害物质转化为无害物质，处理效率高、适用范围广。</w:t>
            </w:r>
          </w:p>
        </w:tc>
        <w:tc>
          <w:tcPr>
            <w:tcW w:w="1106" w:type="pct"/>
            <w:vAlign w:val="center"/>
          </w:tcPr>
          <w:p w14:paraId="46B94022">
            <w:pPr>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需根据废气浓度和采用辅助燃料或催化剂，大量热能以废热形式排放，运行成本高。</w:t>
            </w:r>
          </w:p>
        </w:tc>
        <w:tc>
          <w:tcPr>
            <w:tcW w:w="842" w:type="pct"/>
            <w:vAlign w:val="center"/>
          </w:tcPr>
          <w:p w14:paraId="1B36083E">
            <w:pPr>
              <w:spacing w:line="240" w:lineRule="auto"/>
              <w:rPr>
                <w:color w:val="0D0D0D" w:themeColor="text1" w:themeTint="F2"/>
                <w:sz w:val="21"/>
                <w:szCs w:val="21"/>
                <w:u w:val="single"/>
                <w14:textFill>
                  <w14:solidFill>
                    <w14:schemeClr w14:val="tx1">
                      <w14:lumMod w14:val="95000"/>
                      <w14:lumOff w14:val="5000"/>
                    </w14:schemeClr>
                  </w14:solidFill>
                </w14:textFill>
              </w:rPr>
            </w:pPr>
            <w:r>
              <w:rPr>
                <w:color w:val="0D0D0D" w:themeColor="text1" w:themeTint="F2"/>
                <w:sz w:val="21"/>
                <w:szCs w:val="21"/>
                <w:u w:val="single"/>
                <w14:textFill>
                  <w14:solidFill>
                    <w14:schemeClr w14:val="tx1">
                      <w14:lumMod w14:val="95000"/>
                      <w14:lumOff w14:val="5000"/>
                    </w14:schemeClr>
                  </w14:solidFill>
                </w14:textFill>
              </w:rPr>
              <w:t>高浓度的可燃性恶臭气体处理，如垃圾站、污水处理厂等。</w:t>
            </w:r>
          </w:p>
        </w:tc>
      </w:tr>
    </w:tbl>
    <w:p w14:paraId="377DFCDF">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从上表可见，所比较的处理技术各有优劣，没有绝对的优或劣，所以在针对废气工艺选择时，应该根据项目的实际特点，选择合适的。</w:t>
      </w:r>
    </w:p>
    <w:p w14:paraId="1DAA988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（2）项目废气处理方案</w:t>
      </w:r>
    </w:p>
    <w:p w14:paraId="0C3D101E">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运营期生产线工艺废气和储罐大小呼吸废气经RCO催化燃烧装置处理后，通过30m高排气筒（DA001）排放；污水处理站废气经“二级碱液喷淋+除雾器”预处理后排入RCO催化燃烧装置处理，最后通过30m高排气筒（DA001）排放；沼气脱硫净化后引至1＃导热油炉燃烧处理；白土投料粉尘无组织排放；导热油炉燃烧废气经各自配套的“旋风除尘器+布袋除尘器”处理后，通过40m高排气筒（DA002）排放。</w:t>
      </w:r>
    </w:p>
    <w:p w14:paraId="271145A6">
      <w:pPr>
        <w:pStyle w:val="10"/>
      </w:pPr>
      <w:r>
        <w:rPr>
          <w:rFonts w:hint="eastAsia"/>
        </w:rPr>
        <w:t>RCO催化燃烧装置可行性分析</w:t>
      </w:r>
    </w:p>
    <w:p w14:paraId="30DD1BE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（1）RCO催化燃烧装置工艺原理</w:t>
      </w:r>
    </w:p>
    <w:p w14:paraId="136117DC">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蓄热式催化燃烧装置（简称RCO）直接应用于中高浓度（1000mg/m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~10000mg/m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的有机废气净化。蓄热式催化燃烧治理技术是典型的气-固相反应，其实质是活性氧参与的深度氧化作用。在催化氧化过程中，催化剂表面的吸附作用使反应物分子富集于催化剂表面，催化剂降低活化能的作用加快了氧化反应的进行，提高了氧化反应的速率。在特定催化剂的作用下，有机物在较低的起燃温度下（200~280℃）发生无焰氧化燃烧，氧化分解为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和水，并放出大量热能。RCO装置主要由炉体、催化蓄热体、燃烧系统、自控系统、自动阀门等几个系统构成。</w:t>
      </w:r>
    </w:p>
    <w:p w14:paraId="31A92EAF">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优点：净化效率一般均可达95%以上；与RTO相比燃烧温度低；一次性投资低，运行费用低，其热回收效率一般均可达85%以上；整个过程无废水产生，净化过程不产生NOx等二次污染。</w:t>
      </w:r>
    </w:p>
    <w:p w14:paraId="350EC10C">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缺点：不适合开、关频繁使用、风量较大和浓度波动较大的废气处理，且催化剂成本较高。</w:t>
      </w:r>
    </w:p>
    <w:p w14:paraId="06A5C547">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RCO装置主要由预处理系统、催化燃烧系统、热回收系统三部分构成，流程如下：</w:t>
      </w:r>
    </w:p>
    <w:p w14:paraId="7FF4A6A6">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①废气进入RCO装置前需先经过预处理，主要目的是去除废气中的颗粒物、水分及可能毒化催化剂的杂质（如硫、氯、重金属等），避免堵塞吸附材料或导致催化剂中毒。</w:t>
      </w:r>
    </w:p>
    <w:p w14:paraId="04881CD8">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②</w:t>
      </w:r>
      <w:r>
        <w:rPr>
          <w:color w:val="0D0D0D" w:themeColor="text1" w:themeTint="F2"/>
          <w:u w:val="single"/>
          <w14:textFill>
            <w14:solidFill>
              <w14:schemeClr w14:val="tx1">
                <w14:lumMod w14:val="95000"/>
                <w14:lumOff w14:val="5000"/>
              </w14:schemeClr>
            </w14:solidFill>
          </w14:textFill>
        </w:rPr>
        <w:t>VOCs</w:t>
      </w:r>
      <w:r>
        <w:rPr>
          <w:rFonts w:hint="eastAsia"/>
          <w:color w:val="0D0D0D" w:themeColor="text1" w:themeTint="F2"/>
          <w:u w:val="single"/>
          <w14:textFill>
            <w14:solidFill>
              <w14:schemeClr w14:val="tx1">
                <w14:lumMod w14:val="95000"/>
                <w14:lumOff w14:val="5000"/>
              </w14:schemeClr>
            </w14:solidFill>
          </w14:textFill>
        </w:rPr>
        <w:t>废气进入催化燃烧炉，在催化剂作用下于</w:t>
      </w:r>
      <w:r>
        <w:rPr>
          <w:color w:val="0D0D0D" w:themeColor="text1" w:themeTint="F2"/>
          <w:u w:val="single"/>
          <w14:textFill>
            <w14:solidFill>
              <w14:schemeClr w14:val="tx1">
                <w14:lumMod w14:val="95000"/>
                <w14:lumOff w14:val="5000"/>
              </w14:schemeClr>
            </w14:solidFill>
          </w14:textFill>
        </w:rPr>
        <w:t>200</w:t>
      </w:r>
      <w:r>
        <w:rPr>
          <w:rFonts w:hint="eastAsia"/>
          <w:color w:val="0D0D0D" w:themeColor="text1" w:themeTint="F2"/>
          <w:u w:val="single"/>
          <w14:textFill>
            <w14:solidFill>
              <w14:schemeClr w14:val="tx1">
                <w14:lumMod w14:val="95000"/>
                <w14:lumOff w14:val="5000"/>
              </w14:schemeClr>
            </w14:solidFill>
          </w14:textFill>
        </w:rPr>
        <w:t>~</w:t>
      </w:r>
      <w:r>
        <w:rPr>
          <w:color w:val="0D0D0D" w:themeColor="text1" w:themeTint="F2"/>
          <w:u w:val="single"/>
          <w14:textFill>
            <w14:solidFill>
              <w14:schemeClr w14:val="tx1">
                <w14:lumMod w14:val="95000"/>
                <w14:lumOff w14:val="5000"/>
              </w14:schemeClr>
            </w14:solidFill>
          </w14:textFill>
        </w:rPr>
        <w:t>400</w:t>
      </w:r>
      <w:r>
        <w:rPr>
          <w:rFonts w:hint="eastAsia"/>
          <w:color w:val="0D0D0D" w:themeColor="text1" w:themeTint="F2"/>
          <w:u w:val="single"/>
          <w14:textFill>
            <w14:solidFill>
              <w14:schemeClr w14:val="tx1">
                <w14:lumMod w14:val="95000"/>
                <w14:lumOff w14:val="5000"/>
              </w14:schemeClr>
            </w14:solidFill>
          </w14:textFill>
        </w:rPr>
        <w:t>℃</w:t>
      </w:r>
      <w:r>
        <w:rPr>
          <w:rFonts w:hint="eastAsia" w:cs="宋体"/>
          <w:color w:val="0D0D0D" w:themeColor="text1" w:themeTint="F2"/>
          <w:u w:val="single"/>
          <w14:textFill>
            <w14:solidFill>
              <w14:schemeClr w14:val="tx1">
                <w14:lumMod w14:val="95000"/>
                <w14:lumOff w14:val="5000"/>
              </w14:schemeClr>
            </w14:solidFill>
          </w14:textFill>
        </w:rPr>
        <w:t>（远低于直接燃烧的</w:t>
      </w:r>
      <w:r>
        <w:rPr>
          <w:color w:val="0D0D0D" w:themeColor="text1" w:themeTint="F2"/>
          <w:u w:val="single"/>
          <w14:textFill>
            <w14:solidFill>
              <w14:schemeClr w14:val="tx1">
                <w14:lumMod w14:val="95000"/>
                <w14:lumOff w14:val="5000"/>
              </w14:schemeClr>
            </w14:solidFill>
          </w14:textFill>
        </w:rPr>
        <w:t>600</w:t>
      </w:r>
      <w:r>
        <w:rPr>
          <w:rFonts w:hint="eastAsia"/>
          <w:color w:val="0D0D0D" w:themeColor="text1" w:themeTint="F2"/>
          <w:u w:val="single"/>
          <w14:textFill>
            <w14:solidFill>
              <w14:schemeClr w14:val="tx1">
                <w14:lumMod w14:val="95000"/>
                <w14:lumOff w14:val="5000"/>
              </w14:schemeClr>
            </w14:solidFill>
          </w14:textFill>
        </w:rPr>
        <w:t>~</w:t>
      </w:r>
      <w:r>
        <w:rPr>
          <w:color w:val="0D0D0D" w:themeColor="text1" w:themeTint="F2"/>
          <w:u w:val="single"/>
          <w14:textFill>
            <w14:solidFill>
              <w14:schemeClr w14:val="tx1">
                <w14:lumMod w14:val="95000"/>
                <w14:lumOff w14:val="5000"/>
              </w14:schemeClr>
            </w14:solidFill>
          </w14:textFill>
        </w:rPr>
        <w:t>800</w:t>
      </w:r>
      <w:r>
        <w:rPr>
          <w:rFonts w:hint="eastAsia"/>
          <w:color w:val="0D0D0D" w:themeColor="text1" w:themeTint="F2"/>
          <w:u w:val="single"/>
          <w14:textFill>
            <w14:solidFill>
              <w14:schemeClr w14:val="tx1">
                <w14:lumMod w14:val="95000"/>
                <w14:lumOff w14:val="5000"/>
              </w14:schemeClr>
            </w14:solidFill>
          </w14:textFill>
        </w:rPr>
        <w:t>℃）发生氧化反应，最终生成</w:t>
      </w:r>
      <w:r>
        <w:rPr>
          <w:color w:val="0D0D0D" w:themeColor="text1" w:themeTint="F2"/>
          <w:u w:val="single"/>
          <w14:textFill>
            <w14:solidFill>
              <w14:schemeClr w14:val="tx1">
                <w14:lumMod w14:val="95000"/>
                <w14:lumOff w14:val="5000"/>
              </w14:schemeClr>
            </w14:solidFill>
          </w14:textFill>
        </w:rPr>
        <w:t>CO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和</w:t>
      </w:r>
      <w:r>
        <w:rPr>
          <w:color w:val="0D0D0D" w:themeColor="text1" w:themeTint="F2"/>
          <w:u w:val="single"/>
          <w14:textFill>
            <w14:solidFill>
              <w14:schemeClr w14:val="tx1">
                <w14:lumMod w14:val="95000"/>
                <w14:lumOff w14:val="5000"/>
              </w14:schemeClr>
            </w14:solidFill>
          </w14:textFill>
        </w:rPr>
        <w:t>H</w:t>
      </w:r>
      <w:r>
        <w:rPr>
          <w:rFonts w:hint="eastAsia"/>
          <w:color w:val="0D0D0D" w:themeColor="text1" w:themeTint="F2"/>
          <w:u w:val="single"/>
          <w:vertAlign w:val="subscript"/>
          <w14:textFill>
            <w14:solidFill>
              <w14:schemeClr w14:val="tx1">
                <w14:lumMod w14:val="95000"/>
                <w14:lumOff w14:val="5000"/>
              </w14:schemeClr>
            </w14:solidFill>
          </w14:textFill>
        </w:rPr>
        <w:t>2</w:t>
      </w:r>
      <w:r>
        <w:rPr>
          <w:color w:val="0D0D0D" w:themeColor="text1" w:themeTint="F2"/>
          <w:u w:val="single"/>
          <w14:textFill>
            <w14:solidFill>
              <w14:schemeClr w14:val="tx1">
                <w14:lumMod w14:val="95000"/>
                <w14:lumOff w14:val="5000"/>
              </w14:schemeClr>
            </w14:solidFill>
          </w14:textFill>
        </w:rPr>
        <w:t>O</w:t>
      </w:r>
      <w:r>
        <w:rPr>
          <w:rFonts w:hint="eastAsia"/>
          <w:color w:val="0D0D0D" w:themeColor="text1" w:themeTint="F2"/>
          <w:u w:val="single"/>
          <w14:textFill>
            <w14:solidFill>
              <w14:schemeClr w14:val="tx1">
                <w14:lumMod w14:val="95000"/>
                <w14:lumOff w14:val="5000"/>
              </w14:schemeClr>
            </w14:solidFill>
          </w14:textFill>
        </w:rPr>
        <w:t>，并释放大量热量。</w:t>
      </w:r>
    </w:p>
    <w:p w14:paraId="18A3757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③催化燃烧释放的热量可通过蓄热体</w:t>
      </w:r>
      <w:r>
        <w:rPr>
          <w:rFonts w:hint="eastAsia" w:cs="宋体"/>
          <w:color w:val="0D0D0D" w:themeColor="text1" w:themeTint="F2"/>
          <w:u w:val="single"/>
          <w14:textFill>
            <w14:solidFill>
              <w14:schemeClr w14:val="tx1">
                <w14:lumMod w14:val="95000"/>
                <w14:lumOff w14:val="5000"/>
              </w14:schemeClr>
            </w14:solidFill>
          </w14:textFill>
        </w:rPr>
        <w:t>（如陶瓷蜂窝体）或换热器回收</w:t>
      </w:r>
      <w:r>
        <w:rPr>
          <w:rFonts w:hint="eastAsia"/>
          <w:color w:val="0D0D0D" w:themeColor="text1" w:themeTint="F2"/>
          <w:u w:val="single"/>
          <w14:textFill>
            <w14:solidFill>
              <w14:schemeClr w14:val="tx1">
                <w14:lumMod w14:val="95000"/>
                <w14:lumOff w14:val="5000"/>
              </w14:schemeClr>
            </w14:solidFill>
          </w14:textFill>
        </w:rPr>
        <w:t>。</w:t>
      </w:r>
    </w:p>
    <w:p w14:paraId="518B07DC">
      <w:pPr>
        <w:ind w:firstLine="480" w:firstLineChars="200"/>
        <w:rPr>
          <w:rFonts w:cs="宋体"/>
          <w:color w:val="0D0D0D" w:themeColor="text1" w:themeTint="F2"/>
          <w:u w:val="single"/>
          <w14:textFill>
            <w14:solidFill>
              <w14:schemeClr w14:val="tx1">
                <w14:lumMod w14:val="95000"/>
                <w14:lumOff w14:val="5000"/>
              </w14:schemeClr>
            </w14:solidFill>
          </w14:textFill>
        </w:rPr>
      </w:pPr>
      <w:r>
        <w:rPr>
          <w:rFonts w:hint="eastAsia" w:cs="宋体"/>
          <w:color w:val="0D0D0D" w:themeColor="text1" w:themeTint="F2"/>
          <w:u w:val="single"/>
          <w14:textFill>
            <w14:solidFill>
              <w14:schemeClr w14:val="tx1">
                <w14:lumMod w14:val="95000"/>
                <w14:lumOff w14:val="5000"/>
              </w14:schemeClr>
            </w14:solidFill>
          </w14:textFill>
        </w:rPr>
        <w:t>参照《排污许可证申请与核发技术规范  废弃资源加工工业》（HJ1034-2019），RCO催化燃烧装置处理有机废气属于可行措施，且不属于《国家污染防治技术指导目录（2024年，限制类和淘汰类）》限制类或淘汰类，项目废气经RCO催化燃烧处理后可满足《石油炼制工业污染物排放标准》（GB31570-2015）及其修改单表3大气污染物排放限值要求。</w:t>
      </w:r>
    </w:p>
    <w:p w14:paraId="532003B9">
      <w:pPr>
        <w:pStyle w:val="10"/>
      </w:pPr>
      <w:r>
        <w:rPr>
          <w:rFonts w:hint="eastAsia"/>
        </w:rPr>
        <w:t>碱液喷淋可行性分析</w:t>
      </w:r>
    </w:p>
    <w:p w14:paraId="61030F0E">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（1）碱液喷淋的原理</w:t>
      </w:r>
    </w:p>
    <w:p w14:paraId="016DBAD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碱液喷淋塔适用于大部分工业废气的处理，对含有机废气、恶臭气体的处理效果比较显著，常采用的吸收剂有氢氧化钠、碳酸钠和氢氧化钙等水溶液，碱性吸收剂能使废气中的非甲烷总烃、臭味得到有效吸收。碱液喷淋处理废气的原理是通过酸碱中和反应，利用碱性溶液（如氢氧化钠、氢氧化钙等）与酸性气体污染物（如</w:t>
      </w:r>
      <w:r>
        <w:rPr>
          <w:color w:val="0D0D0D" w:themeColor="text1" w:themeTint="F2"/>
          <w:u w:val="single"/>
          <w14:textFill>
            <w14:solidFill>
              <w14:schemeClr w14:val="tx1">
                <w14:lumMod w14:val="95000"/>
                <w14:lumOff w14:val="5000"/>
              </w14:schemeClr>
            </w14:solidFill>
          </w14:textFill>
        </w:rPr>
        <w:t>SO₂</w:t>
      </w:r>
      <w:r>
        <w:rPr>
          <w:rFonts w:hint="eastAsia"/>
          <w:color w:val="0D0D0D" w:themeColor="text1" w:themeTint="F2"/>
          <w:u w:val="single"/>
          <w14:textFill>
            <w14:solidFill>
              <w14:schemeClr w14:val="tx1">
                <w14:lumMod w14:val="95000"/>
                <w14:lumOff w14:val="5000"/>
              </w14:schemeClr>
            </w14:solidFill>
          </w14:textFill>
        </w:rPr>
        <w:t>、</w:t>
      </w:r>
      <w:r>
        <w:rPr>
          <w:color w:val="0D0D0D" w:themeColor="text1" w:themeTint="F2"/>
          <w:u w:val="single"/>
          <w14:textFill>
            <w14:solidFill>
              <w14:schemeClr w14:val="tx1">
                <w14:lumMod w14:val="95000"/>
                <w14:lumOff w14:val="5000"/>
              </w14:schemeClr>
            </w14:solidFill>
          </w14:textFill>
        </w:rPr>
        <w:t>HCl</w:t>
      </w:r>
      <w:r>
        <w:rPr>
          <w:rFonts w:hint="eastAsia"/>
          <w:color w:val="0D0D0D" w:themeColor="text1" w:themeTint="F2"/>
          <w:u w:val="single"/>
          <w14:textFill>
            <w14:solidFill>
              <w14:schemeClr w14:val="tx1">
                <w14:lumMod w14:val="95000"/>
                <w14:lumOff w14:val="5000"/>
              </w14:schemeClr>
            </w14:solidFill>
          </w14:textFill>
        </w:rPr>
        <w:t>、</w:t>
      </w:r>
      <w:r>
        <w:rPr>
          <w:color w:val="0D0D0D" w:themeColor="text1" w:themeTint="F2"/>
          <w:u w:val="single"/>
          <w14:textFill>
            <w14:solidFill>
              <w14:schemeClr w14:val="tx1">
                <w14:lumMod w14:val="95000"/>
                <w14:lumOff w14:val="5000"/>
              </w14:schemeClr>
            </w14:solidFill>
          </w14:textFill>
        </w:rPr>
        <w:t>NO₃</w:t>
      </w:r>
      <w:r>
        <w:rPr>
          <w:rFonts w:hint="eastAsia"/>
          <w:color w:val="0D0D0D" w:themeColor="text1" w:themeTint="F2"/>
          <w:u w:val="single"/>
          <w14:textFill>
            <w14:solidFill>
              <w14:schemeClr w14:val="tx1">
                <w14:lumMod w14:val="95000"/>
                <w14:lumOff w14:val="5000"/>
              </w14:schemeClr>
            </w14:solidFill>
          </w14:textFill>
        </w:rPr>
        <w:t>等）发生化学反应，将有害气体转化为无害或低毒物质。</w:t>
      </w:r>
    </w:p>
    <w:p w14:paraId="60655967">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处理流程如下：</w:t>
      </w:r>
    </w:p>
    <w:p w14:paraId="14EA8891">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①废气引入</w:t>
      </w:r>
      <w:r>
        <w:rPr>
          <w:rFonts w:hint="eastAsia" w:cs="宋体"/>
          <w:color w:val="0D0D0D" w:themeColor="text1" w:themeTint="F2"/>
          <w:u w:val="single"/>
          <w14:textFill>
            <w14:solidFill>
              <w14:schemeClr w14:val="tx1">
                <w14:lumMod w14:val="95000"/>
                <w14:lumOff w14:val="5000"/>
              </w14:schemeClr>
            </w14:solidFill>
          </w14:textFill>
        </w:rPr>
        <w:t>：</w:t>
      </w:r>
      <w:r>
        <w:rPr>
          <w:rFonts w:hint="eastAsia"/>
          <w:color w:val="0D0D0D" w:themeColor="text1" w:themeTint="F2"/>
          <w:u w:val="single"/>
          <w14:textFill>
            <w14:solidFill>
              <w14:schemeClr w14:val="tx1">
                <w14:lumMod w14:val="95000"/>
                <w14:lumOff w14:val="5000"/>
              </w14:schemeClr>
            </w14:solidFill>
          </w14:textFill>
        </w:rPr>
        <w:t>酸性废气通过风机引入喷淋塔底部，向上流动。</w:t>
      </w:r>
    </w:p>
    <w:p w14:paraId="20A8A2FC">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②喷淋接触</w:t>
      </w:r>
      <w:r>
        <w:rPr>
          <w:rFonts w:hint="eastAsia" w:cs="宋体"/>
          <w:color w:val="0D0D0D" w:themeColor="text1" w:themeTint="F2"/>
          <w:u w:val="single"/>
          <w14:textFill>
            <w14:solidFill>
              <w14:schemeClr w14:val="tx1">
                <w14:lumMod w14:val="95000"/>
                <w14:lumOff w14:val="5000"/>
              </w14:schemeClr>
            </w14:solidFill>
          </w14:textFill>
        </w:rPr>
        <w:t>：</w:t>
      </w:r>
      <w:r>
        <w:rPr>
          <w:rFonts w:hint="eastAsia"/>
          <w:color w:val="0D0D0D" w:themeColor="text1" w:themeTint="F2"/>
          <w:u w:val="single"/>
          <w14:textFill>
            <w14:solidFill>
              <w14:schemeClr w14:val="tx1">
                <w14:lumMod w14:val="95000"/>
                <w14:lumOff w14:val="5000"/>
              </w14:schemeClr>
            </w14:solidFill>
          </w14:textFill>
        </w:rPr>
        <w:t>碱性溶液通过喷嘴自上而下喷洒，形成逆流接触：</w:t>
      </w:r>
    </w:p>
    <w:p w14:paraId="7E332C26">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③填料层</w:t>
      </w:r>
      <w:r>
        <w:rPr>
          <w:rFonts w:hint="eastAsia" w:cs="宋体"/>
          <w:color w:val="0D0D0D" w:themeColor="text1" w:themeTint="F2"/>
          <w:u w:val="single"/>
          <w14:textFill>
            <w14:solidFill>
              <w14:schemeClr w14:val="tx1">
                <w14:lumMod w14:val="95000"/>
                <w14:lumOff w14:val="5000"/>
              </w14:schemeClr>
            </w14:solidFill>
          </w14:textFill>
        </w:rPr>
        <w:t>：塔内填充（如鲍尔环、拉西环）增大气液接触面积，强化传质效率。</w:t>
      </w:r>
    </w:p>
    <w:p w14:paraId="0C3199B5">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④液滴捕集</w:t>
      </w:r>
      <w:r>
        <w:rPr>
          <w:rFonts w:hint="eastAsia" w:cs="宋体"/>
          <w:color w:val="0D0D0D" w:themeColor="text1" w:themeTint="F2"/>
          <w:u w:val="single"/>
          <w14:textFill>
            <w14:solidFill>
              <w14:schemeClr w14:val="tx1">
                <w14:lumMod w14:val="95000"/>
                <w14:lumOff w14:val="5000"/>
              </w14:schemeClr>
            </w14:solidFill>
          </w14:textFill>
        </w:rPr>
        <w:t>：废气中的酸性成分被碱液吸收并反应。</w:t>
      </w:r>
    </w:p>
    <w:p w14:paraId="7AF3E02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⑤废液处理</w:t>
      </w:r>
      <w:r>
        <w:rPr>
          <w:rFonts w:hint="eastAsia" w:cs="宋体"/>
          <w:color w:val="0D0D0D" w:themeColor="text1" w:themeTint="F2"/>
          <w:u w:val="single"/>
          <w14:textFill>
            <w14:solidFill>
              <w14:schemeClr w14:val="tx1">
                <w14:lumMod w14:val="95000"/>
                <w14:lumOff w14:val="5000"/>
              </w14:schemeClr>
            </w14:solidFill>
          </w14:textFill>
        </w:rPr>
        <w:t>：</w:t>
      </w:r>
      <w:r>
        <w:rPr>
          <w:rFonts w:hint="eastAsia"/>
          <w:color w:val="0D0D0D" w:themeColor="text1" w:themeTint="F2"/>
          <w:u w:val="single"/>
          <w14:textFill>
            <w14:solidFill>
              <w14:schemeClr w14:val="tx1">
                <w14:lumMod w14:val="95000"/>
                <w14:lumOff w14:val="5000"/>
              </w14:schemeClr>
            </w14:solidFill>
          </w14:textFill>
        </w:rPr>
        <w:t>反应生成的盐溶液（如</w:t>
      </w:r>
      <w:r>
        <w:rPr>
          <w:color w:val="0D0D0D" w:themeColor="text1" w:themeTint="F2"/>
          <w:u w:val="single"/>
          <w14:textFill>
            <w14:solidFill>
              <w14:schemeClr w14:val="tx1">
                <w14:lumMod w14:val="95000"/>
                <w14:lumOff w14:val="5000"/>
              </w14:schemeClr>
            </w14:solidFill>
          </w14:textFill>
        </w:rPr>
        <w:t>Na₂SO₃</w:t>
      </w:r>
      <w:r>
        <w:rPr>
          <w:rFonts w:hint="eastAsia"/>
          <w:color w:val="0D0D0D" w:themeColor="text1" w:themeTint="F2"/>
          <w:u w:val="single"/>
          <w14:textFill>
            <w14:solidFill>
              <w14:schemeClr w14:val="tx1">
                <w14:lumMod w14:val="95000"/>
                <w14:lumOff w14:val="5000"/>
              </w14:schemeClr>
            </w14:solidFill>
          </w14:textFill>
        </w:rPr>
        <w:t>、</w:t>
      </w:r>
      <w:r>
        <w:rPr>
          <w:color w:val="0D0D0D" w:themeColor="text1" w:themeTint="F2"/>
          <w:u w:val="single"/>
          <w14:textFill>
            <w14:solidFill>
              <w14:schemeClr w14:val="tx1">
                <w14:lumMod w14:val="95000"/>
                <w14:lumOff w14:val="5000"/>
              </w14:schemeClr>
            </w14:solidFill>
          </w14:textFill>
        </w:rPr>
        <w:t>NaCl</w:t>
      </w:r>
      <w:r>
        <w:rPr>
          <w:rFonts w:hint="eastAsia"/>
          <w:color w:val="0D0D0D" w:themeColor="text1" w:themeTint="F2"/>
          <w:u w:val="single"/>
          <w14:textFill>
            <w14:solidFill>
              <w14:schemeClr w14:val="tx1">
                <w14:lumMod w14:val="95000"/>
                <w14:lumOff w14:val="5000"/>
              </w14:schemeClr>
            </w14:solidFill>
          </w14:textFill>
        </w:rPr>
        <w:t>）需定期更换并中和处理，避免二次污染。</w:t>
      </w:r>
    </w:p>
    <w:p w14:paraId="4239A663">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碱液喷淋具有工艺简单，设备成本低、对高浓度酸性气体处理效率高（＞90%）、可组合其他技术（如活性炭吸附）等优点。</w:t>
      </w:r>
    </w:p>
    <w:p w14:paraId="03B5F9F3">
      <w:pPr>
        <w:pStyle w:val="2"/>
        <w:spacing w:after="0" w:line="240" w:lineRule="auto"/>
        <w:ind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5731510" cy="4413885"/>
            <wp:effectExtent l="0" t="0" r="2540" b="5715"/>
            <wp:docPr id="10011502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0236" name="图片 1"/>
                    <pic:cNvPicPr>
                      <a:picLocks noChangeAspect="1"/>
                    </pic:cNvPicPr>
                  </pic:nvPicPr>
                  <pic:blipFill>
                    <a:blip r:embed="rId27"/>
                    <a:stretch>
                      <a:fillRect/>
                    </a:stretch>
                  </pic:blipFill>
                  <pic:spPr>
                    <a:xfrm>
                      <a:off x="0" y="0"/>
                      <a:ext cx="5731510" cy="4413885"/>
                    </a:xfrm>
                    <a:prstGeom prst="rect">
                      <a:avLst/>
                    </a:prstGeom>
                  </pic:spPr>
                </pic:pic>
              </a:graphicData>
            </a:graphic>
          </wp:inline>
        </w:drawing>
      </w:r>
    </w:p>
    <w:p w14:paraId="51F051AB">
      <w:pPr>
        <w:pStyle w:val="12"/>
      </w:pPr>
      <w:r>
        <w:rPr>
          <w:rFonts w:hint="eastAsia"/>
        </w:rPr>
        <w:t xml:space="preserve"> 碱液喷淋吸收装置示意图</w:t>
      </w:r>
    </w:p>
    <w:p w14:paraId="4D8EBC6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w:t>
      </w:r>
      <w:r>
        <w:rPr>
          <w:rFonts w:hint="eastAsia" w:cs="宋体"/>
          <w:color w:val="0D0D0D" w:themeColor="text1" w:themeTint="F2"/>
          <w:u w:val="single"/>
          <w14:textFill>
            <w14:solidFill>
              <w14:schemeClr w14:val="tx1">
                <w14:lumMod w14:val="95000"/>
                <w14:lumOff w14:val="5000"/>
              </w14:schemeClr>
            </w14:solidFill>
          </w14:textFill>
        </w:rPr>
        <w:t>《排污许可证申请与核发技术规范  废弃资源加工工业》（HJ1034-2019），碱液喷淋处理恶臭污染物为可行技术</w:t>
      </w:r>
      <w:r>
        <w:rPr>
          <w:rFonts w:hint="eastAsia"/>
          <w:color w:val="0D0D0D" w:themeColor="text1" w:themeTint="F2"/>
          <w:u w:val="single"/>
          <w14:textFill>
            <w14:solidFill>
              <w14:schemeClr w14:val="tx1">
                <w14:lumMod w14:val="95000"/>
                <w14:lumOff w14:val="5000"/>
              </w14:schemeClr>
            </w14:solidFill>
          </w14:textFill>
        </w:rPr>
        <w:t>。</w:t>
      </w:r>
    </w:p>
    <w:p w14:paraId="0ABBB7E7">
      <w:pPr>
        <w:pStyle w:val="10"/>
      </w:pPr>
      <w:r>
        <w:rPr>
          <w:rFonts w:hint="eastAsia"/>
        </w:rPr>
        <w:t>沼气脱硫可行性分析</w:t>
      </w:r>
    </w:p>
    <w:p w14:paraId="46FED114">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（1）沼气脱硫的原理</w:t>
      </w:r>
    </w:p>
    <w:p w14:paraId="55013607">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沼气脱硫净化后引至1＃导热油炉燃烧处理。沼气采用干法脱硫，脱硫剂使用氧化铁，沼气经过氧化铁脱硫装置净化后，脱硫效率可达到90%以上，使沼气中的H2S的含量低于0.009%，满足一般沼气利用设备要求。根据《常温氧化铁脱硫剂在沼气脱硫中的应用》（霍保根，田凤军，中国沼气，2006）对常温氧化铁脱硫效果的调查，“氧化铁脱硫剂为条状多孔结构固体，对硫化氢能进行快速的不可逆化学吸附，数秒内可将硫化氢脱除到1ppm以下，该过程氧化铁转化为硫化铁。常温氧化铁脱硫剂硫容可达30%～40%以上，脱硫效率均在99%以上”。该脱硫工艺具有技术成熟、运行稳定、投资较低、无湿法脱硫废水的产生二次污染，其处理效果好、运行维护简便、安全适用，保证达标排放。</w:t>
      </w:r>
    </w:p>
    <w:p w14:paraId="0DF967C9">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沼气的主要成分是甲烷，属于清洁能源，燃烧之前已经通过脱硫处理，硫成分的含量较低，燃烧后产生的水和二氧化碳，通过大气扩散，对外环境影响较小。同时采取措施避免沼气利用过程中的环境风险，减少污染物排放，措施可行。</w:t>
      </w:r>
    </w:p>
    <w:p w14:paraId="4DAA85EE">
      <w:pPr>
        <w:pStyle w:val="10"/>
      </w:pPr>
      <w:r>
        <w:rPr>
          <w:rFonts w:hint="eastAsia"/>
        </w:rPr>
        <w:t>导热油炉燃烧废气处理措施可行性分析</w:t>
      </w:r>
    </w:p>
    <w:p w14:paraId="6E628C53">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（1）除尘器的原理</w:t>
      </w:r>
    </w:p>
    <w:p w14:paraId="6A16EA6F">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旋风除尘器作为预处理设备，利用离心力分离烟气中的大颗粒粉尘。布袋除尘器作为精细处理设备，通过滤袋捕集细小颗粒物，实现高效除尘。</w:t>
      </w:r>
    </w:p>
    <w:p w14:paraId="00038299">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旋风除尘器是一种机械式除尘设备，利用离心力将颗粒物从烟气中分离出来。其工作原理如下：</w:t>
      </w:r>
    </w:p>
    <w:p w14:paraId="55C4A119">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①烟气进入：含尘烟气以切线方向进入旋风除尘器的筒体，形成高速旋转气流。</w:t>
      </w:r>
    </w:p>
    <w:p w14:paraId="175B422A">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②离心分离：在离心力作用下，密度较大的颗粒物被甩向筒壁。颗粒物沿筒壁向下运动，最终落入灰斗。</w:t>
      </w:r>
    </w:p>
    <w:p w14:paraId="38ED2168">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③净化烟气排出：分离颗粒物后的烟气从旋风除尘器顶部排出，进入下一级处理设备（布袋除尘器）。</w:t>
      </w:r>
    </w:p>
    <w:p w14:paraId="0EF7C784">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特点为：</w:t>
      </w:r>
    </w:p>
    <w:p w14:paraId="6FDBB90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①适用于去除大颗粒物（通常&gt;10μm）。</w:t>
      </w:r>
    </w:p>
    <w:p w14:paraId="2D384FE1">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②结构简单，运行成本低。</w:t>
      </w:r>
    </w:p>
    <w:p w14:paraId="28C3FB0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③对细小颗粒物的去除效率较低。</w:t>
      </w:r>
    </w:p>
    <w:p w14:paraId="27289B8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布袋除尘器是一种过滤式除尘设备，利用滤袋捕集烟气中的细小颗粒物。其工作原理如下：</w:t>
      </w:r>
    </w:p>
    <w:p w14:paraId="1E7E0BB7">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①烟气进入：经过旋风除尘器预处理的烟气进入布袋除尘器的过滤室。</w:t>
      </w:r>
    </w:p>
    <w:p w14:paraId="7169C92D">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②过滤捕集：烟气通过滤袋时，颗粒物被截留在滤袋表面。洁净气体通过滤袋进入净气室，最终从排气口排出。</w:t>
      </w:r>
    </w:p>
    <w:p w14:paraId="6665C83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③清灰操作：随着滤袋表面粉尘的积累，除尘器阻力逐渐增加。通过脉冲喷吹、机械振动或反吹等方式清除滤袋表面的积灰，维持除尘效率。</w:t>
      </w:r>
    </w:p>
    <w:p w14:paraId="709398C6">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特点：</w:t>
      </w:r>
    </w:p>
    <w:p w14:paraId="12379DE6">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①对细小颗粒物（&lt;10μm）的去除效率高达99%以上。</w:t>
      </w:r>
    </w:p>
    <w:p w14:paraId="7A769077">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②适用于低浓度、大风量的烟气处理。</w:t>
      </w:r>
    </w:p>
    <w:p w14:paraId="59777073">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③运行阻力较大，需定期清灰。</w:t>
      </w:r>
    </w:p>
    <w:p w14:paraId="0CA59778">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旋风除尘+布袋除尘组合工艺具有以下优势：</w:t>
      </w:r>
    </w:p>
    <w:p w14:paraId="1FB9D324">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①高效除尘：旋风除尘器去除大颗粒物，减轻布袋除尘器的负荷。布袋除尘器捕集细小颗粒物，确保排放达标。</w:t>
      </w:r>
    </w:p>
    <w:p w14:paraId="398A05BE">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②延长滤袋寿命：旋风除尘器预处理减少了进入布袋除尘器的粉尘量，降低了滤袋的磨损和堵塞风险。</w:t>
      </w:r>
    </w:p>
    <w:p w14:paraId="784F3636">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③适应性强：适用于高浓度、高温度的烟气处理。可处理不同粒径分布的粉尘。</w:t>
      </w:r>
    </w:p>
    <w:p w14:paraId="235187D1">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④经济性：组合工艺降低了布袋除尘器的运行和维护成本。</w:t>
      </w:r>
    </w:p>
    <w:p w14:paraId="36ABB689">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根据《排污许可证申请与核发技术规范  锅炉》（HJ953-2018）中的表7锅炉烟气污染防治可行技术可知，一般地区的生物质锅炉烟气氮氧化物污染防治可行技术为：低氮燃烧技术、低氮燃烧+SNCR脱硝技术、低氮燃烧+SCR脱硝技术、低氮燃烧+（SNCR-SCR联合）脱硝技术、SNCR脱硝技术、SCR脱硝技术、SNCR-SCR联合脱硝技术。颗粒物污染防治可行技术为：袋式除尘技术、电除尘技术、电袋复合除尘技术、湿式电除尘技术，或旋风除尘和袋式除尘组合技术。项目采用“旋风除尘+布袋除尘”，属于可行技术，项目导热油炉燃烧废气经“旋风除尘+布袋除尘”处理后可满足《锅炉大气污染物排放标准》（GB13271-2014）表2燃煤锅炉排放浓度限值要求。</w:t>
      </w:r>
    </w:p>
    <w:p w14:paraId="11537939">
      <w:pPr>
        <w:pStyle w:val="10"/>
      </w:pPr>
      <w:r>
        <w:rPr>
          <w:rFonts w:hint="eastAsia"/>
        </w:rPr>
        <w:t>无组织废气污染防治措施</w:t>
      </w:r>
    </w:p>
    <w:p w14:paraId="05B02FD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项目挥发性有机物无组织排放废气根据《挥发性有机物无组织排放控制标准》（GB37822-2019）要求进行控制，详见表7.2-3。</w:t>
      </w:r>
    </w:p>
    <w:p w14:paraId="1F2239EB">
      <w:pPr>
        <w:pStyle w:val="11"/>
      </w:pPr>
      <w:r>
        <w:rPr>
          <w:rFonts w:hint="eastAsia"/>
        </w:rPr>
        <w:t xml:space="preserve"> 挥发性有机物无组织排放控制标准措施</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1147"/>
        <w:gridCol w:w="3650"/>
        <w:gridCol w:w="3519"/>
        <w:gridCol w:w="476"/>
      </w:tblGrid>
      <w:tr w14:paraId="3913A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0" w:type="auto"/>
            <w:vAlign w:val="center"/>
          </w:tcPr>
          <w:p w14:paraId="0C13A53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序号</w:t>
            </w:r>
          </w:p>
        </w:tc>
        <w:tc>
          <w:tcPr>
            <w:tcW w:w="0" w:type="auto"/>
            <w:gridSpan w:val="2"/>
            <w:vAlign w:val="center"/>
          </w:tcPr>
          <w:p w14:paraId="68B6747D">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控制要求</w:t>
            </w:r>
          </w:p>
        </w:tc>
        <w:tc>
          <w:tcPr>
            <w:tcW w:w="0" w:type="auto"/>
            <w:vAlign w:val="center"/>
          </w:tcPr>
          <w:p w14:paraId="3A9FD81F">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项目</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情况</w:t>
            </w:r>
          </w:p>
        </w:tc>
        <w:tc>
          <w:tcPr>
            <w:tcW w:w="0" w:type="auto"/>
            <w:vAlign w:val="center"/>
          </w:tcPr>
          <w:p w14:paraId="2132E8A4">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相符性</w:t>
            </w:r>
          </w:p>
        </w:tc>
      </w:tr>
      <w:tr w14:paraId="59A14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14:paraId="4296ED64">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1</w:t>
            </w:r>
          </w:p>
        </w:tc>
        <w:tc>
          <w:tcPr>
            <w:tcW w:w="0" w:type="auto"/>
            <w:vAlign w:val="center"/>
          </w:tcPr>
          <w:p w14:paraId="331DE7FA">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VOCs物料储存无组织排放控制要求</w:t>
            </w:r>
          </w:p>
        </w:tc>
        <w:tc>
          <w:tcPr>
            <w:tcW w:w="0" w:type="auto"/>
            <w:vAlign w:val="center"/>
          </w:tcPr>
          <w:p w14:paraId="1D5922B6">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（1）</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VOCs物料应储存于密闭的容器、包装袋、储罐、储库、料仓中。</w:t>
            </w:r>
          </w:p>
          <w:p w14:paraId="7F955F21">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（2）</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VOCs物料储罐应密封良好，其中挥发性有机液体储罐应符合5.2条挥发性有机液体储罐规定。</w:t>
            </w:r>
          </w:p>
        </w:tc>
        <w:tc>
          <w:tcPr>
            <w:tcW w:w="0" w:type="auto"/>
            <w:vAlign w:val="center"/>
          </w:tcPr>
          <w:p w14:paraId="206F6BFA">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（1）</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项目</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甲醇、生物柴油、精甘油</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等</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含</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VOCs物料</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均</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储存于密闭的</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储罐</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中。</w:t>
            </w:r>
          </w:p>
          <w:p w14:paraId="6D8E1A61">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（2）</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项目</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甲醇、生物柴油、甘油</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等</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含</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VOCs物料储罐密封良好，</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设置气相平衡系统，储罐大小呼吸废气经RCO催化燃烧装置处理后，通过30m高排气筒（DA001）排放，</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符合5.2条挥发性有机液体储罐规定。</w:t>
            </w:r>
          </w:p>
        </w:tc>
        <w:tc>
          <w:tcPr>
            <w:tcW w:w="0" w:type="auto"/>
            <w:vAlign w:val="center"/>
          </w:tcPr>
          <w:p w14:paraId="7F96DCC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相符</w:t>
            </w:r>
          </w:p>
        </w:tc>
      </w:tr>
      <w:tr w14:paraId="2AAF7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14:paraId="1AD7F822">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2</w:t>
            </w:r>
          </w:p>
        </w:tc>
        <w:tc>
          <w:tcPr>
            <w:tcW w:w="0" w:type="auto"/>
            <w:vAlign w:val="center"/>
          </w:tcPr>
          <w:p w14:paraId="6A56FD87">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VOCs物料转移和输送无组织排放控制要求</w:t>
            </w:r>
          </w:p>
        </w:tc>
        <w:tc>
          <w:tcPr>
            <w:tcW w:w="0" w:type="auto"/>
            <w:vAlign w:val="center"/>
          </w:tcPr>
          <w:p w14:paraId="26490155">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（1）</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液态VOCs物料应采用密闭管道输送。采用非管道输送方式转移液态VOCs物料时，应采用密闭容器、罐车。</w:t>
            </w:r>
          </w:p>
          <w:p w14:paraId="59C4D2D3">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（2）</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粉状、粒状VOCs物料应采用气力输送设备、管状带式输送机、螺旋输送机等密闭输送方式，或者采用密闭的包装袋、容器或罐车进行物料转移。</w:t>
            </w:r>
          </w:p>
          <w:p w14:paraId="6ED8C44A">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（3）</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对挥发性有机液体进行装载时，应符合6.2条规定。</w:t>
            </w:r>
          </w:p>
        </w:tc>
        <w:tc>
          <w:tcPr>
            <w:tcW w:w="0" w:type="auto"/>
            <w:vAlign w:val="center"/>
          </w:tcPr>
          <w:p w14:paraId="0CEF2A58">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（1）</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项目</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甲醇、生物柴油及甘油等</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涉及VOCs物料</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均</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采用密闭管道输送。</w:t>
            </w:r>
          </w:p>
          <w:p w14:paraId="4E383554">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（2）</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项目不涉及粉状、粒状VOCs物料。</w:t>
            </w:r>
          </w:p>
          <w:p w14:paraId="5D62BCAB">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（3）</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项目对挥发性有机液体进行装载时，</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汽车运输采用底部装载或顶部浸没式装载方式，设置气相平衡系统，</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符合6.2条规定。</w:t>
            </w:r>
          </w:p>
        </w:tc>
        <w:tc>
          <w:tcPr>
            <w:tcW w:w="0" w:type="auto"/>
            <w:vAlign w:val="center"/>
          </w:tcPr>
          <w:p w14:paraId="2FECCE34">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相符</w:t>
            </w:r>
          </w:p>
        </w:tc>
      </w:tr>
      <w:tr w14:paraId="52CEA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restart"/>
            <w:vAlign w:val="center"/>
          </w:tcPr>
          <w:p w14:paraId="27AE18FF">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3</w:t>
            </w:r>
          </w:p>
        </w:tc>
        <w:tc>
          <w:tcPr>
            <w:tcW w:w="0" w:type="auto"/>
            <w:vMerge w:val="restart"/>
            <w:vAlign w:val="center"/>
          </w:tcPr>
          <w:p w14:paraId="5D01BFB5">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工艺过程VOCs无组织排放控制要求</w:t>
            </w:r>
          </w:p>
        </w:tc>
        <w:tc>
          <w:tcPr>
            <w:tcW w:w="0" w:type="auto"/>
            <w:vAlign w:val="center"/>
          </w:tcPr>
          <w:p w14:paraId="27247120">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7.1.2</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化学反应</w:t>
            </w:r>
          </w:p>
          <w:p w14:paraId="3C14A175">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（1）反应设备进料置换废气、挥发排气、反应尾气等应排至V</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OCs</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废气收集处理系统。</w:t>
            </w:r>
          </w:p>
          <w:p w14:paraId="7E82CE41">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（2）在反应期间，反应设备的进料口、出料口、检修口、搅拌口、观察孔等开口（孔）在不操作时应保持密闭。</w:t>
            </w:r>
          </w:p>
        </w:tc>
        <w:tc>
          <w:tcPr>
            <w:tcW w:w="0" w:type="auto"/>
            <w:vAlign w:val="center"/>
          </w:tcPr>
          <w:p w14:paraId="7B2FA220">
            <w:pPr>
              <w:tabs>
                <w:tab w:val="left" w:pos="0"/>
                <w:tab w:val="left" w:pos="1820"/>
              </w:tabs>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项目涉及VOCs质量占比大于等于10%的含VOCs产品有</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甲醇</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等，使用过程</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均在</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密闭的</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反应釜内反应</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w:t>
            </w:r>
            <w:r>
              <w:rPr>
                <w:rFonts w:hint="eastAsia"/>
                <w:color w:val="0D0D0D" w:themeColor="text1" w:themeTint="F2"/>
                <w:sz w:val="21"/>
                <w:szCs w:val="21"/>
                <w:u w:val="single"/>
                <w14:textFill>
                  <w14:solidFill>
                    <w14:schemeClr w14:val="tx1">
                      <w14:lumMod w14:val="95000"/>
                      <w14:lumOff w14:val="5000"/>
                    </w14:schemeClr>
                  </w14:solidFill>
                </w14:textFill>
              </w:rPr>
              <w:t>生产线工艺废气和储罐大小呼吸废气经RCO催化燃烧装置处理后，通过30m高排气筒（DA001）排放</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p>
        </w:tc>
        <w:tc>
          <w:tcPr>
            <w:tcW w:w="0" w:type="auto"/>
            <w:vAlign w:val="center"/>
          </w:tcPr>
          <w:p w14:paraId="6D6B920B">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相符</w:t>
            </w:r>
          </w:p>
        </w:tc>
      </w:tr>
      <w:tr w14:paraId="5EF49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14:paraId="5D58F123">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0" w:type="auto"/>
            <w:vMerge w:val="continue"/>
            <w:vAlign w:val="center"/>
          </w:tcPr>
          <w:p w14:paraId="3827ACF9">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p>
        </w:tc>
        <w:tc>
          <w:tcPr>
            <w:tcW w:w="0" w:type="auto"/>
            <w:vAlign w:val="center"/>
          </w:tcPr>
          <w:p w14:paraId="65239D74">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7</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.1.3</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分离精制</w:t>
            </w:r>
          </w:p>
          <w:p w14:paraId="225C528B">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（1）离心、过滤单元操作应采用密闭式离心机、压滤机等设备，离心、过滤废气应排至V</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OCs</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废气收集处理系统。未采用密闭设备的，应在密闭空间内操作，或进行局部气体收集，废气应排至V</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OCs</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废气收集处理系统。</w:t>
            </w:r>
          </w:p>
          <w:p w14:paraId="4AD76B72">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（2）干燥单元操作应采用密闭干燥设备，干燥废气应排至</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VOCs废气收集处理系统。未采用密闭设备的，应在密闭空间内操作，或进行局部气体收集，废气应排至VCCs废气收集处理系统。</w:t>
            </w:r>
          </w:p>
          <w:p w14:paraId="4541E328">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（3）</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吸收、洗涤、蒸馏/精馏、萃取、结品等单元操作排放的废气，冷凝单元操作排放</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的不凝尾气，吸附单元操作的脱附尾气等应排至</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VOCs废气收集处理系统。</w:t>
            </w:r>
          </w:p>
          <w:p w14:paraId="0BB46135">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（4）分离精制后的</w:t>
            </w:r>
            <w:r>
              <w:rPr>
                <w:rFonts w:cs="Times New Roman"/>
                <w:bCs/>
                <w:color w:val="0D0D0D" w:themeColor="text1" w:themeTint="F2"/>
                <w:kern w:val="0"/>
                <w:sz w:val="21"/>
                <w:szCs w:val="21"/>
                <w:u w:val="single"/>
                <w14:textFill>
                  <w14:solidFill>
                    <w14:schemeClr w14:val="tx1">
                      <w14:lumMod w14:val="95000"/>
                      <w14:lumOff w14:val="5000"/>
                    </w14:schemeClr>
                  </w14:solidFill>
                </w14:textFill>
              </w:rPr>
              <w:t>VOCs母液应密闭收集，母液储槽（罐）产生的废气应排至VOCs废气收集处理系统。</w:t>
            </w:r>
          </w:p>
        </w:tc>
        <w:tc>
          <w:tcPr>
            <w:tcW w:w="0" w:type="auto"/>
            <w:vAlign w:val="center"/>
          </w:tcPr>
          <w:p w14:paraId="2201E268">
            <w:pPr>
              <w:tabs>
                <w:tab w:val="left" w:pos="0"/>
                <w:tab w:val="left" w:pos="1820"/>
              </w:tabs>
              <w:spacing w:line="240" w:lineRule="auto"/>
              <w:rPr>
                <w:color w:val="0D0D0D" w:themeColor="text1" w:themeTint="F2"/>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项目酯化油专用离心机为密闭式，离心分离、干燥、蒸馏等工序产生的甲醇、轻组分脂肪酸甲酯等经冷凝器冷凝，</w:t>
            </w:r>
            <w:r>
              <w:rPr>
                <w:rFonts w:hint="eastAsia"/>
                <w:color w:val="0D0D0D" w:themeColor="text1" w:themeTint="F2"/>
                <w:sz w:val="21"/>
                <w:szCs w:val="21"/>
                <w:u w:val="single"/>
                <w14:textFill>
                  <w14:solidFill>
                    <w14:schemeClr w14:val="tx1">
                      <w14:lumMod w14:val="95000"/>
                      <w14:lumOff w14:val="5000"/>
                    </w14:schemeClr>
                  </w14:solidFill>
                </w14:textFill>
              </w:rPr>
              <w:t>生产线工艺废气和储罐大小呼吸废气经RCO催化燃烧装置处理后，通过30m高排气筒（DA001）排放</w:t>
            </w: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w:t>
            </w:r>
          </w:p>
        </w:tc>
        <w:tc>
          <w:tcPr>
            <w:tcW w:w="0" w:type="auto"/>
            <w:vAlign w:val="center"/>
          </w:tcPr>
          <w:p w14:paraId="3D577371">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bCs/>
                <w:color w:val="0D0D0D" w:themeColor="text1" w:themeTint="F2"/>
                <w:kern w:val="0"/>
                <w:sz w:val="21"/>
                <w:szCs w:val="21"/>
                <w:u w:val="single"/>
                <w14:textFill>
                  <w14:solidFill>
                    <w14:schemeClr w14:val="tx1">
                      <w14:lumMod w14:val="95000"/>
                      <w14:lumOff w14:val="5000"/>
                    </w14:schemeClr>
                  </w14:solidFill>
                </w14:textFill>
              </w:rPr>
              <w:t>相符</w:t>
            </w:r>
          </w:p>
        </w:tc>
      </w:tr>
      <w:tr w14:paraId="503D0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14:paraId="67608E13">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4</w:t>
            </w:r>
          </w:p>
        </w:tc>
        <w:tc>
          <w:tcPr>
            <w:tcW w:w="0" w:type="auto"/>
            <w:vAlign w:val="center"/>
          </w:tcPr>
          <w:p w14:paraId="7E3767AF">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VOCs无组织排放废气收集处理系统要求</w:t>
            </w:r>
          </w:p>
        </w:tc>
        <w:tc>
          <w:tcPr>
            <w:tcW w:w="0" w:type="auto"/>
            <w:vAlign w:val="center"/>
          </w:tcPr>
          <w:p w14:paraId="2E919D49">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0" w:type="auto"/>
            <w:vAlign w:val="center"/>
          </w:tcPr>
          <w:p w14:paraId="234BC4F9">
            <w:pPr>
              <w:tabs>
                <w:tab w:val="left" w:pos="0"/>
                <w:tab w:val="left" w:pos="1820"/>
              </w:tabs>
              <w:spacing w:line="240" w:lineRule="auto"/>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项目VOCs废气收集处理系统与生产工艺设备同步运行。VOCs废气收集处理系统发生故障或检修时，对应的生产工艺设备应停止运行，待检修完毕后同步投入使用。</w:t>
            </w:r>
          </w:p>
        </w:tc>
        <w:tc>
          <w:tcPr>
            <w:tcW w:w="0" w:type="auto"/>
            <w:vAlign w:val="center"/>
          </w:tcPr>
          <w:p w14:paraId="2CD05AED">
            <w:pPr>
              <w:tabs>
                <w:tab w:val="left" w:pos="0"/>
                <w:tab w:val="left" w:pos="1820"/>
              </w:tabs>
              <w:spacing w:line="240" w:lineRule="auto"/>
              <w:jc w:val="center"/>
              <w:rPr>
                <w:rFonts w:cs="Times New Roman"/>
                <w:bCs/>
                <w:color w:val="0D0D0D" w:themeColor="text1" w:themeTint="F2"/>
                <w:kern w:val="0"/>
                <w:sz w:val="21"/>
                <w:szCs w:val="21"/>
                <w:u w:val="single"/>
                <w14:textFill>
                  <w14:solidFill>
                    <w14:schemeClr w14:val="tx1">
                      <w14:lumMod w14:val="95000"/>
                      <w14:lumOff w14:val="5000"/>
                    </w14:schemeClr>
                  </w14:solidFill>
                </w14:textFill>
              </w:rPr>
            </w:pPr>
            <w:r>
              <w:rPr>
                <w:rFonts w:cs="Times New Roman"/>
                <w:bCs/>
                <w:color w:val="0D0D0D" w:themeColor="text1" w:themeTint="F2"/>
                <w:kern w:val="0"/>
                <w:sz w:val="21"/>
                <w:szCs w:val="21"/>
                <w:u w:val="single"/>
                <w14:textFill>
                  <w14:solidFill>
                    <w14:schemeClr w14:val="tx1">
                      <w14:lumMod w14:val="95000"/>
                      <w14:lumOff w14:val="5000"/>
                    </w14:schemeClr>
                  </w14:solidFill>
                </w14:textFill>
              </w:rPr>
              <w:t>相符</w:t>
            </w:r>
          </w:p>
        </w:tc>
      </w:tr>
    </w:tbl>
    <w:p w14:paraId="580279F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通过采取上述措施，并加强各车间的送排风系统的维护和管理，能够确保项目厂界无组织排放的污染物均能够达标排放，上述治理措施是可行的。</w:t>
      </w:r>
    </w:p>
    <w:p w14:paraId="5EC4CABF">
      <w:pPr>
        <w:pStyle w:val="9"/>
      </w:pPr>
      <w:bookmarkStart w:id="221" w:name="_Toc204062677"/>
      <w:r>
        <w:rPr>
          <w:rFonts w:hint="eastAsia"/>
        </w:rPr>
        <w:t>水污染防治措施</w:t>
      </w:r>
      <w:bookmarkEnd w:id="221"/>
    </w:p>
    <w:p w14:paraId="7B97A982">
      <w:pPr>
        <w:pStyle w:val="10"/>
      </w:pPr>
      <w:r>
        <w:rPr>
          <w:rFonts w:hint="eastAsia"/>
        </w:rPr>
        <w:t>废水收集措施</w:t>
      </w:r>
    </w:p>
    <w:p w14:paraId="0400C95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（1）厂区排水实行雨污分流、污污分流制。</w:t>
      </w:r>
    </w:p>
    <w:p w14:paraId="2D38C99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（2）项目各环节废水水量、水质不同，为实现对废水有效处理，降低废水处理成本，废水实行分类收集、分质处理。</w:t>
      </w:r>
    </w:p>
    <w:p w14:paraId="7699E45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（3）采用便于区分的沟渠或管道系统，分质转移输送。管线采取明管套明沟（渠）或架空敷设，废水管道（沟、渠）满足防腐、防渗漏要求。</w:t>
      </w:r>
    </w:p>
    <w:p w14:paraId="08DACD6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（4）突发环境污染影响事故发生时，事故废水接入事故应急池，事故结束后对事故废水进行检测，根据其水质情况，分质、分量进入污水站处理。</w:t>
      </w:r>
    </w:p>
    <w:p w14:paraId="5C41AEF3">
      <w:pPr>
        <w:pStyle w:val="10"/>
      </w:pPr>
      <w:r>
        <w:rPr>
          <w:rFonts w:hint="eastAsia"/>
        </w:rPr>
        <w:t>厂区污水处理站处理工艺</w:t>
      </w:r>
    </w:p>
    <w:p w14:paraId="3BD38CD6">
      <w:pPr>
        <w:ind w:firstLine="480" w:firstLineChars="200"/>
        <w:rPr>
          <w:color w:val="0D0D0D" w:themeColor="text1" w:themeTint="F2"/>
          <w:szCs w:val="24"/>
          <w:u w:val="single"/>
          <w14:textFill>
            <w14:solidFill>
              <w14:schemeClr w14:val="tx1">
                <w14:lumMod w14:val="95000"/>
                <w14:lumOff w14:val="5000"/>
              </w14:schemeClr>
            </w14:solidFill>
          </w14:textFill>
        </w:rPr>
      </w:pPr>
      <w:r>
        <w:rPr>
          <w:rFonts w:hint="eastAsia"/>
          <w:color w:val="0D0D0D" w:themeColor="text1" w:themeTint="F2"/>
          <w:szCs w:val="24"/>
          <w:u w:val="single"/>
          <w14:textFill>
            <w14:solidFill>
              <w14:schemeClr w14:val="tx1">
                <w14:lumMod w14:val="95000"/>
                <w14:lumOff w14:val="5000"/>
              </w14:schemeClr>
            </w14:solidFill>
          </w14:textFill>
        </w:rPr>
        <w:t>项目污水处理站设计规模150m</w:t>
      </w:r>
      <w:r>
        <w:rPr>
          <w:rFonts w:hint="eastAsia"/>
          <w:color w:val="0D0D0D" w:themeColor="text1" w:themeTint="F2"/>
          <w:szCs w:val="24"/>
          <w:u w:val="single"/>
          <w:vertAlign w:val="superscript"/>
          <w14:textFill>
            <w14:solidFill>
              <w14:schemeClr w14:val="tx1">
                <w14:lumMod w14:val="95000"/>
                <w14:lumOff w14:val="5000"/>
              </w14:schemeClr>
            </w14:solidFill>
          </w14:textFill>
        </w:rPr>
        <w:t>3</w:t>
      </w:r>
      <w:r>
        <w:rPr>
          <w:rFonts w:hint="eastAsia"/>
          <w:color w:val="0D0D0D" w:themeColor="text1" w:themeTint="F2"/>
          <w:szCs w:val="24"/>
          <w:u w:val="single"/>
          <w14:textFill>
            <w14:solidFill>
              <w14:schemeClr w14:val="tx1">
                <w14:lumMod w14:val="95000"/>
                <w14:lumOff w14:val="5000"/>
              </w14:schemeClr>
            </w14:solidFill>
          </w14:textFill>
        </w:rPr>
        <w:t>/d，采取“隔油+气浮+混凝沉淀+调节+UASB厌氧反应器+MBR膜生物反应器”处理工艺。</w:t>
      </w:r>
    </w:p>
    <w:p w14:paraId="24F3E59C">
      <w:pPr>
        <w:spacing w:line="240" w:lineRule="auto"/>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object>
          <v:shape id="_x0000_i1030" o:spt="75" type="#_x0000_t75" style="height:417.5pt;width:93.5pt;" o:ole="t" filled="f" o:preferrelative="t" stroked="f" coordsize="21600,21600">
            <v:path/>
            <v:fill on="f" focussize="0,0"/>
            <v:stroke on="f" joinstyle="miter"/>
            <v:imagedata r:id="rId29" o:title=""/>
            <o:lock v:ext="edit" aspectratio="t"/>
            <w10:wrap type="none"/>
            <w10:anchorlock/>
          </v:shape>
          <o:OLEObject Type="Embed" ProgID="Visio.Drawing.15" ShapeID="_x0000_i1030" DrawAspect="Content" ObjectID="_1468075730" r:id="rId28">
            <o:LockedField>false</o:LockedField>
          </o:OLEObject>
        </w:object>
      </w:r>
    </w:p>
    <w:p w14:paraId="3C0B1112">
      <w:pPr>
        <w:pStyle w:val="12"/>
      </w:pPr>
      <w:r>
        <w:rPr>
          <w:rFonts w:hint="eastAsia"/>
        </w:rPr>
        <w:t xml:space="preserve"> 污水工艺流程图</w:t>
      </w:r>
    </w:p>
    <w:p w14:paraId="3B999F6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工艺流程说明：</w:t>
      </w:r>
    </w:p>
    <w:p w14:paraId="058E8C72">
      <w:pPr>
        <w:ind w:firstLine="482"/>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（1）隔油处理</w:t>
      </w:r>
    </w:p>
    <w:p w14:paraId="48AEA856">
      <w:pPr>
        <w:ind w:firstLine="482"/>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综合废水首先通过隔油池，利用油水密度差分离悬浮油类和大颗粒杂质。隔油池采用平流或斜板结构，通过重力作用使浮油上浮至水面，通过刮油机或集油管收集，沉淀的污泥通过排泥管排出。</w:t>
      </w:r>
    </w:p>
    <w:p w14:paraId="6F7CCA8C">
      <w:pPr>
        <w:ind w:firstLine="482"/>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（2）气浮处理</w:t>
      </w:r>
    </w:p>
    <w:p w14:paraId="21735EDD">
      <w:pPr>
        <w:ind w:firstLine="482"/>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隔油后废水进入气浮池，通过投加破乳剂（如聚合氯化铝PAC）和助凝剂（如PAM），结合溶气水释放的微气泡（20-50μm），使乳化油、胶体物质粘附气泡上浮形成浮渣，由刮渣机清除。溶气水回流比通常为30%，停留时间15~30分钟。</w:t>
      </w:r>
    </w:p>
    <w:p w14:paraId="620AFD74">
      <w:pPr>
        <w:ind w:firstLine="482"/>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（3）混凝沉淀</w:t>
      </w:r>
    </w:p>
    <w:p w14:paraId="5AAA3BAE">
      <w:pPr>
        <w:ind w:firstLine="482"/>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气浮出水进入混凝沉淀池，投加絮凝剂（如PAM），通过机械搅拌促进絮体形成，沉淀去除剩余悬浮物和部分磷。沉淀污泥排入污泥浓缩池，上清液进入调节池。</w:t>
      </w:r>
    </w:p>
    <w:p w14:paraId="4FC07BAB">
      <w:pPr>
        <w:ind w:firstLine="482"/>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（4）调节池</w:t>
      </w:r>
    </w:p>
    <w:p w14:paraId="265539D2">
      <w:pPr>
        <w:ind w:firstLine="482"/>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调节池用于均化水质水量，缓冲进水负荷波动。通常设置曝气装置防止污泥沉积，停留时间根据水量变化设计（一般4~8小时）。</w:t>
      </w:r>
    </w:p>
    <w:p w14:paraId="2E97F9F1">
      <w:pPr>
        <w:ind w:firstLine="482"/>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（5）厌氧处理</w:t>
      </w:r>
    </w:p>
    <w:p w14:paraId="2C73038F">
      <w:pPr>
        <w:ind w:firstLine="482"/>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采用UASB工艺，UASB由污泥反应区、气液固三相分离器（包括沉淀区）和气室三部分组成。在底部反应区内存留大量厌氧污泥，具有良好的沉淀性能和凝聚性能的污泥在下部形成污泥层。要处理的污水从厌氧污泥床底部流入与污泥层中污泥进行混合接触，污泥中的微生物分解污水中的有机物，把它转化为沼气。沼气以微小气泡形式不断放出，微小气泡在上升过程中，不断合并，逐渐形成较大的气泡，在污泥床上部由于沼气的搅动形成一个污泥浓度较稀薄的污泥和水一起上升进入三相分离器，沼气碰到分离器下部的反射板时，折向反射板的四周，然后穿过水层进入气室，集中在气室沼气，用导管导出，固液混合液经过反射进入三相分离器的沉淀区，污水中的污泥发生絮凝，颗粒逐渐增大，并在重力作用下沉降。沉淀至斜壁上的污泥沿着斜壁滑回厌氧反应区内，使反应区内积累大量的污泥，与污泥分离后的处理出水从沉淀区溢流堰上部溢出，然后排出污泥床。</w:t>
      </w:r>
    </w:p>
    <w:p w14:paraId="39CE755B">
      <w:pPr>
        <w:ind w:firstLine="482"/>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根据《升流式厌氧污泥床反应器污水处理工程技术规范》（HJ2013-2012），UASB反应器对污染物的去除效率分别为COD：80%~90%、BOD</w:t>
      </w:r>
      <w:r>
        <w:rPr>
          <w:rFonts w:hint="eastAsia"/>
          <w:color w:val="0D0D0D" w:themeColor="text1" w:themeTint="F2"/>
          <w:vertAlign w:val="subscript"/>
          <w14:textFill>
            <w14:solidFill>
              <w14:schemeClr w14:val="tx1">
                <w14:lumMod w14:val="95000"/>
                <w14:lumOff w14:val="5000"/>
              </w14:schemeClr>
            </w14:solidFill>
          </w14:textFill>
        </w:rPr>
        <w:t>5</w:t>
      </w:r>
      <w:r>
        <w:rPr>
          <w:rFonts w:hint="eastAsia"/>
          <w:color w:val="0D0D0D" w:themeColor="text1" w:themeTint="F2"/>
          <w14:textFill>
            <w14:solidFill>
              <w14:schemeClr w14:val="tx1">
                <w14:lumMod w14:val="95000"/>
                <w14:lumOff w14:val="5000"/>
              </w14:schemeClr>
            </w14:solidFill>
          </w14:textFill>
        </w:rPr>
        <w:t>：70%~80%、SS：30%~50%。本次评价设计处理效率取中间值，即COD：85%、BOD</w:t>
      </w:r>
      <w:r>
        <w:rPr>
          <w:rFonts w:hint="eastAsia"/>
          <w:color w:val="0D0D0D" w:themeColor="text1" w:themeTint="F2"/>
          <w:vertAlign w:val="subscript"/>
          <w14:textFill>
            <w14:solidFill>
              <w14:schemeClr w14:val="tx1">
                <w14:lumMod w14:val="95000"/>
                <w14:lumOff w14:val="5000"/>
              </w14:schemeClr>
            </w14:solidFill>
          </w14:textFill>
        </w:rPr>
        <w:t>5</w:t>
      </w:r>
      <w:r>
        <w:rPr>
          <w:rFonts w:hint="eastAsia"/>
          <w:color w:val="0D0D0D" w:themeColor="text1" w:themeTint="F2"/>
          <w14:textFill>
            <w14:solidFill>
              <w14:schemeClr w14:val="tx1">
                <w14:lumMod w14:val="95000"/>
                <w14:lumOff w14:val="5000"/>
              </w14:schemeClr>
            </w14:solidFill>
          </w14:textFill>
        </w:rPr>
        <w:t>：75%、SS：40%。</w:t>
      </w:r>
    </w:p>
    <w:p w14:paraId="7A3286A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（6）深度处理</w:t>
      </w:r>
    </w:p>
    <w:p w14:paraId="2C4A196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MBR膜生物反应器是一种将高效膜分离技术与传统活性污泥法相结合的新型高效污水处理工艺，其利用独特结构的MBR平片膜组件置于曝气池中，经过好氧曝气和生物处理后的水，由泵通过滤膜过滤后抽出，其间利用膜分离设备将生化反应池中的活性污泥和大分子有机物质截留住，此外，装置可分别控制水力停留时间（HRT）和污泥停留时间（SRT），将废水中难降解的物质在反应器中不断反应、降解。</w:t>
      </w:r>
    </w:p>
    <w:p w14:paraId="7543DE6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根据《膜生物法污水处理工程技术规范》（HJ2010-2011），MBR膜生物反应器对废水污染物去除效率分别为COD：90%、BOD</w:t>
      </w:r>
      <w:r>
        <w:rPr>
          <w:rFonts w:hint="eastAsia"/>
          <w:color w:val="0D0D0D" w:themeColor="text1" w:themeTint="F2"/>
          <w:vertAlign w:val="subscript"/>
          <w14:textFill>
            <w14:solidFill>
              <w14:schemeClr w14:val="tx1">
                <w14:lumMod w14:val="95000"/>
                <w14:lumOff w14:val="5000"/>
              </w14:schemeClr>
            </w14:solidFill>
          </w14:textFill>
        </w:rPr>
        <w:t>5</w:t>
      </w:r>
      <w:r>
        <w:rPr>
          <w:rFonts w:hint="eastAsia"/>
          <w:color w:val="0D0D0D" w:themeColor="text1" w:themeTint="F2"/>
          <w14:textFill>
            <w14:solidFill>
              <w14:schemeClr w14:val="tx1">
                <w14:lumMod w14:val="95000"/>
                <w14:lumOff w14:val="5000"/>
              </w14:schemeClr>
            </w14:solidFill>
          </w14:textFill>
        </w:rPr>
        <w:t>：95%、SS：99%、NH</w:t>
      </w:r>
      <w:r>
        <w:rPr>
          <w:rFonts w:hint="eastAsia"/>
          <w:color w:val="0D0D0D" w:themeColor="text1" w:themeTint="F2"/>
          <w:vertAlign w:val="sub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-N：90%。</w:t>
      </w:r>
    </w:p>
    <w:p w14:paraId="57E7424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（7）污泥处理</w:t>
      </w:r>
    </w:p>
    <w:p w14:paraId="0E6EABAE">
      <w:pPr>
        <w:ind w:firstLine="480" w:firstLineChars="200"/>
        <w:rPr>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UASB厌氧反应器、MBR膜生物反应器等产生的污泥均排入污泥池，通过板框压滤机脱水后，泥饼外运处理，滤液回流入综合调节池。</w:t>
      </w:r>
    </w:p>
    <w:p w14:paraId="40BF3554">
      <w:pPr>
        <w:pStyle w:val="10"/>
      </w:pPr>
      <w:r>
        <w:rPr>
          <w:rFonts w:hint="eastAsia"/>
        </w:rPr>
        <w:t>污水处理效果分析</w:t>
      </w:r>
    </w:p>
    <w:p w14:paraId="1A424F31">
      <w:pPr>
        <w:ind w:firstLine="482"/>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14:textFill>
            <w14:solidFill>
              <w14:schemeClr w14:val="tx1">
                <w14:lumMod w14:val="95000"/>
                <w14:lumOff w14:val="5000"/>
              </w14:schemeClr>
            </w14:solidFill>
          </w14:textFill>
        </w:rPr>
        <w:t>根据污水处理站设计方案，项目污水处理站废水处理效果详见表7.2-4</w:t>
      </w:r>
      <w:r>
        <w:rPr>
          <w:rFonts w:cs="Times New Roman"/>
          <w:color w:val="0D0D0D" w:themeColor="text1" w:themeTint="F2"/>
          <w:szCs w:val="24"/>
          <w14:textFill>
            <w14:solidFill>
              <w14:schemeClr w14:val="tx1">
                <w14:lumMod w14:val="95000"/>
                <w14:lumOff w14:val="5000"/>
              </w14:schemeClr>
            </w14:solidFill>
          </w14:textFill>
        </w:rPr>
        <w:t>。</w:t>
      </w:r>
    </w:p>
    <w:p w14:paraId="7CE4CBE9">
      <w:pPr>
        <w:pStyle w:val="11"/>
      </w:pPr>
      <w:r>
        <w:rPr>
          <w:rFonts w:hint="eastAsia"/>
        </w:rPr>
        <w:t xml:space="preserve"> 污水处理工艺去除效率一览表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4"/>
        <w:gridCol w:w="2052"/>
        <w:gridCol w:w="813"/>
        <w:gridCol w:w="923"/>
        <w:gridCol w:w="813"/>
        <w:gridCol w:w="934"/>
        <w:gridCol w:w="1243"/>
      </w:tblGrid>
      <w:tr w14:paraId="2C983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33" w:type="pct"/>
            <w:vAlign w:val="center"/>
          </w:tcPr>
          <w:p w14:paraId="706FA3ED">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污水处理单元</w:t>
            </w:r>
          </w:p>
        </w:tc>
        <w:tc>
          <w:tcPr>
            <w:tcW w:w="1110" w:type="pct"/>
            <w:vAlign w:val="center"/>
          </w:tcPr>
          <w:p w14:paraId="05F0A5B9">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项目</w:t>
            </w:r>
          </w:p>
        </w:tc>
        <w:tc>
          <w:tcPr>
            <w:tcW w:w="440" w:type="pct"/>
            <w:vAlign w:val="center"/>
          </w:tcPr>
          <w:p w14:paraId="7C126FF6">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COD</w:t>
            </w:r>
          </w:p>
        </w:tc>
        <w:tc>
          <w:tcPr>
            <w:tcW w:w="499" w:type="pct"/>
            <w:vAlign w:val="center"/>
          </w:tcPr>
          <w:p w14:paraId="6A5E34B0">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BOD</w:t>
            </w:r>
            <w:r>
              <w:rPr>
                <w:rFonts w:cs="Times New Roman"/>
                <w:color w:val="0D0D0D" w:themeColor="text1" w:themeTint="F2"/>
                <w:kern w:val="0"/>
                <w:sz w:val="21"/>
                <w:szCs w:val="21"/>
                <w:u w:val="single"/>
                <w:vertAlign w:val="subscript"/>
                <w14:textFill>
                  <w14:solidFill>
                    <w14:schemeClr w14:val="tx1">
                      <w14:lumMod w14:val="95000"/>
                      <w14:lumOff w14:val="5000"/>
                    </w14:schemeClr>
                  </w14:solidFill>
                </w14:textFill>
              </w:rPr>
              <w:t>5</w:t>
            </w:r>
          </w:p>
        </w:tc>
        <w:tc>
          <w:tcPr>
            <w:tcW w:w="440" w:type="pct"/>
            <w:vAlign w:val="center"/>
          </w:tcPr>
          <w:p w14:paraId="3B183BC0">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SS</w:t>
            </w:r>
          </w:p>
        </w:tc>
        <w:tc>
          <w:tcPr>
            <w:tcW w:w="505" w:type="pct"/>
            <w:vAlign w:val="center"/>
          </w:tcPr>
          <w:p w14:paraId="2BB8F93C">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NH</w:t>
            </w:r>
            <w:r>
              <w:rPr>
                <w:rFonts w:cs="Times New Roman"/>
                <w:color w:val="0D0D0D" w:themeColor="text1" w:themeTint="F2"/>
                <w:kern w:val="0"/>
                <w:sz w:val="21"/>
                <w:szCs w:val="21"/>
                <w:u w:val="single"/>
                <w:vertAlign w:val="subscript"/>
                <w14:textFill>
                  <w14:solidFill>
                    <w14:schemeClr w14:val="tx1">
                      <w14:lumMod w14:val="95000"/>
                      <w14:lumOff w14:val="5000"/>
                    </w14:schemeClr>
                  </w14:solidFill>
                </w14:textFill>
              </w:rPr>
              <w:t>3</w:t>
            </w:r>
            <w:r>
              <w:rPr>
                <w:rFonts w:cs="Times New Roman"/>
                <w:color w:val="0D0D0D" w:themeColor="text1" w:themeTint="F2"/>
                <w:kern w:val="0"/>
                <w:sz w:val="21"/>
                <w:szCs w:val="21"/>
                <w:u w:val="single"/>
                <w14:textFill>
                  <w14:solidFill>
                    <w14:schemeClr w14:val="tx1">
                      <w14:lumMod w14:val="95000"/>
                      <w14:lumOff w14:val="5000"/>
                    </w14:schemeClr>
                  </w14:solidFill>
                </w14:textFill>
              </w:rPr>
              <w:t>-N</w:t>
            </w:r>
          </w:p>
        </w:tc>
        <w:tc>
          <w:tcPr>
            <w:tcW w:w="672" w:type="pct"/>
            <w:vAlign w:val="center"/>
          </w:tcPr>
          <w:p w14:paraId="32B032C3">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动植物油</w:t>
            </w:r>
          </w:p>
        </w:tc>
      </w:tr>
      <w:tr w14:paraId="5B3F7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gridSpan w:val="2"/>
            <w:vAlign w:val="center"/>
          </w:tcPr>
          <w:p w14:paraId="0F7A5F6C">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进水浓度（mg/L）</w:t>
            </w:r>
          </w:p>
        </w:tc>
        <w:tc>
          <w:tcPr>
            <w:tcW w:w="440" w:type="pct"/>
            <w:vAlign w:val="center"/>
          </w:tcPr>
          <w:p w14:paraId="64AB639C">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15200</w:t>
            </w:r>
          </w:p>
        </w:tc>
        <w:tc>
          <w:tcPr>
            <w:tcW w:w="499" w:type="pct"/>
            <w:vAlign w:val="center"/>
          </w:tcPr>
          <w:p w14:paraId="1E194C6A">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5420</w:t>
            </w:r>
          </w:p>
        </w:tc>
        <w:tc>
          <w:tcPr>
            <w:tcW w:w="440" w:type="pct"/>
            <w:vAlign w:val="center"/>
          </w:tcPr>
          <w:p w14:paraId="4B9531D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767</w:t>
            </w:r>
          </w:p>
        </w:tc>
        <w:tc>
          <w:tcPr>
            <w:tcW w:w="505" w:type="pct"/>
            <w:vAlign w:val="center"/>
          </w:tcPr>
          <w:p w14:paraId="35A5A27A">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483</w:t>
            </w:r>
          </w:p>
        </w:tc>
        <w:tc>
          <w:tcPr>
            <w:tcW w:w="672" w:type="pct"/>
            <w:vAlign w:val="center"/>
          </w:tcPr>
          <w:p w14:paraId="2E5703F4">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12.9</w:t>
            </w:r>
          </w:p>
        </w:tc>
      </w:tr>
      <w:tr w14:paraId="3386C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33" w:type="pct"/>
            <w:vMerge w:val="restart"/>
            <w:vAlign w:val="center"/>
          </w:tcPr>
          <w:p w14:paraId="12955BEC">
            <w:pPr>
              <w:spacing w:line="240" w:lineRule="auto"/>
              <w:ind w:left="-18" w:leftChars="-57" w:right="-122" w:rightChars="-51" w:hanging="119" w:hangingChars="57"/>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隔油池</w:t>
            </w:r>
          </w:p>
        </w:tc>
        <w:tc>
          <w:tcPr>
            <w:tcW w:w="1110" w:type="pct"/>
            <w:vAlign w:val="center"/>
          </w:tcPr>
          <w:p w14:paraId="06F439C4">
            <w:pPr>
              <w:spacing w:line="240" w:lineRule="auto"/>
              <w:ind w:left="-18" w:leftChars="-53" w:right="-115" w:rightChars="-48" w:hanging="109" w:hangingChars="52"/>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去除效率</w:t>
            </w: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w:t>
            </w:r>
          </w:p>
        </w:tc>
        <w:tc>
          <w:tcPr>
            <w:tcW w:w="440" w:type="pct"/>
            <w:vAlign w:val="center"/>
          </w:tcPr>
          <w:p w14:paraId="6258BD30">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w:t>
            </w:r>
          </w:p>
        </w:tc>
        <w:tc>
          <w:tcPr>
            <w:tcW w:w="499" w:type="pct"/>
            <w:vAlign w:val="center"/>
          </w:tcPr>
          <w:p w14:paraId="015EC1FE">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w:t>
            </w:r>
          </w:p>
        </w:tc>
        <w:tc>
          <w:tcPr>
            <w:tcW w:w="440" w:type="pct"/>
            <w:vAlign w:val="center"/>
          </w:tcPr>
          <w:p w14:paraId="2B44E1CD">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w:t>
            </w:r>
          </w:p>
        </w:tc>
        <w:tc>
          <w:tcPr>
            <w:tcW w:w="505" w:type="pct"/>
            <w:vAlign w:val="center"/>
          </w:tcPr>
          <w:p w14:paraId="0C97359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0</w:t>
            </w:r>
          </w:p>
        </w:tc>
        <w:tc>
          <w:tcPr>
            <w:tcW w:w="672" w:type="pct"/>
            <w:vAlign w:val="center"/>
          </w:tcPr>
          <w:p w14:paraId="1E0150D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60</w:t>
            </w:r>
          </w:p>
        </w:tc>
      </w:tr>
      <w:tr w14:paraId="6DD00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33" w:type="pct"/>
            <w:vMerge w:val="continue"/>
            <w:vAlign w:val="center"/>
          </w:tcPr>
          <w:p w14:paraId="401EC5BC">
            <w:pPr>
              <w:spacing w:line="240" w:lineRule="auto"/>
              <w:ind w:left="-18" w:leftChars="-57" w:right="-122" w:rightChars="-51" w:hanging="119" w:hangingChars="57"/>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110" w:type="pct"/>
            <w:vAlign w:val="center"/>
          </w:tcPr>
          <w:p w14:paraId="7794A538">
            <w:pPr>
              <w:spacing w:line="240" w:lineRule="auto"/>
              <w:ind w:left="-18" w:leftChars="-53" w:right="-115" w:rightChars="-48" w:hanging="109" w:hangingChars="52"/>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出水浓度（mg/L）</w:t>
            </w:r>
          </w:p>
        </w:tc>
        <w:tc>
          <w:tcPr>
            <w:tcW w:w="440" w:type="pct"/>
            <w:vAlign w:val="center"/>
          </w:tcPr>
          <w:p w14:paraId="1C935313">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15200</w:t>
            </w:r>
          </w:p>
        </w:tc>
        <w:tc>
          <w:tcPr>
            <w:tcW w:w="499" w:type="pct"/>
            <w:vAlign w:val="center"/>
          </w:tcPr>
          <w:p w14:paraId="5AE6D1F3">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5420</w:t>
            </w:r>
          </w:p>
        </w:tc>
        <w:tc>
          <w:tcPr>
            <w:tcW w:w="440" w:type="pct"/>
            <w:vAlign w:val="center"/>
          </w:tcPr>
          <w:p w14:paraId="64112D2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767</w:t>
            </w:r>
          </w:p>
        </w:tc>
        <w:tc>
          <w:tcPr>
            <w:tcW w:w="505" w:type="pct"/>
            <w:vAlign w:val="center"/>
          </w:tcPr>
          <w:p w14:paraId="01FDC46E">
            <w:pPr>
              <w:spacing w:line="240" w:lineRule="auto"/>
              <w:jc w:val="center"/>
              <w:rPr>
                <w:rFonts w:cs="Times New Roman"/>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sz w:val="21"/>
                <w:szCs w:val="21"/>
                <w:u w:val="single"/>
                <w14:textFill>
                  <w14:solidFill>
                    <w14:schemeClr w14:val="tx1">
                      <w14:lumMod w14:val="95000"/>
                      <w14:lumOff w14:val="5000"/>
                    </w14:schemeClr>
                  </w14:solidFill>
                </w14:textFill>
              </w:rPr>
              <w:t>483</w:t>
            </w:r>
          </w:p>
        </w:tc>
        <w:tc>
          <w:tcPr>
            <w:tcW w:w="672" w:type="pct"/>
            <w:vAlign w:val="center"/>
          </w:tcPr>
          <w:p w14:paraId="7F655738">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5.16</w:t>
            </w:r>
          </w:p>
        </w:tc>
      </w:tr>
      <w:tr w14:paraId="6BF1B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33" w:type="pct"/>
            <w:vMerge w:val="restart"/>
            <w:vAlign w:val="center"/>
          </w:tcPr>
          <w:p w14:paraId="26EC3543">
            <w:pPr>
              <w:spacing w:line="240" w:lineRule="auto"/>
              <w:ind w:left="-18" w:leftChars="-57" w:right="-122" w:rightChars="-51" w:hanging="119" w:hangingChars="57"/>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气浮池</w:t>
            </w:r>
          </w:p>
        </w:tc>
        <w:tc>
          <w:tcPr>
            <w:tcW w:w="1110" w:type="pct"/>
            <w:vAlign w:val="center"/>
          </w:tcPr>
          <w:p w14:paraId="4EC4021D">
            <w:pPr>
              <w:spacing w:line="240" w:lineRule="auto"/>
              <w:ind w:left="-18" w:leftChars="-53" w:right="-115" w:rightChars="-48" w:hanging="109" w:hangingChars="52"/>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去除效率</w:t>
            </w: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w:t>
            </w:r>
          </w:p>
        </w:tc>
        <w:tc>
          <w:tcPr>
            <w:tcW w:w="440" w:type="pct"/>
            <w:vAlign w:val="center"/>
          </w:tcPr>
          <w:p w14:paraId="5091E3E8">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5</w:t>
            </w:r>
          </w:p>
        </w:tc>
        <w:tc>
          <w:tcPr>
            <w:tcW w:w="499" w:type="pct"/>
            <w:vAlign w:val="center"/>
          </w:tcPr>
          <w:p w14:paraId="07E11F2A">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5</w:t>
            </w:r>
          </w:p>
        </w:tc>
        <w:tc>
          <w:tcPr>
            <w:tcW w:w="440" w:type="pct"/>
            <w:vAlign w:val="center"/>
          </w:tcPr>
          <w:p w14:paraId="6275469A">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5</w:t>
            </w:r>
          </w:p>
        </w:tc>
        <w:tc>
          <w:tcPr>
            <w:tcW w:w="505" w:type="pct"/>
            <w:vAlign w:val="center"/>
          </w:tcPr>
          <w:p w14:paraId="48227290">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5</w:t>
            </w:r>
          </w:p>
        </w:tc>
        <w:tc>
          <w:tcPr>
            <w:tcW w:w="672" w:type="pct"/>
            <w:vAlign w:val="center"/>
          </w:tcPr>
          <w:p w14:paraId="13D84C3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90</w:t>
            </w:r>
          </w:p>
        </w:tc>
      </w:tr>
      <w:tr w14:paraId="31AB7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33" w:type="pct"/>
            <w:vMerge w:val="continue"/>
            <w:vAlign w:val="center"/>
          </w:tcPr>
          <w:p w14:paraId="096B304B">
            <w:pPr>
              <w:spacing w:line="240" w:lineRule="auto"/>
              <w:ind w:left="-18" w:leftChars="-57" w:right="-122" w:rightChars="-51" w:hanging="119" w:hangingChars="57"/>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110" w:type="pct"/>
            <w:vAlign w:val="center"/>
          </w:tcPr>
          <w:p w14:paraId="70286284">
            <w:pPr>
              <w:spacing w:line="240" w:lineRule="auto"/>
              <w:ind w:left="-18" w:leftChars="-53" w:right="-115" w:rightChars="-48" w:hanging="109" w:hangingChars="52"/>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出水浓度（mg/L）</w:t>
            </w:r>
          </w:p>
        </w:tc>
        <w:tc>
          <w:tcPr>
            <w:tcW w:w="440" w:type="pct"/>
            <w:vAlign w:val="center"/>
          </w:tcPr>
          <w:p w14:paraId="585867C6">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14440</w:t>
            </w:r>
          </w:p>
        </w:tc>
        <w:tc>
          <w:tcPr>
            <w:tcW w:w="499" w:type="pct"/>
            <w:vAlign w:val="center"/>
          </w:tcPr>
          <w:p w14:paraId="529200A7">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5149</w:t>
            </w:r>
          </w:p>
        </w:tc>
        <w:tc>
          <w:tcPr>
            <w:tcW w:w="440" w:type="pct"/>
            <w:vAlign w:val="center"/>
          </w:tcPr>
          <w:p w14:paraId="462FEBD2">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728.65</w:t>
            </w:r>
          </w:p>
        </w:tc>
        <w:tc>
          <w:tcPr>
            <w:tcW w:w="505" w:type="pct"/>
            <w:vAlign w:val="center"/>
          </w:tcPr>
          <w:p w14:paraId="3776B95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458.85</w:t>
            </w:r>
          </w:p>
        </w:tc>
        <w:tc>
          <w:tcPr>
            <w:tcW w:w="672" w:type="pct"/>
            <w:vAlign w:val="center"/>
          </w:tcPr>
          <w:p w14:paraId="60B2426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0.52</w:t>
            </w:r>
          </w:p>
        </w:tc>
      </w:tr>
      <w:tr w14:paraId="4BCD7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33" w:type="pct"/>
            <w:vMerge w:val="restart"/>
            <w:vAlign w:val="center"/>
          </w:tcPr>
          <w:p w14:paraId="0BB65E5C">
            <w:pPr>
              <w:spacing w:line="240" w:lineRule="auto"/>
              <w:ind w:left="-18" w:leftChars="-57" w:right="-122" w:rightChars="-51" w:hanging="119" w:hangingChars="57"/>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混凝沉淀池</w:t>
            </w:r>
          </w:p>
        </w:tc>
        <w:tc>
          <w:tcPr>
            <w:tcW w:w="1110" w:type="pct"/>
            <w:vAlign w:val="center"/>
          </w:tcPr>
          <w:p w14:paraId="6E4EB3FB">
            <w:pPr>
              <w:spacing w:line="240" w:lineRule="auto"/>
              <w:ind w:left="-18" w:leftChars="-53" w:right="-115" w:rightChars="-48" w:hanging="109" w:hangingChars="52"/>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去除效率</w:t>
            </w: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w:t>
            </w:r>
          </w:p>
        </w:tc>
        <w:tc>
          <w:tcPr>
            <w:tcW w:w="440" w:type="pct"/>
            <w:vAlign w:val="center"/>
          </w:tcPr>
          <w:p w14:paraId="5C5B85BD">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20</w:t>
            </w:r>
          </w:p>
        </w:tc>
        <w:tc>
          <w:tcPr>
            <w:tcW w:w="499" w:type="pct"/>
            <w:vAlign w:val="center"/>
          </w:tcPr>
          <w:p w14:paraId="3E2690AE">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35</w:t>
            </w:r>
          </w:p>
        </w:tc>
        <w:tc>
          <w:tcPr>
            <w:tcW w:w="440" w:type="pct"/>
            <w:vAlign w:val="center"/>
          </w:tcPr>
          <w:p w14:paraId="68894810">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30</w:t>
            </w:r>
          </w:p>
        </w:tc>
        <w:tc>
          <w:tcPr>
            <w:tcW w:w="505" w:type="pct"/>
            <w:vAlign w:val="center"/>
          </w:tcPr>
          <w:p w14:paraId="759E7A6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5</w:t>
            </w:r>
          </w:p>
        </w:tc>
        <w:tc>
          <w:tcPr>
            <w:tcW w:w="672" w:type="pct"/>
            <w:vAlign w:val="center"/>
          </w:tcPr>
          <w:p w14:paraId="5E6B0C8D">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5</w:t>
            </w:r>
          </w:p>
        </w:tc>
      </w:tr>
      <w:tr w14:paraId="0242F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33" w:type="pct"/>
            <w:vMerge w:val="continue"/>
            <w:vAlign w:val="center"/>
          </w:tcPr>
          <w:p w14:paraId="611C830C">
            <w:pPr>
              <w:spacing w:line="240" w:lineRule="auto"/>
              <w:ind w:left="-18" w:leftChars="-57" w:right="-122" w:rightChars="-51" w:hanging="119" w:hangingChars="57"/>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110" w:type="pct"/>
            <w:vAlign w:val="center"/>
          </w:tcPr>
          <w:p w14:paraId="1DDC4CA3">
            <w:pPr>
              <w:spacing w:line="240" w:lineRule="auto"/>
              <w:ind w:left="-18" w:leftChars="-53" w:right="-115" w:rightChars="-48" w:hanging="109" w:hangingChars="52"/>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出水浓度（mg/L）</w:t>
            </w:r>
          </w:p>
        </w:tc>
        <w:tc>
          <w:tcPr>
            <w:tcW w:w="440" w:type="pct"/>
            <w:vAlign w:val="center"/>
          </w:tcPr>
          <w:p w14:paraId="2774C48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11552</w:t>
            </w:r>
          </w:p>
        </w:tc>
        <w:tc>
          <w:tcPr>
            <w:tcW w:w="499" w:type="pct"/>
            <w:vAlign w:val="center"/>
          </w:tcPr>
          <w:p w14:paraId="45A5766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3346.85</w:t>
            </w:r>
          </w:p>
        </w:tc>
        <w:tc>
          <w:tcPr>
            <w:tcW w:w="440" w:type="pct"/>
            <w:vAlign w:val="center"/>
          </w:tcPr>
          <w:p w14:paraId="77BBCF5D">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510.06</w:t>
            </w:r>
          </w:p>
        </w:tc>
        <w:tc>
          <w:tcPr>
            <w:tcW w:w="505" w:type="pct"/>
            <w:vAlign w:val="center"/>
          </w:tcPr>
          <w:p w14:paraId="7B0F1858">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435.91</w:t>
            </w:r>
          </w:p>
        </w:tc>
        <w:tc>
          <w:tcPr>
            <w:tcW w:w="672" w:type="pct"/>
            <w:vAlign w:val="center"/>
          </w:tcPr>
          <w:p w14:paraId="0D25E806">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0.49</w:t>
            </w:r>
          </w:p>
        </w:tc>
      </w:tr>
      <w:tr w14:paraId="75F56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33" w:type="pct"/>
            <w:vMerge w:val="restart"/>
            <w:vAlign w:val="center"/>
          </w:tcPr>
          <w:p w14:paraId="591651F3">
            <w:pPr>
              <w:spacing w:line="240" w:lineRule="auto"/>
              <w:ind w:left="-18" w:leftChars="-57" w:right="-122" w:rightChars="-51" w:hanging="119" w:hangingChars="57"/>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调节池</w:t>
            </w:r>
          </w:p>
        </w:tc>
        <w:tc>
          <w:tcPr>
            <w:tcW w:w="1110" w:type="pct"/>
            <w:vAlign w:val="center"/>
          </w:tcPr>
          <w:p w14:paraId="4852B649">
            <w:pPr>
              <w:spacing w:line="240" w:lineRule="auto"/>
              <w:ind w:left="-18" w:leftChars="-53" w:right="-115" w:rightChars="-48" w:hanging="109" w:hangingChars="52"/>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去除效率</w:t>
            </w: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w:t>
            </w:r>
          </w:p>
        </w:tc>
        <w:tc>
          <w:tcPr>
            <w:tcW w:w="440" w:type="pct"/>
            <w:vAlign w:val="center"/>
          </w:tcPr>
          <w:p w14:paraId="2827F4A6">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w:t>
            </w:r>
          </w:p>
        </w:tc>
        <w:tc>
          <w:tcPr>
            <w:tcW w:w="499" w:type="pct"/>
            <w:vAlign w:val="center"/>
          </w:tcPr>
          <w:p w14:paraId="1FE14DE3">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w:t>
            </w:r>
          </w:p>
        </w:tc>
        <w:tc>
          <w:tcPr>
            <w:tcW w:w="440" w:type="pct"/>
            <w:vAlign w:val="center"/>
          </w:tcPr>
          <w:p w14:paraId="2175BF2E">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w:t>
            </w:r>
          </w:p>
        </w:tc>
        <w:tc>
          <w:tcPr>
            <w:tcW w:w="505" w:type="pct"/>
            <w:vAlign w:val="center"/>
          </w:tcPr>
          <w:p w14:paraId="3D3406A7">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w:t>
            </w:r>
          </w:p>
        </w:tc>
        <w:tc>
          <w:tcPr>
            <w:tcW w:w="672" w:type="pct"/>
            <w:vAlign w:val="center"/>
          </w:tcPr>
          <w:p w14:paraId="659A928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w:t>
            </w:r>
          </w:p>
        </w:tc>
      </w:tr>
      <w:tr w14:paraId="3FF19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33" w:type="pct"/>
            <w:vMerge w:val="continue"/>
            <w:vAlign w:val="center"/>
          </w:tcPr>
          <w:p w14:paraId="25A666CA">
            <w:pPr>
              <w:spacing w:line="240" w:lineRule="auto"/>
              <w:ind w:left="-18" w:leftChars="-57" w:right="-122" w:rightChars="-51" w:hanging="119" w:hangingChars="57"/>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110" w:type="pct"/>
            <w:vAlign w:val="center"/>
          </w:tcPr>
          <w:p w14:paraId="7BC20EDF">
            <w:pPr>
              <w:spacing w:line="240" w:lineRule="auto"/>
              <w:ind w:left="-18" w:leftChars="-53" w:right="-115" w:rightChars="-48" w:hanging="109" w:hangingChars="52"/>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出水浓度（mg/L）</w:t>
            </w:r>
          </w:p>
        </w:tc>
        <w:tc>
          <w:tcPr>
            <w:tcW w:w="440" w:type="pct"/>
            <w:vAlign w:val="center"/>
          </w:tcPr>
          <w:p w14:paraId="5EC189C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11552</w:t>
            </w:r>
          </w:p>
        </w:tc>
        <w:tc>
          <w:tcPr>
            <w:tcW w:w="499" w:type="pct"/>
            <w:vAlign w:val="center"/>
          </w:tcPr>
          <w:p w14:paraId="41CE9DFC">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3346.85</w:t>
            </w:r>
          </w:p>
        </w:tc>
        <w:tc>
          <w:tcPr>
            <w:tcW w:w="440" w:type="pct"/>
            <w:vAlign w:val="center"/>
          </w:tcPr>
          <w:p w14:paraId="2E8FA377">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510.06</w:t>
            </w:r>
          </w:p>
        </w:tc>
        <w:tc>
          <w:tcPr>
            <w:tcW w:w="505" w:type="pct"/>
            <w:vAlign w:val="center"/>
          </w:tcPr>
          <w:p w14:paraId="577EDAAE">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435.91</w:t>
            </w:r>
          </w:p>
        </w:tc>
        <w:tc>
          <w:tcPr>
            <w:tcW w:w="672" w:type="pct"/>
            <w:vAlign w:val="center"/>
          </w:tcPr>
          <w:p w14:paraId="389825D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0.49</w:t>
            </w:r>
          </w:p>
        </w:tc>
      </w:tr>
      <w:tr w14:paraId="1AB8A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33" w:type="pct"/>
            <w:vMerge w:val="restart"/>
            <w:vAlign w:val="center"/>
          </w:tcPr>
          <w:p w14:paraId="315467A4">
            <w:pPr>
              <w:spacing w:line="240" w:lineRule="auto"/>
              <w:ind w:left="-18" w:leftChars="-57" w:right="-122" w:rightChars="-51" w:hanging="119" w:hangingChars="57"/>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UASB反应器</w:t>
            </w:r>
          </w:p>
        </w:tc>
        <w:tc>
          <w:tcPr>
            <w:tcW w:w="1110" w:type="pct"/>
            <w:vAlign w:val="center"/>
          </w:tcPr>
          <w:p w14:paraId="0E18D174">
            <w:pPr>
              <w:spacing w:line="240" w:lineRule="auto"/>
              <w:ind w:left="-18" w:leftChars="-53" w:right="-115" w:rightChars="-48" w:hanging="109" w:hangingChars="52"/>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去除效率</w:t>
            </w: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w:t>
            </w:r>
          </w:p>
        </w:tc>
        <w:tc>
          <w:tcPr>
            <w:tcW w:w="440" w:type="pct"/>
            <w:vAlign w:val="center"/>
          </w:tcPr>
          <w:p w14:paraId="6927FE9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85</w:t>
            </w:r>
          </w:p>
        </w:tc>
        <w:tc>
          <w:tcPr>
            <w:tcW w:w="499" w:type="pct"/>
            <w:vAlign w:val="center"/>
          </w:tcPr>
          <w:p w14:paraId="3E5E000E">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75</w:t>
            </w:r>
          </w:p>
        </w:tc>
        <w:tc>
          <w:tcPr>
            <w:tcW w:w="440" w:type="pct"/>
            <w:vAlign w:val="center"/>
          </w:tcPr>
          <w:p w14:paraId="3734EAD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40</w:t>
            </w:r>
          </w:p>
        </w:tc>
        <w:tc>
          <w:tcPr>
            <w:tcW w:w="505" w:type="pct"/>
            <w:vAlign w:val="center"/>
          </w:tcPr>
          <w:p w14:paraId="0421CDBE">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w:t>
            </w:r>
          </w:p>
        </w:tc>
        <w:tc>
          <w:tcPr>
            <w:tcW w:w="672" w:type="pct"/>
            <w:vAlign w:val="center"/>
          </w:tcPr>
          <w:p w14:paraId="40912156">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w:t>
            </w:r>
          </w:p>
        </w:tc>
      </w:tr>
      <w:tr w14:paraId="6AA72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33" w:type="pct"/>
            <w:vMerge w:val="continue"/>
            <w:vAlign w:val="center"/>
          </w:tcPr>
          <w:p w14:paraId="6645E549">
            <w:pPr>
              <w:spacing w:line="240" w:lineRule="auto"/>
              <w:ind w:left="-18" w:leftChars="-57" w:right="-122" w:rightChars="-51" w:hanging="119" w:hangingChars="57"/>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110" w:type="pct"/>
            <w:vAlign w:val="center"/>
          </w:tcPr>
          <w:p w14:paraId="227A01BB">
            <w:pPr>
              <w:spacing w:line="240" w:lineRule="auto"/>
              <w:ind w:left="-18" w:leftChars="-53" w:right="-115" w:rightChars="-48" w:hanging="109" w:hangingChars="52"/>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出水浓度（mg/L）</w:t>
            </w:r>
          </w:p>
        </w:tc>
        <w:tc>
          <w:tcPr>
            <w:tcW w:w="440" w:type="pct"/>
            <w:vAlign w:val="center"/>
          </w:tcPr>
          <w:p w14:paraId="3DA11F1A">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1732.8</w:t>
            </w:r>
          </w:p>
        </w:tc>
        <w:tc>
          <w:tcPr>
            <w:tcW w:w="499" w:type="pct"/>
            <w:vAlign w:val="center"/>
          </w:tcPr>
          <w:p w14:paraId="6932FCD0">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836.71</w:t>
            </w:r>
          </w:p>
        </w:tc>
        <w:tc>
          <w:tcPr>
            <w:tcW w:w="440" w:type="pct"/>
            <w:vAlign w:val="center"/>
          </w:tcPr>
          <w:p w14:paraId="6419A5A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306.03</w:t>
            </w:r>
          </w:p>
        </w:tc>
        <w:tc>
          <w:tcPr>
            <w:tcW w:w="505" w:type="pct"/>
            <w:vAlign w:val="center"/>
          </w:tcPr>
          <w:p w14:paraId="46F40B2C">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435.91</w:t>
            </w:r>
          </w:p>
        </w:tc>
        <w:tc>
          <w:tcPr>
            <w:tcW w:w="672" w:type="pct"/>
            <w:vAlign w:val="center"/>
          </w:tcPr>
          <w:p w14:paraId="1B5D703A">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0.49</w:t>
            </w:r>
          </w:p>
        </w:tc>
      </w:tr>
      <w:tr w14:paraId="359B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33" w:type="pct"/>
            <w:vMerge w:val="restart"/>
            <w:vAlign w:val="center"/>
          </w:tcPr>
          <w:p w14:paraId="3878AEA0">
            <w:pPr>
              <w:spacing w:line="240" w:lineRule="auto"/>
              <w:ind w:left="-18" w:leftChars="-57" w:right="-122" w:rightChars="-51" w:hanging="119" w:hangingChars="57"/>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MBR膜生物反应器</w:t>
            </w:r>
          </w:p>
        </w:tc>
        <w:tc>
          <w:tcPr>
            <w:tcW w:w="1110" w:type="pct"/>
            <w:vAlign w:val="center"/>
          </w:tcPr>
          <w:p w14:paraId="08D01090">
            <w:pPr>
              <w:spacing w:line="240" w:lineRule="auto"/>
              <w:ind w:left="-18" w:leftChars="-53" w:right="-115" w:rightChars="-48" w:hanging="109" w:hangingChars="52"/>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去除效率</w:t>
            </w: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w:t>
            </w:r>
          </w:p>
        </w:tc>
        <w:tc>
          <w:tcPr>
            <w:tcW w:w="440" w:type="pct"/>
            <w:vAlign w:val="center"/>
          </w:tcPr>
          <w:p w14:paraId="31180F06">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90</w:t>
            </w:r>
          </w:p>
        </w:tc>
        <w:tc>
          <w:tcPr>
            <w:tcW w:w="499" w:type="pct"/>
            <w:vAlign w:val="center"/>
          </w:tcPr>
          <w:p w14:paraId="0305213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95</w:t>
            </w:r>
          </w:p>
        </w:tc>
        <w:tc>
          <w:tcPr>
            <w:tcW w:w="440" w:type="pct"/>
            <w:vAlign w:val="center"/>
          </w:tcPr>
          <w:p w14:paraId="76D6F744">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99</w:t>
            </w:r>
          </w:p>
        </w:tc>
        <w:tc>
          <w:tcPr>
            <w:tcW w:w="505" w:type="pct"/>
            <w:vAlign w:val="center"/>
          </w:tcPr>
          <w:p w14:paraId="2FD8DAD3">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90</w:t>
            </w:r>
          </w:p>
        </w:tc>
        <w:tc>
          <w:tcPr>
            <w:tcW w:w="672" w:type="pct"/>
            <w:vAlign w:val="center"/>
          </w:tcPr>
          <w:p w14:paraId="5C68A55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95</w:t>
            </w:r>
          </w:p>
        </w:tc>
      </w:tr>
      <w:tr w14:paraId="0977A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33" w:type="pct"/>
            <w:vMerge w:val="continue"/>
            <w:vAlign w:val="center"/>
          </w:tcPr>
          <w:p w14:paraId="592E4FE6">
            <w:pPr>
              <w:spacing w:line="240" w:lineRule="auto"/>
              <w:ind w:left="-18" w:leftChars="-57" w:right="-122" w:rightChars="-51" w:hanging="119" w:hangingChars="57"/>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110" w:type="pct"/>
            <w:vAlign w:val="center"/>
          </w:tcPr>
          <w:p w14:paraId="60BC127B">
            <w:pPr>
              <w:spacing w:line="240" w:lineRule="auto"/>
              <w:ind w:left="-18" w:leftChars="-53" w:right="-115" w:rightChars="-48" w:hanging="109" w:hangingChars="52"/>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出水浓度（mg/L）</w:t>
            </w:r>
          </w:p>
        </w:tc>
        <w:tc>
          <w:tcPr>
            <w:tcW w:w="440" w:type="pct"/>
            <w:vAlign w:val="center"/>
          </w:tcPr>
          <w:p w14:paraId="2A1DD00D">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173.28</w:t>
            </w:r>
          </w:p>
        </w:tc>
        <w:tc>
          <w:tcPr>
            <w:tcW w:w="499" w:type="pct"/>
            <w:vAlign w:val="center"/>
          </w:tcPr>
          <w:p w14:paraId="54C3549E">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41.84</w:t>
            </w:r>
          </w:p>
        </w:tc>
        <w:tc>
          <w:tcPr>
            <w:tcW w:w="440" w:type="pct"/>
            <w:vAlign w:val="center"/>
          </w:tcPr>
          <w:p w14:paraId="64921FB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3.06</w:t>
            </w:r>
          </w:p>
        </w:tc>
        <w:tc>
          <w:tcPr>
            <w:tcW w:w="505" w:type="pct"/>
            <w:vAlign w:val="center"/>
          </w:tcPr>
          <w:p w14:paraId="54D6B186">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43.59</w:t>
            </w:r>
          </w:p>
        </w:tc>
        <w:tc>
          <w:tcPr>
            <w:tcW w:w="672" w:type="pct"/>
            <w:vAlign w:val="center"/>
          </w:tcPr>
          <w:p w14:paraId="4B6554EB">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0.02</w:t>
            </w:r>
          </w:p>
        </w:tc>
      </w:tr>
      <w:tr w14:paraId="08471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3" w:type="pct"/>
            <w:gridSpan w:val="2"/>
            <w:vAlign w:val="center"/>
          </w:tcPr>
          <w:p w14:paraId="339ED078">
            <w:pPr>
              <w:spacing w:line="240" w:lineRule="auto"/>
              <w:ind w:left="-18" w:leftChars="-53" w:right="-115" w:rightChars="-48" w:hanging="109" w:hangingChars="52"/>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总去除率（%）</w:t>
            </w:r>
          </w:p>
        </w:tc>
        <w:tc>
          <w:tcPr>
            <w:tcW w:w="440" w:type="pct"/>
            <w:vAlign w:val="center"/>
          </w:tcPr>
          <w:p w14:paraId="6EB06B20">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98.86</w:t>
            </w:r>
          </w:p>
        </w:tc>
        <w:tc>
          <w:tcPr>
            <w:tcW w:w="499" w:type="pct"/>
            <w:vAlign w:val="center"/>
          </w:tcPr>
          <w:p w14:paraId="010A9B2C">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99.23</w:t>
            </w:r>
          </w:p>
        </w:tc>
        <w:tc>
          <w:tcPr>
            <w:tcW w:w="440" w:type="pct"/>
            <w:vAlign w:val="center"/>
          </w:tcPr>
          <w:p w14:paraId="0EEF93D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99.60</w:t>
            </w:r>
          </w:p>
        </w:tc>
        <w:tc>
          <w:tcPr>
            <w:tcW w:w="505" w:type="pct"/>
            <w:vAlign w:val="center"/>
          </w:tcPr>
          <w:p w14:paraId="18087DEC">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90.98</w:t>
            </w:r>
          </w:p>
        </w:tc>
        <w:tc>
          <w:tcPr>
            <w:tcW w:w="672" w:type="pct"/>
            <w:vAlign w:val="center"/>
          </w:tcPr>
          <w:p w14:paraId="18D396A6">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99.81</w:t>
            </w:r>
          </w:p>
        </w:tc>
      </w:tr>
      <w:tr w14:paraId="695D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33" w:type="pct"/>
            <w:vAlign w:val="center"/>
          </w:tcPr>
          <w:p w14:paraId="79224A26">
            <w:pPr>
              <w:spacing w:line="240" w:lineRule="auto"/>
              <w:ind w:left="-18" w:leftChars="-57" w:right="-122" w:rightChars="-51" w:hanging="119" w:hangingChars="57"/>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合计</w:t>
            </w:r>
          </w:p>
        </w:tc>
        <w:tc>
          <w:tcPr>
            <w:tcW w:w="1110" w:type="pct"/>
            <w:vAlign w:val="center"/>
          </w:tcPr>
          <w:p w14:paraId="33839150">
            <w:pPr>
              <w:spacing w:line="240" w:lineRule="auto"/>
              <w:ind w:left="-18" w:leftChars="-53" w:right="-115" w:rightChars="-48" w:hanging="109" w:hangingChars="52"/>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排放标准（mg/L）</w:t>
            </w:r>
          </w:p>
        </w:tc>
        <w:tc>
          <w:tcPr>
            <w:tcW w:w="440" w:type="pct"/>
            <w:vAlign w:val="center"/>
          </w:tcPr>
          <w:p w14:paraId="596A672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1000</w:t>
            </w:r>
          </w:p>
        </w:tc>
        <w:tc>
          <w:tcPr>
            <w:tcW w:w="499" w:type="pct"/>
            <w:vAlign w:val="center"/>
          </w:tcPr>
          <w:p w14:paraId="62033840">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450</w:t>
            </w:r>
          </w:p>
        </w:tc>
        <w:tc>
          <w:tcPr>
            <w:tcW w:w="440" w:type="pct"/>
            <w:vAlign w:val="center"/>
          </w:tcPr>
          <w:p w14:paraId="3091D23B">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250</w:t>
            </w:r>
          </w:p>
        </w:tc>
        <w:tc>
          <w:tcPr>
            <w:tcW w:w="505" w:type="pct"/>
            <w:vAlign w:val="center"/>
          </w:tcPr>
          <w:p w14:paraId="653AF93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50</w:t>
            </w:r>
          </w:p>
        </w:tc>
        <w:tc>
          <w:tcPr>
            <w:tcW w:w="672" w:type="pct"/>
            <w:vAlign w:val="center"/>
          </w:tcPr>
          <w:p w14:paraId="6E485E7D">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10</w:t>
            </w:r>
          </w:p>
        </w:tc>
      </w:tr>
    </w:tbl>
    <w:p w14:paraId="5248EE56">
      <w:pPr>
        <w:ind w:firstLine="482"/>
        <w:rPr>
          <w:rFonts w:cs="Times New Roman"/>
          <w:color w:val="0D0D0D" w:themeColor="text1" w:themeTint="F2"/>
          <w:szCs w:val="24"/>
          <w14:textFill>
            <w14:solidFill>
              <w14:schemeClr w14:val="tx1">
                <w14:lumMod w14:val="95000"/>
                <w14:lumOff w14:val="5000"/>
              </w14:schemeClr>
            </w14:solidFill>
          </w14:textFill>
        </w:rPr>
      </w:pPr>
      <w:r>
        <w:rPr>
          <w:rFonts w:hint="eastAsia" w:cs="Times New Roman"/>
          <w:color w:val="0D0D0D" w:themeColor="text1" w:themeTint="F2"/>
          <w:szCs w:val="24"/>
          <w:u w:val="single"/>
          <w14:textFill>
            <w14:solidFill>
              <w14:schemeClr w14:val="tx1">
                <w14:lumMod w14:val="95000"/>
                <w14:lumOff w14:val="5000"/>
              </w14:schemeClr>
            </w14:solidFill>
          </w14:textFill>
        </w:rPr>
        <w:t>初期雨水经初期雨水池收集后泵入厂区污水处理站与生产废水一起处理达标后排入市政污水管网，生活污水经三级化粪池处理后排入市政污水管网，废水输送至钦州胜科水务有限公司污水处理厂进一步处理，废水外排须满足《石油炼制工业污染物排放标准》（GB31570-2015）及其修改单中表1间接排放标准和钦州胜科水务有限公司污水处理厂纳管标准较严值</w:t>
      </w:r>
      <w:r>
        <w:rPr>
          <w:rFonts w:hint="eastAsia" w:cs="Times New Roman"/>
          <w:color w:val="0D0D0D" w:themeColor="text1" w:themeTint="F2"/>
          <w:szCs w:val="24"/>
          <w14:textFill>
            <w14:solidFill>
              <w14:schemeClr w14:val="tx1">
                <w14:lumMod w14:val="95000"/>
                <w14:lumOff w14:val="5000"/>
              </w14:schemeClr>
            </w14:solidFill>
          </w14:textFill>
        </w:rPr>
        <w:t>。</w:t>
      </w:r>
    </w:p>
    <w:p w14:paraId="7ED9DF2A">
      <w:pPr>
        <w:pStyle w:val="10"/>
      </w:pPr>
      <w:r>
        <w:rPr>
          <w:rFonts w:hint="eastAsia"/>
        </w:rPr>
        <w:t>污水处理措施可行性分析</w:t>
      </w:r>
    </w:p>
    <w:p w14:paraId="240BB6A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项目利用废弃油脂进行生产生物柴油，生产工序与废弃资源加工中的废矿物油类似，污染因子相似，参照《排污许可证申请与核发技术规范  废弃资源加工工业》（HJ1034-2019）推荐使用的废水污染防治设施名称及工艺如下，预处理：隔油+气浮+混凝+调节，生化处理：活性污泥法、序批式活性污泥法（SBR）、缺氧/好氧（A/O）、厌氧/缺氧/好氧（A2/O）、膜生物法（MBR）、曝气生物滤池（BAF）、生物接触氧化法、其他。污水深度处理与回用：消毒、混凝、过滤、臭氧氧化、其他。</w:t>
      </w:r>
    </w:p>
    <w:p w14:paraId="35D74B9D">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项目污水处理工艺为</w:t>
      </w:r>
      <w:r>
        <w:rPr>
          <w:rFonts w:hint="eastAsia"/>
          <w:color w:val="0D0D0D" w:themeColor="text1" w:themeTint="F2"/>
          <w:szCs w:val="24"/>
          <w:u w:val="single"/>
          <w14:textFill>
            <w14:solidFill>
              <w14:schemeClr w14:val="tx1">
                <w14:lumMod w14:val="95000"/>
                <w14:lumOff w14:val="5000"/>
              </w14:schemeClr>
            </w14:solidFill>
          </w14:textFill>
        </w:rPr>
        <w:t>隔油+气浮+混凝沉淀+调节+UASB厌氧反应器+MBR膜生物反应器</w:t>
      </w:r>
      <w:r>
        <w:rPr>
          <w:rFonts w:hint="eastAsia"/>
          <w:color w:val="0D0D0D" w:themeColor="text1" w:themeTint="F2"/>
          <w:u w:val="single"/>
          <w14:textFill>
            <w14:solidFill>
              <w14:schemeClr w14:val="tx1">
                <w14:lumMod w14:val="95000"/>
                <w14:lumOff w14:val="5000"/>
              </w14:schemeClr>
            </w14:solidFill>
          </w14:textFill>
        </w:rPr>
        <w:t>，属于《排污许可证申请与核发技术规范  废弃资源加工工业》（HJ1034-2019）中推荐的污水处理措施。</w:t>
      </w:r>
    </w:p>
    <w:p w14:paraId="0B1F6546">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因此，项目废水处理工艺是可行的，建设单位在严格按照污水处理站设计处理能力设计建设相关设备，可确保项目废水实现稳定达标排放。</w:t>
      </w:r>
    </w:p>
    <w:p w14:paraId="78DA6F3C">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类比采用相似处理工艺的同类型项目《平顶山市亿鑫达生物能源有限公司年产10万吨生物柴油项目竣工环境保护验收监测报告》，该项目采用酸碱法（硫酸及氢氧化钠）作为催化剂生产生物柴油，其生产废水性质与本项目相同，废水采用“预处理（隔油沉淀+溶气气浮）+厌氧（UASB）+好氧（SBR）+深度处理（MBR）”处理工艺，污水处理工艺相似，类比数据有效。该项目污水处理站采对各污染物处理效率分别为COD99.92%、BOD</w:t>
      </w:r>
      <w:r>
        <w:rPr>
          <w:rFonts w:hint="eastAsia"/>
          <w:color w:val="0D0D0D" w:themeColor="text1" w:themeTint="F2"/>
          <w:u w:val="single"/>
          <w:vertAlign w:val="subscript"/>
          <w14:textFill>
            <w14:solidFill>
              <w14:schemeClr w14:val="tx1">
                <w14:lumMod w14:val="95000"/>
                <w14:lumOff w14:val="5000"/>
              </w14:schemeClr>
            </w14:solidFill>
          </w14:textFill>
        </w:rPr>
        <w:t>5</w:t>
      </w:r>
      <w:r>
        <w:rPr>
          <w:rFonts w:hint="eastAsia"/>
          <w:color w:val="0D0D0D" w:themeColor="text1" w:themeTint="F2"/>
          <w:u w:val="single"/>
          <w14:textFill>
            <w14:solidFill>
              <w14:schemeClr w14:val="tx1">
                <w14:lumMod w14:val="95000"/>
                <w14:lumOff w14:val="5000"/>
              </w14:schemeClr>
            </w14:solidFill>
          </w14:textFill>
        </w:rPr>
        <w:t>：99.91%、SS：99.70%、NH</w:t>
      </w:r>
      <w:r>
        <w:rPr>
          <w:rFonts w:hint="eastAsia"/>
          <w:color w:val="0D0D0D" w:themeColor="text1" w:themeTint="F2"/>
          <w:u w:val="single"/>
          <w:vertAlign w:val="sub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-N：93.66%%、动植物油：99.90%。废水经处理后污染物及浓度分别为COD：22~37mg/L、BOD</w:t>
      </w:r>
      <w:r>
        <w:rPr>
          <w:rFonts w:hint="eastAsia"/>
          <w:color w:val="0D0D0D" w:themeColor="text1" w:themeTint="F2"/>
          <w:u w:val="single"/>
          <w:vertAlign w:val="subscript"/>
          <w14:textFill>
            <w14:solidFill>
              <w14:schemeClr w14:val="tx1">
                <w14:lumMod w14:val="95000"/>
                <w14:lumOff w14:val="5000"/>
              </w14:schemeClr>
            </w14:solidFill>
          </w14:textFill>
        </w:rPr>
        <w:t>5</w:t>
      </w:r>
      <w:r>
        <w:rPr>
          <w:rFonts w:hint="eastAsia"/>
          <w:color w:val="0D0D0D" w:themeColor="text1" w:themeTint="F2"/>
          <w:u w:val="single"/>
          <w14:textFill>
            <w14:solidFill>
              <w14:schemeClr w14:val="tx1">
                <w14:lumMod w14:val="95000"/>
                <w14:lumOff w14:val="5000"/>
              </w14:schemeClr>
            </w14:solidFill>
          </w14:textFill>
        </w:rPr>
        <w:t>：10.2~16.8mg/L、SS：15~29mg/L、NH</w:t>
      </w:r>
      <w:r>
        <w:rPr>
          <w:rFonts w:hint="eastAsia"/>
          <w:color w:val="0D0D0D" w:themeColor="text1" w:themeTint="F2"/>
          <w:u w:val="single"/>
          <w:vertAlign w:val="sub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-N：2.03~4.76mg/L、动植物油：1.03~1.91mg/L。因此，项目污水处理工艺是可行的。</w:t>
      </w:r>
    </w:p>
    <w:p w14:paraId="2BB8DE5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建设单位在严格按照污水处理站设计处理能力设计建设相关设备，可确保项目废水实现稳定达标排放</w:t>
      </w:r>
      <w:r>
        <w:rPr>
          <w:rFonts w:hint="eastAsia"/>
          <w:color w:val="0D0D0D" w:themeColor="text1" w:themeTint="F2"/>
          <w14:textFill>
            <w14:solidFill>
              <w14:schemeClr w14:val="tx1">
                <w14:lumMod w14:val="95000"/>
                <w14:lumOff w14:val="5000"/>
              </w14:schemeClr>
            </w14:solidFill>
          </w14:textFill>
        </w:rPr>
        <w:t>。</w:t>
      </w:r>
    </w:p>
    <w:p w14:paraId="493AC98D">
      <w:pPr>
        <w:pStyle w:val="9"/>
      </w:pPr>
      <w:bookmarkStart w:id="222" w:name="_Toc204062678"/>
      <w:r>
        <w:rPr>
          <w:rFonts w:hint="eastAsia"/>
        </w:rPr>
        <w:t>地下水污染防治措施</w:t>
      </w:r>
      <w:bookmarkEnd w:id="222"/>
    </w:p>
    <w:p w14:paraId="5F4FC15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项目特征以及可能产生的主要污染源，如不采取合理的防治措施，污染物有可能渗入地下潜水，从而影响地下水环境。因此必须制定相应的地下水环境保护措施。项目地下水污染防治措施按照“源头控制、分区防治、污染监控、应急响应”相结合的原则，从污染物的产生、入渗、扩散、应急响应进行控制。</w:t>
      </w:r>
    </w:p>
    <w:p w14:paraId="467E2B0A">
      <w:pPr>
        <w:pStyle w:val="10"/>
      </w:pPr>
      <w:r>
        <w:rPr>
          <w:rFonts w:hint="eastAsia"/>
        </w:rPr>
        <w:t>源头控制</w:t>
      </w:r>
    </w:p>
    <w:p w14:paraId="014A3304">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（1）严格按照国家相关规范要求，采取相应的措施，以防止和降低可能污染物的跑、冒、滴、漏，将废水泄漏的环境风险事故降低到最低程度；</w:t>
      </w:r>
    </w:p>
    <w:p w14:paraId="6A603D94">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（2）加强生产运行管理，防止污染物的跑、冒、滴、漏，制定工艺、设备及处理构筑物发生渗漏等突发事故时的应急预案，将污染物泄漏的环境风险事故降到最低限度。</w:t>
      </w:r>
    </w:p>
    <w:p w14:paraId="449C6123">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跑冒滴漏是污染物主要的泄漏方式，如果处理不当或是不及时，就有可能污染地下水。针对污染物的跑冒滴漏，提出如下防治措施：</w:t>
      </w:r>
    </w:p>
    <w:p w14:paraId="524DD2E3">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①要有专职人员每天巡视、检查可能发生泄漏的区域，及时发现跑、冒、滴、漏情况，一经发现污染物泄漏，立即清除被污染的土壤，阻止污染物进一步下渗。</w:t>
      </w:r>
    </w:p>
    <w:p w14:paraId="15E88273">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②在重要的生产或仓储区域设置重点防渗，从源头控制污染物的泄漏。</w:t>
      </w:r>
    </w:p>
    <w:p w14:paraId="0AE7AE2F">
      <w:pPr>
        <w:pStyle w:val="10"/>
      </w:pPr>
      <w:r>
        <w:rPr>
          <w:rFonts w:hint="eastAsia"/>
        </w:rPr>
        <w:t>分区防渗措施</w:t>
      </w:r>
    </w:p>
    <w:p w14:paraId="5CD5B07F">
      <w:pPr>
        <w:ind w:firstLine="480" w:firstLineChars="200"/>
        <w:rPr>
          <w:rFonts w:cs="Times New Roman"/>
          <w:color w:val="0D0D0D" w:themeColor="text1" w:themeTint="F2"/>
          <w:kern w:val="0"/>
          <w:szCs w:val="24"/>
          <w:u w:val="single"/>
          <w14:textFill>
            <w14:solidFill>
              <w14:schemeClr w14:val="tx1">
                <w14:lumMod w14:val="95000"/>
                <w14:lumOff w14:val="5000"/>
              </w14:schemeClr>
            </w14:solidFill>
          </w14:textFill>
        </w:rPr>
      </w:pPr>
      <w:r>
        <w:rPr>
          <w:rFonts w:hint="eastAsia" w:cs="Times New Roman"/>
          <w:color w:val="0D0D0D" w:themeColor="text1" w:themeTint="F2"/>
          <w:kern w:val="0"/>
          <w:szCs w:val="24"/>
          <w:u w:val="single"/>
          <w14:textFill>
            <w14:solidFill>
              <w14:schemeClr w14:val="tx1">
                <w14:lumMod w14:val="95000"/>
                <w14:lumOff w14:val="5000"/>
              </w14:schemeClr>
            </w14:solidFill>
          </w14:textFill>
        </w:rPr>
        <w:t>根据《环境影响评价技术导则地下水环境》（HJ610-2016）、《石油化工工程防渗技术规范》和《危险废物贮存污染控制标准》（GB18597-2023）</w:t>
      </w:r>
      <w:r>
        <w:rPr>
          <w:rFonts w:cs="Times New Roman"/>
          <w:color w:val="0D0D0D" w:themeColor="text1" w:themeTint="F2"/>
          <w:kern w:val="0"/>
          <w:szCs w:val="24"/>
          <w:u w:val="single"/>
          <w14:textFill>
            <w14:solidFill>
              <w14:schemeClr w14:val="tx1">
                <w14:lumMod w14:val="95000"/>
                <w14:lumOff w14:val="5000"/>
              </w14:schemeClr>
            </w14:solidFill>
          </w14:textFill>
        </w:rPr>
        <w:t>，结合地下水环境影响评价结果，提出地下水污染防控方案优化调整的建议，给出不同分区的具体防渗技术要求。</w:t>
      </w:r>
    </w:p>
    <w:p w14:paraId="71DFD6FD">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cs="Times New Roman"/>
          <w:color w:val="0D0D0D" w:themeColor="text1" w:themeTint="F2"/>
          <w:kern w:val="0"/>
          <w:szCs w:val="24"/>
          <w14:textFill>
            <w14:solidFill>
              <w14:schemeClr w14:val="tx1">
                <w14:lumMod w14:val="95000"/>
                <w14:lumOff w14:val="5000"/>
              </w14:schemeClr>
            </w14:solidFill>
          </w14:textFill>
        </w:rPr>
        <w:t>项目属于新建项目，本次对新建构筑物进行防渗分区。地下水防渗应以水平防渗为主。防控措施应满足以下要求：</w:t>
      </w:r>
    </w:p>
    <w:p w14:paraId="3347A305">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cs="Times New Roman"/>
          <w:color w:val="0D0D0D" w:themeColor="text1" w:themeTint="F2"/>
          <w:kern w:val="0"/>
          <w:szCs w:val="24"/>
          <w14:textFill>
            <w14:solidFill>
              <w14:schemeClr w14:val="tx1">
                <w14:lumMod w14:val="95000"/>
                <w14:lumOff w14:val="5000"/>
              </w14:schemeClr>
            </w14:solidFill>
          </w14:textFill>
        </w:rPr>
        <w:t>（1）己颁布污染控制国家标准或防渗技术规范的行业，水平防渗技术要求按照相应标准或规范执行。如GB16889、GB18597、GB18598、GB18599、GB/T50934等；</w:t>
      </w:r>
    </w:p>
    <w:p w14:paraId="5E45D201">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cs="Times New Roman"/>
          <w:color w:val="0D0D0D" w:themeColor="text1" w:themeTint="F2"/>
          <w:kern w:val="0"/>
          <w:szCs w:val="24"/>
          <w14:textFill>
            <w14:solidFill>
              <w14:schemeClr w14:val="tx1">
                <w14:lumMod w14:val="95000"/>
                <w14:lumOff w14:val="5000"/>
              </w14:schemeClr>
            </w14:solidFill>
          </w14:textFill>
        </w:rPr>
        <w:t>（2）未颁布相关标准的行业，根据预测结果和场地包气带特征及其防污性能，提出防渗技术要求；或根据</w:t>
      </w:r>
      <w:r>
        <w:rPr>
          <w:rFonts w:hint="eastAsia" w:cs="Times New Roman"/>
          <w:color w:val="0D0D0D" w:themeColor="text1" w:themeTint="F2"/>
          <w:kern w:val="0"/>
          <w:szCs w:val="24"/>
          <w:lang w:eastAsia="zh-CN"/>
          <w14:textFill>
            <w14:solidFill>
              <w14:schemeClr w14:val="tx1">
                <w14:lumMod w14:val="95000"/>
                <w14:lumOff w14:val="5000"/>
              </w14:schemeClr>
            </w14:solidFill>
          </w14:textFill>
        </w:rPr>
        <w:t>建设项目</w:t>
      </w:r>
      <w:r>
        <w:rPr>
          <w:rFonts w:cs="Times New Roman"/>
          <w:color w:val="0D0D0D" w:themeColor="text1" w:themeTint="F2"/>
          <w:kern w:val="0"/>
          <w:szCs w:val="24"/>
          <w14:textFill>
            <w14:solidFill>
              <w14:schemeClr w14:val="tx1">
                <w14:lumMod w14:val="95000"/>
                <w14:lumOff w14:val="5000"/>
              </w14:schemeClr>
            </w14:solidFill>
          </w14:textFill>
        </w:rPr>
        <w:t>场地天然包气带的防污性能、污染控制难易程度和污染物特性，参照表</w:t>
      </w:r>
      <w:r>
        <w:rPr>
          <w:rFonts w:hint="eastAsia" w:cs="Times New Roman"/>
          <w:color w:val="0D0D0D" w:themeColor="text1" w:themeTint="F2"/>
          <w:kern w:val="0"/>
          <w:szCs w:val="24"/>
          <w14:textFill>
            <w14:solidFill>
              <w14:schemeClr w14:val="tx1">
                <w14:lumMod w14:val="95000"/>
                <w14:lumOff w14:val="5000"/>
              </w14:schemeClr>
            </w14:solidFill>
          </w14:textFill>
        </w:rPr>
        <w:t>7.2-5</w:t>
      </w:r>
      <w:r>
        <w:rPr>
          <w:rFonts w:cs="Times New Roman"/>
          <w:color w:val="0D0D0D" w:themeColor="text1" w:themeTint="F2"/>
          <w:kern w:val="0"/>
          <w:szCs w:val="24"/>
          <w14:textFill>
            <w14:solidFill>
              <w14:schemeClr w14:val="tx1">
                <w14:lumMod w14:val="95000"/>
                <w14:lumOff w14:val="5000"/>
              </w14:schemeClr>
            </w14:solidFill>
          </w14:textFill>
        </w:rPr>
        <w:t>提出防渗技术要求。其中污染控制难易程度分级和天然包气带防污性能分级分别参照表</w:t>
      </w:r>
      <w:r>
        <w:rPr>
          <w:rFonts w:hint="eastAsia" w:cs="Times New Roman"/>
          <w:color w:val="0D0D0D" w:themeColor="text1" w:themeTint="F2"/>
          <w:kern w:val="0"/>
          <w:szCs w:val="24"/>
          <w14:textFill>
            <w14:solidFill>
              <w14:schemeClr w14:val="tx1">
                <w14:lumMod w14:val="95000"/>
                <w14:lumOff w14:val="5000"/>
              </w14:schemeClr>
            </w14:solidFill>
          </w14:textFill>
        </w:rPr>
        <w:t>7.2-6</w:t>
      </w:r>
      <w:r>
        <w:rPr>
          <w:rFonts w:cs="Times New Roman"/>
          <w:color w:val="0D0D0D" w:themeColor="text1" w:themeTint="F2"/>
          <w:kern w:val="0"/>
          <w:szCs w:val="24"/>
          <w14:textFill>
            <w14:solidFill>
              <w14:schemeClr w14:val="tx1">
                <w14:lumMod w14:val="95000"/>
                <w14:lumOff w14:val="5000"/>
              </w14:schemeClr>
            </w14:solidFill>
          </w14:textFill>
        </w:rPr>
        <w:t>和表</w:t>
      </w:r>
      <w:r>
        <w:rPr>
          <w:rFonts w:hint="eastAsia" w:cs="Times New Roman"/>
          <w:color w:val="0D0D0D" w:themeColor="text1" w:themeTint="F2"/>
          <w:kern w:val="0"/>
          <w:szCs w:val="24"/>
          <w14:textFill>
            <w14:solidFill>
              <w14:schemeClr w14:val="tx1">
                <w14:lumMod w14:val="95000"/>
                <w14:lumOff w14:val="5000"/>
              </w14:schemeClr>
            </w14:solidFill>
          </w14:textFill>
        </w:rPr>
        <w:t>7.2-7</w:t>
      </w:r>
      <w:r>
        <w:rPr>
          <w:rFonts w:cs="Times New Roman"/>
          <w:color w:val="0D0D0D" w:themeColor="text1" w:themeTint="F2"/>
          <w:kern w:val="0"/>
          <w:szCs w:val="24"/>
          <w14:textFill>
            <w14:solidFill>
              <w14:schemeClr w14:val="tx1">
                <w14:lumMod w14:val="95000"/>
                <w14:lumOff w14:val="5000"/>
              </w14:schemeClr>
            </w14:solidFill>
          </w14:textFill>
        </w:rPr>
        <w:t>进行相关等级的确定。</w:t>
      </w:r>
    </w:p>
    <w:p w14:paraId="37964C60">
      <w:pPr>
        <w:pStyle w:val="11"/>
      </w:pPr>
      <w:r>
        <w:rPr>
          <w:rFonts w:hint="eastAsia"/>
        </w:rPr>
        <w:t xml:space="preserve"> </w:t>
      </w:r>
      <w:r>
        <w:t>地下水污染防渗分区对照表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0"/>
        <w:gridCol w:w="1647"/>
        <w:gridCol w:w="1496"/>
        <w:gridCol w:w="2317"/>
        <w:gridCol w:w="2742"/>
      </w:tblGrid>
      <w:tr w14:paraId="2428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Align w:val="center"/>
          </w:tcPr>
          <w:p w14:paraId="2B0D6E3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防渗</w:t>
            </w:r>
          </w:p>
          <w:p w14:paraId="1BFCDAD1">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分区</w:t>
            </w:r>
          </w:p>
        </w:tc>
        <w:tc>
          <w:tcPr>
            <w:tcW w:w="891" w:type="pct"/>
            <w:vAlign w:val="center"/>
          </w:tcPr>
          <w:p w14:paraId="4E633288">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天然包气带防污性能</w:t>
            </w:r>
          </w:p>
        </w:tc>
        <w:tc>
          <w:tcPr>
            <w:tcW w:w="809" w:type="pct"/>
            <w:vAlign w:val="center"/>
          </w:tcPr>
          <w:p w14:paraId="4E96647F">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污染控制难易程度</w:t>
            </w:r>
          </w:p>
        </w:tc>
        <w:tc>
          <w:tcPr>
            <w:tcW w:w="1253" w:type="pct"/>
            <w:vAlign w:val="center"/>
          </w:tcPr>
          <w:p w14:paraId="7A9A34D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污染物类型</w:t>
            </w:r>
          </w:p>
        </w:tc>
        <w:tc>
          <w:tcPr>
            <w:tcW w:w="1483" w:type="pct"/>
            <w:vAlign w:val="center"/>
          </w:tcPr>
          <w:p w14:paraId="08EA6B7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防渗技术要求</w:t>
            </w:r>
          </w:p>
        </w:tc>
      </w:tr>
      <w:tr w14:paraId="43E3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restart"/>
            <w:vAlign w:val="center"/>
          </w:tcPr>
          <w:p w14:paraId="38F3C65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重点防渗区</w:t>
            </w:r>
          </w:p>
        </w:tc>
        <w:tc>
          <w:tcPr>
            <w:tcW w:w="891" w:type="pct"/>
            <w:vAlign w:val="center"/>
          </w:tcPr>
          <w:p w14:paraId="7B0BC127">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弱</w:t>
            </w:r>
          </w:p>
        </w:tc>
        <w:tc>
          <w:tcPr>
            <w:tcW w:w="809" w:type="pct"/>
            <w:vAlign w:val="center"/>
          </w:tcPr>
          <w:p w14:paraId="0CFDEA0F">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难</w:t>
            </w:r>
          </w:p>
        </w:tc>
        <w:tc>
          <w:tcPr>
            <w:tcW w:w="1253" w:type="pct"/>
            <w:vMerge w:val="restart"/>
            <w:vAlign w:val="center"/>
          </w:tcPr>
          <w:p w14:paraId="040902B7">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重金属、持久性有机物污染物</w:t>
            </w:r>
          </w:p>
        </w:tc>
        <w:tc>
          <w:tcPr>
            <w:tcW w:w="1483" w:type="pct"/>
            <w:vMerge w:val="restart"/>
            <w:vAlign w:val="center"/>
          </w:tcPr>
          <w:p w14:paraId="3E1EEFD7">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等效黏土防渗层Mb≥6.0m，K≤1×10</w:t>
            </w:r>
            <w:r>
              <w:rPr>
                <w:rFonts w:cs="Times New Roman"/>
                <w:color w:val="0D0D0D" w:themeColor="text1" w:themeTint="F2"/>
                <w:kern w:val="0"/>
                <w:sz w:val="21"/>
                <w:szCs w:val="21"/>
                <w:vertAlign w:val="superscript"/>
                <w14:textFill>
                  <w14:solidFill>
                    <w14:schemeClr w14:val="tx1">
                      <w14:lumMod w14:val="95000"/>
                      <w14:lumOff w14:val="5000"/>
                    </w14:schemeClr>
                  </w14:solidFill>
                </w14:textFill>
              </w:rPr>
              <w:t>-7</w:t>
            </w:r>
            <w:r>
              <w:rPr>
                <w:rFonts w:cs="Times New Roman"/>
                <w:color w:val="0D0D0D" w:themeColor="text1" w:themeTint="F2"/>
                <w:kern w:val="0"/>
                <w:sz w:val="21"/>
                <w:szCs w:val="21"/>
                <w14:textFill>
                  <w14:solidFill>
                    <w14:schemeClr w14:val="tx1">
                      <w14:lumMod w14:val="95000"/>
                      <w14:lumOff w14:val="5000"/>
                    </w14:schemeClr>
                  </w14:solidFill>
                </w14:textFill>
              </w:rPr>
              <w:t>cm/s；或参照GB18598执行</w:t>
            </w:r>
          </w:p>
        </w:tc>
      </w:tr>
      <w:tr w14:paraId="3AD49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vAlign w:val="center"/>
          </w:tcPr>
          <w:p w14:paraId="15EA6B1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891" w:type="pct"/>
            <w:vAlign w:val="center"/>
          </w:tcPr>
          <w:p w14:paraId="5D1AD73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中-强</w:t>
            </w:r>
          </w:p>
        </w:tc>
        <w:tc>
          <w:tcPr>
            <w:tcW w:w="809" w:type="pct"/>
            <w:vAlign w:val="center"/>
          </w:tcPr>
          <w:p w14:paraId="69BE9FCF">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难</w:t>
            </w:r>
          </w:p>
        </w:tc>
        <w:tc>
          <w:tcPr>
            <w:tcW w:w="1253" w:type="pct"/>
            <w:vMerge w:val="continue"/>
            <w:vAlign w:val="center"/>
          </w:tcPr>
          <w:p w14:paraId="5105B1B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1483" w:type="pct"/>
            <w:vMerge w:val="continue"/>
            <w:vAlign w:val="center"/>
          </w:tcPr>
          <w:p w14:paraId="627EF046">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p>
        </w:tc>
      </w:tr>
      <w:tr w14:paraId="129F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vAlign w:val="center"/>
          </w:tcPr>
          <w:p w14:paraId="096CB02D">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891" w:type="pct"/>
            <w:vAlign w:val="center"/>
          </w:tcPr>
          <w:p w14:paraId="29AF72F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弱</w:t>
            </w:r>
          </w:p>
        </w:tc>
        <w:tc>
          <w:tcPr>
            <w:tcW w:w="809" w:type="pct"/>
            <w:vAlign w:val="center"/>
          </w:tcPr>
          <w:p w14:paraId="4ADAEFB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易</w:t>
            </w:r>
          </w:p>
        </w:tc>
        <w:tc>
          <w:tcPr>
            <w:tcW w:w="1253" w:type="pct"/>
            <w:vMerge w:val="continue"/>
            <w:vAlign w:val="center"/>
          </w:tcPr>
          <w:p w14:paraId="4C2ADB81">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1483" w:type="pct"/>
            <w:vMerge w:val="continue"/>
            <w:vAlign w:val="center"/>
          </w:tcPr>
          <w:p w14:paraId="2333BB28">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p>
        </w:tc>
      </w:tr>
      <w:tr w14:paraId="3CE54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restart"/>
            <w:vAlign w:val="center"/>
          </w:tcPr>
          <w:p w14:paraId="147452E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一般防渗区</w:t>
            </w:r>
          </w:p>
        </w:tc>
        <w:tc>
          <w:tcPr>
            <w:tcW w:w="891" w:type="pct"/>
            <w:vAlign w:val="center"/>
          </w:tcPr>
          <w:p w14:paraId="4D9DE93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弱</w:t>
            </w:r>
          </w:p>
        </w:tc>
        <w:tc>
          <w:tcPr>
            <w:tcW w:w="809" w:type="pct"/>
            <w:vAlign w:val="center"/>
          </w:tcPr>
          <w:p w14:paraId="3E09001B">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易</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难</w:t>
            </w:r>
          </w:p>
        </w:tc>
        <w:tc>
          <w:tcPr>
            <w:tcW w:w="1253" w:type="pct"/>
            <w:vMerge w:val="restart"/>
            <w:vAlign w:val="center"/>
          </w:tcPr>
          <w:p w14:paraId="7A55E1D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其他类型</w:t>
            </w:r>
          </w:p>
        </w:tc>
        <w:tc>
          <w:tcPr>
            <w:tcW w:w="1483" w:type="pct"/>
            <w:vMerge w:val="restart"/>
            <w:vAlign w:val="center"/>
          </w:tcPr>
          <w:p w14:paraId="6AA451DC">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等效黏土防渗层Mb≥1.5m，K≤1×10</w:t>
            </w:r>
            <w:r>
              <w:rPr>
                <w:rFonts w:cs="Times New Roman"/>
                <w:color w:val="0D0D0D" w:themeColor="text1" w:themeTint="F2"/>
                <w:kern w:val="0"/>
                <w:sz w:val="21"/>
                <w:szCs w:val="21"/>
                <w:vertAlign w:val="superscript"/>
                <w14:textFill>
                  <w14:solidFill>
                    <w14:schemeClr w14:val="tx1">
                      <w14:lumMod w14:val="95000"/>
                      <w14:lumOff w14:val="5000"/>
                    </w14:schemeClr>
                  </w14:solidFill>
                </w14:textFill>
              </w:rPr>
              <w:t>-7</w:t>
            </w:r>
            <w:r>
              <w:rPr>
                <w:rFonts w:cs="Times New Roman"/>
                <w:color w:val="0D0D0D" w:themeColor="text1" w:themeTint="F2"/>
                <w:kern w:val="0"/>
                <w:sz w:val="21"/>
                <w:szCs w:val="21"/>
                <w14:textFill>
                  <w14:solidFill>
                    <w14:schemeClr w14:val="tx1">
                      <w14:lumMod w14:val="95000"/>
                      <w14:lumOff w14:val="5000"/>
                    </w14:schemeClr>
                  </w14:solidFill>
                </w14:textFill>
              </w:rPr>
              <w:t>cm/s；或参照GB16889执行</w:t>
            </w:r>
          </w:p>
        </w:tc>
      </w:tr>
      <w:tr w14:paraId="21520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vAlign w:val="center"/>
          </w:tcPr>
          <w:p w14:paraId="43D6174B">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891" w:type="pct"/>
            <w:vAlign w:val="center"/>
          </w:tcPr>
          <w:p w14:paraId="074873A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中-强</w:t>
            </w:r>
          </w:p>
        </w:tc>
        <w:tc>
          <w:tcPr>
            <w:tcW w:w="809" w:type="pct"/>
            <w:vAlign w:val="center"/>
          </w:tcPr>
          <w:p w14:paraId="0189E4F4">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难</w:t>
            </w:r>
          </w:p>
        </w:tc>
        <w:tc>
          <w:tcPr>
            <w:tcW w:w="1253" w:type="pct"/>
            <w:vMerge w:val="continue"/>
            <w:vAlign w:val="center"/>
          </w:tcPr>
          <w:p w14:paraId="22210DD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1483" w:type="pct"/>
            <w:vMerge w:val="continue"/>
            <w:vAlign w:val="center"/>
          </w:tcPr>
          <w:p w14:paraId="691D3A49">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r>
      <w:tr w14:paraId="74A95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vAlign w:val="center"/>
          </w:tcPr>
          <w:p w14:paraId="62467484">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891" w:type="pct"/>
            <w:vAlign w:val="center"/>
          </w:tcPr>
          <w:p w14:paraId="43F0DDEB">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中</w:t>
            </w:r>
          </w:p>
        </w:tc>
        <w:tc>
          <w:tcPr>
            <w:tcW w:w="809" w:type="pct"/>
            <w:vAlign w:val="center"/>
          </w:tcPr>
          <w:p w14:paraId="0A7E64C7">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易</w:t>
            </w:r>
          </w:p>
        </w:tc>
        <w:tc>
          <w:tcPr>
            <w:tcW w:w="1253" w:type="pct"/>
            <w:vMerge w:val="restart"/>
            <w:vAlign w:val="center"/>
          </w:tcPr>
          <w:p w14:paraId="2DECE90E">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重金属、持久性有机物污染物</w:t>
            </w:r>
          </w:p>
        </w:tc>
        <w:tc>
          <w:tcPr>
            <w:tcW w:w="1483" w:type="pct"/>
            <w:vMerge w:val="continue"/>
            <w:vAlign w:val="center"/>
          </w:tcPr>
          <w:p w14:paraId="74B591D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r>
      <w:tr w14:paraId="714C0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vAlign w:val="center"/>
          </w:tcPr>
          <w:p w14:paraId="201E4DE4">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891" w:type="pct"/>
            <w:vAlign w:val="center"/>
          </w:tcPr>
          <w:p w14:paraId="459EDAC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强</w:t>
            </w:r>
          </w:p>
        </w:tc>
        <w:tc>
          <w:tcPr>
            <w:tcW w:w="809" w:type="pct"/>
            <w:vAlign w:val="center"/>
          </w:tcPr>
          <w:p w14:paraId="7A3AD70E">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易</w:t>
            </w:r>
          </w:p>
        </w:tc>
        <w:tc>
          <w:tcPr>
            <w:tcW w:w="1253" w:type="pct"/>
            <w:vMerge w:val="continue"/>
            <w:vAlign w:val="center"/>
          </w:tcPr>
          <w:p w14:paraId="3E59361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c>
          <w:tcPr>
            <w:tcW w:w="1483" w:type="pct"/>
            <w:vMerge w:val="continue"/>
            <w:vAlign w:val="center"/>
          </w:tcPr>
          <w:p w14:paraId="7F7CC986">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p>
        </w:tc>
      </w:tr>
      <w:tr w14:paraId="372F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Align w:val="center"/>
          </w:tcPr>
          <w:p w14:paraId="0D30FFF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简单防渗区</w:t>
            </w:r>
          </w:p>
        </w:tc>
        <w:tc>
          <w:tcPr>
            <w:tcW w:w="891" w:type="pct"/>
            <w:vAlign w:val="center"/>
          </w:tcPr>
          <w:p w14:paraId="2BD805FD">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中-强</w:t>
            </w:r>
          </w:p>
        </w:tc>
        <w:tc>
          <w:tcPr>
            <w:tcW w:w="809" w:type="pct"/>
            <w:vAlign w:val="center"/>
          </w:tcPr>
          <w:p w14:paraId="196A864A">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易</w:t>
            </w:r>
          </w:p>
        </w:tc>
        <w:tc>
          <w:tcPr>
            <w:tcW w:w="1253" w:type="pct"/>
            <w:vAlign w:val="center"/>
          </w:tcPr>
          <w:p w14:paraId="26AE9462">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其他类型</w:t>
            </w:r>
          </w:p>
        </w:tc>
        <w:tc>
          <w:tcPr>
            <w:tcW w:w="1483" w:type="pct"/>
            <w:vAlign w:val="center"/>
          </w:tcPr>
          <w:p w14:paraId="127F42BB">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一般地面硬化</w:t>
            </w:r>
          </w:p>
        </w:tc>
      </w:tr>
    </w:tbl>
    <w:p w14:paraId="0A0AE7AD">
      <w:pPr>
        <w:pStyle w:val="2"/>
        <w:ind w:firstLine="240"/>
        <w:rPr>
          <w:rFonts w:cstheme="majorBidi"/>
          <w:color w:val="0D0D0D" w:themeColor="text1" w:themeTint="F2"/>
          <w:sz w:val="21"/>
          <w:szCs w:val="21"/>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14:paraId="3AEEA13B">
      <w:pPr>
        <w:pStyle w:val="11"/>
      </w:pPr>
      <w:r>
        <w:rPr>
          <w:rFonts w:hint="eastAsia"/>
        </w:rPr>
        <w:t xml:space="preserve"> </w:t>
      </w:r>
      <w:r>
        <w:t>污染控制难易程度分级参照表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3"/>
        <w:gridCol w:w="7159"/>
      </w:tblGrid>
      <w:tr w14:paraId="5CC44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7" w:type="pct"/>
            <w:vAlign w:val="center"/>
          </w:tcPr>
          <w:p w14:paraId="6FAC39CF">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污染控制难易程度</w:t>
            </w:r>
          </w:p>
        </w:tc>
        <w:tc>
          <w:tcPr>
            <w:tcW w:w="3873" w:type="pct"/>
            <w:vAlign w:val="center"/>
          </w:tcPr>
          <w:p w14:paraId="3D32B13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主要特征</w:t>
            </w:r>
          </w:p>
        </w:tc>
      </w:tr>
      <w:tr w14:paraId="78D67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7" w:type="pct"/>
            <w:vAlign w:val="center"/>
          </w:tcPr>
          <w:p w14:paraId="704B1231">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难</w:t>
            </w:r>
          </w:p>
        </w:tc>
        <w:tc>
          <w:tcPr>
            <w:tcW w:w="3873" w:type="pct"/>
            <w:vAlign w:val="center"/>
          </w:tcPr>
          <w:p w14:paraId="0B05CEAD">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对地下水环境有污染的物料或污染物泄漏后，不能及时发现和处理。</w:t>
            </w:r>
          </w:p>
        </w:tc>
      </w:tr>
      <w:tr w14:paraId="2BE37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7" w:type="pct"/>
            <w:vAlign w:val="center"/>
          </w:tcPr>
          <w:p w14:paraId="5618E4BD">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易</w:t>
            </w:r>
          </w:p>
        </w:tc>
        <w:tc>
          <w:tcPr>
            <w:tcW w:w="3873" w:type="pct"/>
            <w:vAlign w:val="center"/>
          </w:tcPr>
          <w:p w14:paraId="140C0333">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对地下水环境有污染的物料或污染物泄漏后，可及时发现和处理。</w:t>
            </w:r>
          </w:p>
        </w:tc>
      </w:tr>
    </w:tbl>
    <w:p w14:paraId="51065570">
      <w:pPr>
        <w:pStyle w:val="11"/>
      </w:pPr>
      <w:r>
        <w:rPr>
          <w:rFonts w:hint="eastAsia"/>
        </w:rPr>
        <w:t xml:space="preserve"> </w:t>
      </w:r>
      <w:r>
        <w:t>天然包气带防污性能分级参照表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8597"/>
      </w:tblGrid>
      <w:tr w14:paraId="4237D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9" w:type="pct"/>
            <w:vAlign w:val="center"/>
          </w:tcPr>
          <w:p w14:paraId="7B088565">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分级</w:t>
            </w:r>
          </w:p>
        </w:tc>
        <w:tc>
          <w:tcPr>
            <w:tcW w:w="4651" w:type="pct"/>
            <w:vAlign w:val="center"/>
          </w:tcPr>
          <w:p w14:paraId="10F2807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包气带岩土的渗透性能</w:t>
            </w:r>
          </w:p>
        </w:tc>
      </w:tr>
      <w:tr w14:paraId="46DFB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9" w:type="pct"/>
            <w:vAlign w:val="center"/>
          </w:tcPr>
          <w:p w14:paraId="72D4FA2D">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强</w:t>
            </w:r>
          </w:p>
        </w:tc>
        <w:tc>
          <w:tcPr>
            <w:tcW w:w="4651" w:type="pct"/>
            <w:vAlign w:val="center"/>
          </w:tcPr>
          <w:p w14:paraId="6F8E7307">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岩（土）层单层厚度Mb≥1.0m，渗透系数K≤1×10</w:t>
            </w:r>
            <w:r>
              <w:rPr>
                <w:rFonts w:cs="Times New Roman"/>
                <w:color w:val="0D0D0D" w:themeColor="text1" w:themeTint="F2"/>
                <w:kern w:val="0"/>
                <w:sz w:val="21"/>
                <w:szCs w:val="21"/>
                <w:vertAlign w:val="superscript"/>
                <w14:textFill>
                  <w14:solidFill>
                    <w14:schemeClr w14:val="tx1">
                      <w14:lumMod w14:val="95000"/>
                      <w14:lumOff w14:val="5000"/>
                    </w14:schemeClr>
                  </w14:solidFill>
                </w14:textFill>
              </w:rPr>
              <w:t>-6</w:t>
            </w:r>
            <w:r>
              <w:rPr>
                <w:rFonts w:cs="Times New Roman"/>
                <w:color w:val="0D0D0D" w:themeColor="text1" w:themeTint="F2"/>
                <w:kern w:val="0"/>
                <w:sz w:val="21"/>
                <w:szCs w:val="21"/>
                <w14:textFill>
                  <w14:solidFill>
                    <w14:schemeClr w14:val="tx1">
                      <w14:lumMod w14:val="95000"/>
                      <w14:lumOff w14:val="5000"/>
                    </w14:schemeClr>
                  </w14:solidFill>
                </w14:textFill>
              </w:rPr>
              <w:t>cm/s，且分布连续、稳定</w:t>
            </w:r>
          </w:p>
        </w:tc>
      </w:tr>
      <w:tr w14:paraId="7FDF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9" w:type="pct"/>
            <w:vAlign w:val="center"/>
          </w:tcPr>
          <w:p w14:paraId="0F530B9C">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中</w:t>
            </w:r>
          </w:p>
        </w:tc>
        <w:tc>
          <w:tcPr>
            <w:tcW w:w="4651" w:type="pct"/>
            <w:vAlign w:val="center"/>
          </w:tcPr>
          <w:p w14:paraId="7FF11039">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岩（土）层单层厚度0.5m≤Mb&lt;1.0m，渗透系数K≤1×10</w:t>
            </w:r>
            <w:r>
              <w:rPr>
                <w:rFonts w:cs="Times New Roman"/>
                <w:color w:val="0D0D0D" w:themeColor="text1" w:themeTint="F2"/>
                <w:kern w:val="0"/>
                <w:sz w:val="21"/>
                <w:szCs w:val="21"/>
                <w:vertAlign w:val="superscript"/>
                <w14:textFill>
                  <w14:solidFill>
                    <w14:schemeClr w14:val="tx1">
                      <w14:lumMod w14:val="95000"/>
                      <w14:lumOff w14:val="5000"/>
                    </w14:schemeClr>
                  </w14:solidFill>
                </w14:textFill>
              </w:rPr>
              <w:t>-6</w:t>
            </w:r>
            <w:r>
              <w:rPr>
                <w:rFonts w:cs="Times New Roman"/>
                <w:color w:val="0D0D0D" w:themeColor="text1" w:themeTint="F2"/>
                <w:kern w:val="0"/>
                <w:sz w:val="21"/>
                <w:szCs w:val="21"/>
                <w14:textFill>
                  <w14:solidFill>
                    <w14:schemeClr w14:val="tx1">
                      <w14:lumMod w14:val="95000"/>
                      <w14:lumOff w14:val="5000"/>
                    </w14:schemeClr>
                  </w14:solidFill>
                </w14:textFill>
              </w:rPr>
              <w:t>cm/s，且分布连续、稳定；</w:t>
            </w:r>
          </w:p>
          <w:p w14:paraId="5E084F85">
            <w:pPr>
              <w:spacing w:line="240" w:lineRule="auto"/>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岩（土）层单层厚度Mb≥1.0m，渗透系数1×10</w:t>
            </w:r>
            <w:r>
              <w:rPr>
                <w:rFonts w:cs="Times New Roman"/>
                <w:color w:val="0D0D0D" w:themeColor="text1" w:themeTint="F2"/>
                <w:kern w:val="0"/>
                <w:sz w:val="21"/>
                <w:szCs w:val="21"/>
                <w:vertAlign w:val="superscript"/>
                <w14:textFill>
                  <w14:solidFill>
                    <w14:schemeClr w14:val="tx1">
                      <w14:lumMod w14:val="95000"/>
                      <w14:lumOff w14:val="5000"/>
                    </w14:schemeClr>
                  </w14:solidFill>
                </w14:textFill>
              </w:rPr>
              <w:t>-6</w:t>
            </w:r>
            <w:r>
              <w:rPr>
                <w:rFonts w:cs="Times New Roman"/>
                <w:color w:val="0D0D0D" w:themeColor="text1" w:themeTint="F2"/>
                <w:kern w:val="0"/>
                <w:sz w:val="21"/>
                <w:szCs w:val="21"/>
                <w14:textFill>
                  <w14:solidFill>
                    <w14:schemeClr w14:val="tx1">
                      <w14:lumMod w14:val="95000"/>
                      <w14:lumOff w14:val="5000"/>
                    </w14:schemeClr>
                  </w14:solidFill>
                </w14:textFill>
              </w:rPr>
              <w:t>cm/s&lt;K≤1×10</w:t>
            </w:r>
            <w:r>
              <w:rPr>
                <w:rFonts w:cs="Times New Roman"/>
                <w:color w:val="0D0D0D" w:themeColor="text1" w:themeTint="F2"/>
                <w:kern w:val="0"/>
                <w:sz w:val="21"/>
                <w:szCs w:val="21"/>
                <w:vertAlign w:val="superscript"/>
                <w14:textFill>
                  <w14:solidFill>
                    <w14:schemeClr w14:val="tx1">
                      <w14:lumMod w14:val="95000"/>
                      <w14:lumOff w14:val="5000"/>
                    </w14:schemeClr>
                  </w14:solidFill>
                </w14:textFill>
              </w:rPr>
              <w:t>-4</w:t>
            </w:r>
            <w:r>
              <w:rPr>
                <w:rFonts w:cs="Times New Roman"/>
                <w:color w:val="0D0D0D" w:themeColor="text1" w:themeTint="F2"/>
                <w:kern w:val="0"/>
                <w:sz w:val="21"/>
                <w:szCs w:val="21"/>
                <w14:textFill>
                  <w14:solidFill>
                    <w14:schemeClr w14:val="tx1">
                      <w14:lumMod w14:val="95000"/>
                      <w14:lumOff w14:val="5000"/>
                    </w14:schemeClr>
                  </w14:solidFill>
                </w14:textFill>
              </w:rPr>
              <w:t>cm/s，且分布连续、稳定。</w:t>
            </w:r>
          </w:p>
        </w:tc>
      </w:tr>
      <w:tr w14:paraId="7F2C7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9" w:type="pct"/>
            <w:vAlign w:val="center"/>
          </w:tcPr>
          <w:p w14:paraId="3C8CF34E">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弱</w:t>
            </w:r>
          </w:p>
        </w:tc>
        <w:tc>
          <w:tcPr>
            <w:tcW w:w="4651" w:type="pct"/>
            <w:vAlign w:val="center"/>
          </w:tcPr>
          <w:p w14:paraId="065ED560">
            <w:pPr>
              <w:spacing w:line="240" w:lineRule="auto"/>
              <w:jc w:val="center"/>
              <w:rPr>
                <w:rFonts w:cs="Times New Roman"/>
                <w:color w:val="0D0D0D" w:themeColor="text1" w:themeTint="F2"/>
                <w:kern w:val="0"/>
                <w:sz w:val="21"/>
                <w:szCs w:val="21"/>
                <w14:textFill>
                  <w14:solidFill>
                    <w14:schemeClr w14:val="tx1">
                      <w14:lumMod w14:val="95000"/>
                      <w14:lumOff w14:val="5000"/>
                    </w14:schemeClr>
                  </w14:solidFill>
                </w14:textFill>
              </w:rPr>
            </w:pPr>
            <w:r>
              <w:rPr>
                <w:rFonts w:cs="Times New Roman"/>
                <w:color w:val="0D0D0D" w:themeColor="text1" w:themeTint="F2"/>
                <w:kern w:val="0"/>
                <w:sz w:val="21"/>
                <w:szCs w:val="21"/>
                <w14:textFill>
                  <w14:solidFill>
                    <w14:schemeClr w14:val="tx1">
                      <w14:lumMod w14:val="95000"/>
                      <w14:lumOff w14:val="5000"/>
                    </w14:schemeClr>
                  </w14:solidFill>
                </w14:textFill>
              </w:rPr>
              <w:t>岩（土）层不满足上述</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强</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和</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中</w:t>
            </w:r>
            <w:r>
              <w:rPr>
                <w:rFonts w:hint="eastAsia" w:cs="Times New Roman"/>
                <w:color w:val="0D0D0D" w:themeColor="text1" w:themeTint="F2"/>
                <w:kern w:val="0"/>
                <w:sz w:val="21"/>
                <w:szCs w:val="21"/>
                <w14:textFill>
                  <w14:solidFill>
                    <w14:schemeClr w14:val="tx1">
                      <w14:lumMod w14:val="95000"/>
                      <w14:lumOff w14:val="5000"/>
                    </w14:schemeClr>
                  </w14:solidFill>
                </w14:textFill>
              </w:rPr>
              <w:t>”</w:t>
            </w:r>
            <w:r>
              <w:rPr>
                <w:rFonts w:cs="Times New Roman"/>
                <w:color w:val="0D0D0D" w:themeColor="text1" w:themeTint="F2"/>
                <w:kern w:val="0"/>
                <w:sz w:val="21"/>
                <w:szCs w:val="21"/>
                <w14:textFill>
                  <w14:solidFill>
                    <w14:schemeClr w14:val="tx1">
                      <w14:lumMod w14:val="95000"/>
                      <w14:lumOff w14:val="5000"/>
                    </w14:schemeClr>
                  </w14:solidFill>
                </w14:textFill>
              </w:rPr>
              <w:t>条件。</w:t>
            </w:r>
          </w:p>
        </w:tc>
      </w:tr>
    </w:tbl>
    <w:p w14:paraId="53FA1896">
      <w:pPr>
        <w:pStyle w:val="11"/>
      </w:pPr>
      <w:r>
        <w:rPr>
          <w:rFonts w:hint="eastAsia"/>
        </w:rPr>
        <w:t xml:space="preserve"> 项目地下水分区防渗一览表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1612"/>
        <w:gridCol w:w="1022"/>
        <w:gridCol w:w="952"/>
        <w:gridCol w:w="4913"/>
      </w:tblGrid>
      <w:tr w14:paraId="1AC4A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2" w:type="pct"/>
            <w:vAlign w:val="center"/>
          </w:tcPr>
          <w:p w14:paraId="149A3F36">
            <w:pPr>
              <w:spacing w:line="240" w:lineRule="auto"/>
              <w:jc w:val="center"/>
              <w:rPr>
                <w:rFonts w:cs="Times New Roman"/>
                <w:bCs/>
                <w:color w:val="0D0D0D" w:themeColor="text1" w:themeTint="F2"/>
                <w:spacing w:val="12"/>
                <w:sz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u w:val="single"/>
                <w14:textFill>
                  <w14:solidFill>
                    <w14:schemeClr w14:val="tx1">
                      <w14:lumMod w14:val="95000"/>
                      <w14:lumOff w14:val="5000"/>
                    </w14:schemeClr>
                  </w14:solidFill>
                </w14:textFill>
              </w:rPr>
              <w:t>防渗分区</w:t>
            </w:r>
          </w:p>
        </w:tc>
        <w:tc>
          <w:tcPr>
            <w:tcW w:w="872" w:type="pct"/>
            <w:vAlign w:val="center"/>
          </w:tcPr>
          <w:p w14:paraId="7C77BA4E">
            <w:pPr>
              <w:spacing w:line="240" w:lineRule="auto"/>
              <w:jc w:val="center"/>
              <w:rPr>
                <w:rFonts w:cs="Times New Roman"/>
                <w:bCs/>
                <w:color w:val="0D0D0D" w:themeColor="text1" w:themeTint="F2"/>
                <w:spacing w:val="12"/>
                <w:sz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u w:val="single"/>
                <w14:textFill>
                  <w14:solidFill>
                    <w14:schemeClr w14:val="tx1">
                      <w14:lumMod w14:val="95000"/>
                      <w14:lumOff w14:val="5000"/>
                    </w14:schemeClr>
                  </w14:solidFill>
                </w14:textFill>
              </w:rPr>
              <w:t>名称</w:t>
            </w:r>
          </w:p>
        </w:tc>
        <w:tc>
          <w:tcPr>
            <w:tcW w:w="553" w:type="pct"/>
            <w:vAlign w:val="center"/>
          </w:tcPr>
          <w:p w14:paraId="18332B50">
            <w:pPr>
              <w:spacing w:line="240" w:lineRule="auto"/>
              <w:jc w:val="center"/>
              <w:rPr>
                <w:rFonts w:cs="Times New Roman"/>
                <w:bCs/>
                <w:color w:val="0D0D0D" w:themeColor="text1" w:themeTint="F2"/>
                <w:spacing w:val="12"/>
                <w:sz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u w:val="single"/>
                <w14:textFill>
                  <w14:solidFill>
                    <w14:schemeClr w14:val="tx1">
                      <w14:lumMod w14:val="95000"/>
                      <w14:lumOff w14:val="5000"/>
                    </w14:schemeClr>
                  </w14:solidFill>
                </w14:textFill>
              </w:rPr>
              <w:t>天然包气带防污性能</w:t>
            </w:r>
          </w:p>
        </w:tc>
        <w:tc>
          <w:tcPr>
            <w:tcW w:w="515" w:type="pct"/>
            <w:vAlign w:val="center"/>
          </w:tcPr>
          <w:p w14:paraId="7E1161F8">
            <w:pPr>
              <w:spacing w:line="240" w:lineRule="auto"/>
              <w:jc w:val="center"/>
              <w:rPr>
                <w:rFonts w:cs="Times New Roman"/>
                <w:bCs/>
                <w:color w:val="0D0D0D" w:themeColor="text1" w:themeTint="F2"/>
                <w:spacing w:val="12"/>
                <w:sz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u w:val="single"/>
                <w14:textFill>
                  <w14:solidFill>
                    <w14:schemeClr w14:val="tx1">
                      <w14:lumMod w14:val="95000"/>
                      <w14:lumOff w14:val="5000"/>
                    </w14:schemeClr>
                  </w14:solidFill>
                </w14:textFill>
              </w:rPr>
              <w:t>污染控制难易程度</w:t>
            </w:r>
          </w:p>
        </w:tc>
        <w:tc>
          <w:tcPr>
            <w:tcW w:w="2658" w:type="pct"/>
            <w:vAlign w:val="center"/>
          </w:tcPr>
          <w:p w14:paraId="7BE852FD">
            <w:pPr>
              <w:spacing w:line="240" w:lineRule="auto"/>
              <w:jc w:val="center"/>
              <w:rPr>
                <w:rFonts w:cs="Times New Roman"/>
                <w:bCs/>
                <w:color w:val="0D0D0D" w:themeColor="text1" w:themeTint="F2"/>
                <w:spacing w:val="12"/>
                <w:sz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u w:val="single"/>
                <w14:textFill>
                  <w14:solidFill>
                    <w14:schemeClr w14:val="tx1">
                      <w14:lumMod w14:val="95000"/>
                      <w14:lumOff w14:val="5000"/>
                    </w14:schemeClr>
                  </w14:solidFill>
                </w14:textFill>
              </w:rPr>
              <w:t>防渗技术要求</w:t>
            </w:r>
          </w:p>
        </w:tc>
      </w:tr>
      <w:tr w14:paraId="60AF4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2" w:type="pct"/>
            <w:vAlign w:val="center"/>
          </w:tcPr>
          <w:p w14:paraId="04BAAB41">
            <w:pPr>
              <w:spacing w:line="240" w:lineRule="auto"/>
              <w:jc w:val="center"/>
              <w:rPr>
                <w:rFonts w:cs="Times New Roman"/>
                <w:bCs/>
                <w:color w:val="0D0D0D" w:themeColor="text1" w:themeTint="F2"/>
                <w:spacing w:val="12"/>
                <w:sz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u w:val="single"/>
                <w14:textFill>
                  <w14:solidFill>
                    <w14:schemeClr w14:val="tx1">
                      <w14:lumMod w14:val="95000"/>
                      <w14:lumOff w14:val="5000"/>
                    </w14:schemeClr>
                  </w14:solidFill>
                </w14:textFill>
              </w:rPr>
              <w:t>简单防渗区</w:t>
            </w:r>
          </w:p>
        </w:tc>
        <w:tc>
          <w:tcPr>
            <w:tcW w:w="872" w:type="pct"/>
            <w:vAlign w:val="center"/>
          </w:tcPr>
          <w:p w14:paraId="08489902">
            <w:pPr>
              <w:spacing w:line="240" w:lineRule="auto"/>
              <w:rPr>
                <w:rFonts w:cs="Times New Roman"/>
                <w:bCs/>
                <w:color w:val="0D0D0D" w:themeColor="text1" w:themeTint="F2"/>
                <w:spacing w:val="12"/>
                <w:sz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u w:val="single"/>
                <w14:textFill>
                  <w14:solidFill>
                    <w14:schemeClr w14:val="tx1">
                      <w14:lumMod w14:val="95000"/>
                      <w14:lumOff w14:val="5000"/>
                    </w14:schemeClr>
                  </w14:solidFill>
                </w14:textFill>
              </w:rPr>
              <w:t>综合楼、门卫室等</w:t>
            </w:r>
          </w:p>
        </w:tc>
        <w:tc>
          <w:tcPr>
            <w:tcW w:w="553" w:type="pct"/>
            <w:vAlign w:val="center"/>
          </w:tcPr>
          <w:p w14:paraId="6422A4A3">
            <w:pPr>
              <w:spacing w:line="240" w:lineRule="auto"/>
              <w:jc w:val="center"/>
              <w:rPr>
                <w:rFonts w:cs="Times New Roman"/>
                <w:bCs/>
                <w:color w:val="0D0D0D" w:themeColor="text1" w:themeTint="F2"/>
                <w:spacing w:val="12"/>
                <w:sz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u w:val="single"/>
                <w14:textFill>
                  <w14:solidFill>
                    <w14:schemeClr w14:val="tx1">
                      <w14:lumMod w14:val="95000"/>
                      <w14:lumOff w14:val="5000"/>
                    </w14:schemeClr>
                  </w14:solidFill>
                </w14:textFill>
              </w:rPr>
              <w:t>弱</w:t>
            </w:r>
          </w:p>
        </w:tc>
        <w:tc>
          <w:tcPr>
            <w:tcW w:w="515" w:type="pct"/>
            <w:vAlign w:val="center"/>
          </w:tcPr>
          <w:p w14:paraId="2012E2EC">
            <w:pPr>
              <w:spacing w:line="240" w:lineRule="auto"/>
              <w:jc w:val="center"/>
              <w:rPr>
                <w:rFonts w:cs="Times New Roman"/>
                <w:bCs/>
                <w:color w:val="0D0D0D" w:themeColor="text1" w:themeTint="F2"/>
                <w:spacing w:val="12"/>
                <w:sz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u w:val="single"/>
                <w14:textFill>
                  <w14:solidFill>
                    <w14:schemeClr w14:val="tx1">
                      <w14:lumMod w14:val="95000"/>
                      <w14:lumOff w14:val="5000"/>
                    </w14:schemeClr>
                  </w14:solidFill>
                </w14:textFill>
              </w:rPr>
              <w:t>易</w:t>
            </w:r>
          </w:p>
        </w:tc>
        <w:tc>
          <w:tcPr>
            <w:tcW w:w="2658" w:type="pct"/>
            <w:vAlign w:val="center"/>
          </w:tcPr>
          <w:p w14:paraId="0F984C2F">
            <w:pPr>
              <w:spacing w:line="240" w:lineRule="auto"/>
              <w:jc w:val="center"/>
              <w:rPr>
                <w:rFonts w:cs="Times New Roman"/>
                <w:bCs/>
                <w:color w:val="0D0D0D" w:themeColor="text1" w:themeTint="F2"/>
                <w:spacing w:val="12"/>
                <w:sz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u w:val="single"/>
                <w14:textFill>
                  <w14:solidFill>
                    <w14:schemeClr w14:val="tx1">
                      <w14:lumMod w14:val="95000"/>
                      <w14:lumOff w14:val="5000"/>
                    </w14:schemeClr>
                  </w14:solidFill>
                </w14:textFill>
              </w:rPr>
              <w:t>一般地面硬化</w:t>
            </w:r>
          </w:p>
        </w:tc>
      </w:tr>
      <w:tr w14:paraId="10A47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2" w:type="pct"/>
            <w:vAlign w:val="center"/>
          </w:tcPr>
          <w:p w14:paraId="4085582A">
            <w:pPr>
              <w:spacing w:line="240" w:lineRule="auto"/>
              <w:jc w:val="center"/>
              <w:rPr>
                <w:rFonts w:cs="Times New Roman"/>
                <w:bCs/>
                <w:color w:val="0D0D0D" w:themeColor="text1" w:themeTint="F2"/>
                <w:spacing w:val="12"/>
                <w:sz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u w:val="single"/>
                <w14:textFill>
                  <w14:solidFill>
                    <w14:schemeClr w14:val="tx1">
                      <w14:lumMod w14:val="95000"/>
                      <w14:lumOff w14:val="5000"/>
                    </w14:schemeClr>
                  </w14:solidFill>
                </w14:textFill>
              </w:rPr>
              <w:t>一般防渗区</w:t>
            </w:r>
          </w:p>
        </w:tc>
        <w:tc>
          <w:tcPr>
            <w:tcW w:w="872" w:type="pct"/>
            <w:vAlign w:val="center"/>
          </w:tcPr>
          <w:p w14:paraId="56941CDF">
            <w:pPr>
              <w:spacing w:line="240" w:lineRule="auto"/>
              <w:rPr>
                <w:rFonts w:cs="Times New Roman"/>
                <w:bCs/>
                <w:color w:val="0D0D0D" w:themeColor="text1" w:themeTint="F2"/>
                <w:spacing w:val="12"/>
                <w:sz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u w:val="single"/>
                <w14:textFill>
                  <w14:solidFill>
                    <w14:schemeClr w14:val="tx1">
                      <w14:lumMod w14:val="95000"/>
                      <w14:lumOff w14:val="5000"/>
                    </w14:schemeClr>
                  </w14:solidFill>
                </w14:textFill>
              </w:rPr>
              <w:t>维修车间、管廊等</w:t>
            </w:r>
          </w:p>
        </w:tc>
        <w:tc>
          <w:tcPr>
            <w:tcW w:w="553" w:type="pct"/>
            <w:vAlign w:val="center"/>
          </w:tcPr>
          <w:p w14:paraId="0B247A25">
            <w:pPr>
              <w:spacing w:line="240" w:lineRule="auto"/>
              <w:jc w:val="center"/>
              <w:rPr>
                <w:rFonts w:cs="Times New Roman"/>
                <w:bCs/>
                <w:color w:val="0D0D0D" w:themeColor="text1" w:themeTint="F2"/>
                <w:spacing w:val="12"/>
                <w:sz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u w:val="single"/>
                <w14:textFill>
                  <w14:solidFill>
                    <w14:schemeClr w14:val="tx1">
                      <w14:lumMod w14:val="95000"/>
                      <w14:lumOff w14:val="5000"/>
                    </w14:schemeClr>
                  </w14:solidFill>
                </w14:textFill>
              </w:rPr>
              <w:t>弱</w:t>
            </w:r>
          </w:p>
        </w:tc>
        <w:tc>
          <w:tcPr>
            <w:tcW w:w="515" w:type="pct"/>
            <w:vAlign w:val="center"/>
          </w:tcPr>
          <w:p w14:paraId="116E9CD5">
            <w:pPr>
              <w:spacing w:line="240" w:lineRule="auto"/>
              <w:jc w:val="center"/>
              <w:rPr>
                <w:rFonts w:cs="Times New Roman"/>
                <w:bCs/>
                <w:color w:val="0D0D0D" w:themeColor="text1" w:themeTint="F2"/>
                <w:spacing w:val="12"/>
                <w:sz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u w:val="single"/>
                <w14:textFill>
                  <w14:solidFill>
                    <w14:schemeClr w14:val="tx1">
                      <w14:lumMod w14:val="95000"/>
                      <w14:lumOff w14:val="5000"/>
                    </w14:schemeClr>
                  </w14:solidFill>
                </w14:textFill>
              </w:rPr>
              <w:t>难</w:t>
            </w:r>
          </w:p>
        </w:tc>
        <w:tc>
          <w:tcPr>
            <w:tcW w:w="2658" w:type="pct"/>
            <w:vAlign w:val="center"/>
          </w:tcPr>
          <w:p w14:paraId="5B83647B">
            <w:pPr>
              <w:spacing w:line="240" w:lineRule="auto"/>
              <w:rPr>
                <w:rFonts w:cs="Times New Roman"/>
                <w:bCs/>
                <w:color w:val="0D0D0D" w:themeColor="text1" w:themeTint="F2"/>
                <w:spacing w:val="12"/>
                <w:sz w:val="21"/>
                <w:u w:val="single"/>
                <w14:textFill>
                  <w14:solidFill>
                    <w14:schemeClr w14:val="tx1">
                      <w14:lumMod w14:val="95000"/>
                      <w14:lumOff w14:val="5000"/>
                    </w14:schemeClr>
                  </w14:solidFill>
                </w14:textFill>
              </w:rPr>
            </w:pPr>
            <w:r>
              <w:rPr>
                <w:rFonts w:cs="Times New Roman"/>
                <w:bCs/>
                <w:color w:val="0D0D0D" w:themeColor="text1" w:themeTint="F2"/>
                <w:spacing w:val="12"/>
                <w:sz w:val="21"/>
                <w:u w:val="single"/>
                <w14:textFill>
                  <w14:solidFill>
                    <w14:schemeClr w14:val="tx1">
                      <w14:lumMod w14:val="95000"/>
                      <w14:lumOff w14:val="5000"/>
                    </w14:schemeClr>
                  </w14:solidFill>
                </w14:textFill>
              </w:rPr>
              <w:t>构筑物地面采用钢筋混凝土加防渗剂的防渗地坪+人工材料（HDPE）防渗层，确保等效黏土防渗层Mb≥</w:t>
            </w:r>
            <w:r>
              <w:rPr>
                <w:rFonts w:hint="eastAsia" w:cs="Times New Roman"/>
                <w:bCs/>
                <w:color w:val="0D0D0D" w:themeColor="text1" w:themeTint="F2"/>
                <w:spacing w:val="12"/>
                <w:sz w:val="21"/>
                <w:u w:val="single"/>
                <w14:textFill>
                  <w14:solidFill>
                    <w14:schemeClr w14:val="tx1">
                      <w14:lumMod w14:val="95000"/>
                      <w14:lumOff w14:val="5000"/>
                    </w14:schemeClr>
                  </w14:solidFill>
                </w14:textFill>
              </w:rPr>
              <w:t>1.5</w:t>
            </w:r>
            <w:r>
              <w:rPr>
                <w:rFonts w:cs="Times New Roman"/>
                <w:bCs/>
                <w:color w:val="0D0D0D" w:themeColor="text1" w:themeTint="F2"/>
                <w:spacing w:val="12"/>
                <w:sz w:val="21"/>
                <w:u w:val="single"/>
                <w14:textFill>
                  <w14:solidFill>
                    <w14:schemeClr w14:val="tx1">
                      <w14:lumMod w14:val="95000"/>
                      <w14:lumOff w14:val="5000"/>
                    </w14:schemeClr>
                  </w14:solidFill>
                </w14:textFill>
              </w:rPr>
              <w:t>m，K≤1×10</w:t>
            </w:r>
            <w:r>
              <w:rPr>
                <w:rFonts w:cs="Times New Roman"/>
                <w:bCs/>
                <w:color w:val="0D0D0D" w:themeColor="text1" w:themeTint="F2"/>
                <w:spacing w:val="12"/>
                <w:sz w:val="21"/>
                <w:u w:val="single"/>
                <w:vertAlign w:val="superscript"/>
                <w14:textFill>
                  <w14:solidFill>
                    <w14:schemeClr w14:val="tx1">
                      <w14:lumMod w14:val="95000"/>
                      <w14:lumOff w14:val="5000"/>
                    </w14:schemeClr>
                  </w14:solidFill>
                </w14:textFill>
              </w:rPr>
              <w:t>-7</w:t>
            </w:r>
            <w:r>
              <w:rPr>
                <w:rFonts w:cs="Times New Roman"/>
                <w:bCs/>
                <w:color w:val="0D0D0D" w:themeColor="text1" w:themeTint="F2"/>
                <w:spacing w:val="12"/>
                <w:sz w:val="21"/>
                <w:u w:val="single"/>
                <w14:textFill>
                  <w14:solidFill>
                    <w14:schemeClr w14:val="tx1">
                      <w14:lumMod w14:val="95000"/>
                      <w14:lumOff w14:val="5000"/>
                    </w14:schemeClr>
                  </w14:solidFill>
                </w14:textFill>
              </w:rPr>
              <w:t>cm/s</w:t>
            </w:r>
            <w:r>
              <w:rPr>
                <w:rFonts w:hint="eastAsia" w:cs="Times New Roman"/>
                <w:bCs/>
                <w:color w:val="0D0D0D" w:themeColor="text1" w:themeTint="F2"/>
                <w:spacing w:val="12"/>
                <w:sz w:val="21"/>
                <w:u w:val="single"/>
                <w14:textFill>
                  <w14:solidFill>
                    <w14:schemeClr w14:val="tx1">
                      <w14:lumMod w14:val="95000"/>
                      <w14:lumOff w14:val="5000"/>
                    </w14:schemeClr>
                  </w14:solidFill>
                </w14:textFill>
              </w:rPr>
              <w:t>。</w:t>
            </w:r>
          </w:p>
          <w:p w14:paraId="5AB29900">
            <w:pPr>
              <w:spacing w:line="240" w:lineRule="auto"/>
              <w:rPr>
                <w:rFonts w:cs="Times New Roman"/>
                <w:bCs/>
                <w:color w:val="0D0D0D" w:themeColor="text1" w:themeTint="F2"/>
                <w:spacing w:val="12"/>
                <w:sz w:val="21"/>
                <w:u w:val="single"/>
                <w14:textFill>
                  <w14:solidFill>
                    <w14:schemeClr w14:val="tx1">
                      <w14:lumMod w14:val="95000"/>
                      <w14:lumOff w14:val="5000"/>
                    </w14:schemeClr>
                  </w14:solidFill>
                </w14:textFill>
              </w:rPr>
            </w:pPr>
            <w:r>
              <w:rPr>
                <w:rFonts w:cs="Times New Roman"/>
                <w:bCs/>
                <w:color w:val="0D0D0D" w:themeColor="text1" w:themeTint="F2"/>
                <w:spacing w:val="12"/>
                <w:sz w:val="21"/>
                <w:u w:val="single"/>
                <w14:textFill>
                  <w14:solidFill>
                    <w14:schemeClr w14:val="tx1">
                      <w14:lumMod w14:val="95000"/>
                      <w14:lumOff w14:val="5000"/>
                    </w14:schemeClr>
                  </w14:solidFill>
                </w14:textFill>
              </w:rPr>
              <w:t>池体采用钢筋混凝土加防渗剂的防渗地坪+人工材料（HDPE）防渗层，确保等效黏土防渗层Mb≥</w:t>
            </w:r>
            <w:r>
              <w:rPr>
                <w:rFonts w:hint="eastAsia" w:cs="Times New Roman"/>
                <w:bCs/>
                <w:color w:val="0D0D0D" w:themeColor="text1" w:themeTint="F2"/>
                <w:spacing w:val="12"/>
                <w:sz w:val="21"/>
                <w:u w:val="single"/>
                <w14:textFill>
                  <w14:solidFill>
                    <w14:schemeClr w14:val="tx1">
                      <w14:lumMod w14:val="95000"/>
                      <w14:lumOff w14:val="5000"/>
                    </w14:schemeClr>
                  </w14:solidFill>
                </w14:textFill>
              </w:rPr>
              <w:t>1.5</w:t>
            </w:r>
            <w:r>
              <w:rPr>
                <w:rFonts w:cs="Times New Roman"/>
                <w:bCs/>
                <w:color w:val="0D0D0D" w:themeColor="text1" w:themeTint="F2"/>
                <w:spacing w:val="12"/>
                <w:sz w:val="21"/>
                <w:u w:val="single"/>
                <w14:textFill>
                  <w14:solidFill>
                    <w14:schemeClr w14:val="tx1">
                      <w14:lumMod w14:val="95000"/>
                      <w14:lumOff w14:val="5000"/>
                    </w14:schemeClr>
                  </w14:solidFill>
                </w14:textFill>
              </w:rPr>
              <w:t>m，K≤1×10</w:t>
            </w:r>
            <w:r>
              <w:rPr>
                <w:rFonts w:cs="Times New Roman"/>
                <w:bCs/>
                <w:color w:val="0D0D0D" w:themeColor="text1" w:themeTint="F2"/>
                <w:spacing w:val="12"/>
                <w:sz w:val="21"/>
                <w:u w:val="single"/>
                <w:vertAlign w:val="superscript"/>
                <w14:textFill>
                  <w14:solidFill>
                    <w14:schemeClr w14:val="tx1">
                      <w14:lumMod w14:val="95000"/>
                      <w14:lumOff w14:val="5000"/>
                    </w14:schemeClr>
                  </w14:solidFill>
                </w14:textFill>
              </w:rPr>
              <w:t>-7</w:t>
            </w:r>
            <w:r>
              <w:rPr>
                <w:rFonts w:cs="Times New Roman"/>
                <w:bCs/>
                <w:color w:val="0D0D0D" w:themeColor="text1" w:themeTint="F2"/>
                <w:spacing w:val="12"/>
                <w:sz w:val="21"/>
                <w:u w:val="single"/>
                <w14:textFill>
                  <w14:solidFill>
                    <w14:schemeClr w14:val="tx1">
                      <w14:lumMod w14:val="95000"/>
                      <w14:lumOff w14:val="5000"/>
                    </w14:schemeClr>
                  </w14:solidFill>
                </w14:textFill>
              </w:rPr>
              <w:t>cm/s</w:t>
            </w:r>
            <w:r>
              <w:rPr>
                <w:rFonts w:hint="eastAsia" w:cs="Times New Roman"/>
                <w:bCs/>
                <w:color w:val="0D0D0D" w:themeColor="text1" w:themeTint="F2"/>
                <w:spacing w:val="12"/>
                <w:sz w:val="21"/>
                <w:u w:val="single"/>
                <w14:textFill>
                  <w14:solidFill>
                    <w14:schemeClr w14:val="tx1">
                      <w14:lumMod w14:val="95000"/>
                      <w14:lumOff w14:val="5000"/>
                    </w14:schemeClr>
                  </w14:solidFill>
                </w14:textFill>
              </w:rPr>
              <w:t>。</w:t>
            </w:r>
          </w:p>
        </w:tc>
      </w:tr>
      <w:tr w14:paraId="5A03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2" w:type="pct"/>
            <w:vAlign w:val="center"/>
          </w:tcPr>
          <w:p w14:paraId="10ACEF3A">
            <w:pPr>
              <w:spacing w:line="240" w:lineRule="auto"/>
              <w:jc w:val="center"/>
              <w:rPr>
                <w:rFonts w:cs="Times New Roman"/>
                <w:bCs/>
                <w:color w:val="0D0D0D" w:themeColor="text1" w:themeTint="F2"/>
                <w:spacing w:val="12"/>
                <w:sz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u w:val="single"/>
                <w14:textFill>
                  <w14:solidFill>
                    <w14:schemeClr w14:val="tx1">
                      <w14:lumMod w14:val="95000"/>
                      <w14:lumOff w14:val="5000"/>
                    </w14:schemeClr>
                  </w14:solidFill>
                </w14:textFill>
              </w:rPr>
              <w:t>重点防渗区</w:t>
            </w:r>
          </w:p>
        </w:tc>
        <w:tc>
          <w:tcPr>
            <w:tcW w:w="872" w:type="pct"/>
            <w:vAlign w:val="center"/>
          </w:tcPr>
          <w:p w14:paraId="556240B0">
            <w:pPr>
              <w:spacing w:line="240" w:lineRule="auto"/>
              <w:rPr>
                <w:rFonts w:cs="Times New Roman"/>
                <w:bCs/>
                <w:color w:val="0D0D0D" w:themeColor="text1" w:themeTint="F2"/>
                <w:spacing w:val="12"/>
                <w:sz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u w:val="single"/>
                <w14:textFill>
                  <w14:solidFill>
                    <w14:schemeClr w14:val="tx1">
                      <w14:lumMod w14:val="95000"/>
                      <w14:lumOff w14:val="5000"/>
                    </w14:schemeClr>
                  </w14:solidFill>
                </w14:textFill>
              </w:rPr>
              <w:t>污水处理站、危废暂存间、储罐区、生产车间、装卸区、初期雨水池、事故应急池</w:t>
            </w:r>
          </w:p>
        </w:tc>
        <w:tc>
          <w:tcPr>
            <w:tcW w:w="553" w:type="pct"/>
            <w:vAlign w:val="center"/>
          </w:tcPr>
          <w:p w14:paraId="355877C1">
            <w:pPr>
              <w:spacing w:line="240" w:lineRule="auto"/>
              <w:jc w:val="center"/>
              <w:rPr>
                <w:rFonts w:cs="Times New Roman"/>
                <w:bCs/>
                <w:color w:val="0D0D0D" w:themeColor="text1" w:themeTint="F2"/>
                <w:spacing w:val="12"/>
                <w:sz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u w:val="single"/>
                <w14:textFill>
                  <w14:solidFill>
                    <w14:schemeClr w14:val="tx1">
                      <w14:lumMod w14:val="95000"/>
                      <w14:lumOff w14:val="5000"/>
                    </w14:schemeClr>
                  </w14:solidFill>
                </w14:textFill>
              </w:rPr>
              <w:t>弱</w:t>
            </w:r>
          </w:p>
        </w:tc>
        <w:tc>
          <w:tcPr>
            <w:tcW w:w="515" w:type="pct"/>
            <w:vAlign w:val="center"/>
          </w:tcPr>
          <w:p w14:paraId="1DF6FC76">
            <w:pPr>
              <w:spacing w:line="240" w:lineRule="auto"/>
              <w:jc w:val="center"/>
              <w:rPr>
                <w:rFonts w:cs="Times New Roman"/>
                <w:bCs/>
                <w:color w:val="0D0D0D" w:themeColor="text1" w:themeTint="F2"/>
                <w:spacing w:val="12"/>
                <w:sz w:val="21"/>
                <w:u w:val="single"/>
                <w14:textFill>
                  <w14:solidFill>
                    <w14:schemeClr w14:val="tx1">
                      <w14:lumMod w14:val="95000"/>
                      <w14:lumOff w14:val="5000"/>
                    </w14:schemeClr>
                  </w14:solidFill>
                </w14:textFill>
              </w:rPr>
            </w:pPr>
            <w:r>
              <w:rPr>
                <w:rFonts w:hint="eastAsia" w:cs="Times New Roman"/>
                <w:bCs/>
                <w:color w:val="0D0D0D" w:themeColor="text1" w:themeTint="F2"/>
                <w:spacing w:val="12"/>
                <w:sz w:val="21"/>
                <w:u w:val="single"/>
                <w14:textFill>
                  <w14:solidFill>
                    <w14:schemeClr w14:val="tx1">
                      <w14:lumMod w14:val="95000"/>
                      <w14:lumOff w14:val="5000"/>
                    </w14:schemeClr>
                  </w14:solidFill>
                </w14:textFill>
              </w:rPr>
              <w:t>难</w:t>
            </w:r>
          </w:p>
        </w:tc>
        <w:tc>
          <w:tcPr>
            <w:tcW w:w="2658" w:type="pct"/>
            <w:vAlign w:val="center"/>
          </w:tcPr>
          <w:p w14:paraId="273FEA13">
            <w:pPr>
              <w:spacing w:line="240" w:lineRule="auto"/>
              <w:rPr>
                <w:rFonts w:cs="Times New Roman"/>
                <w:bCs/>
                <w:color w:val="0D0D0D" w:themeColor="text1" w:themeTint="F2"/>
                <w:spacing w:val="12"/>
                <w:sz w:val="21"/>
                <w:u w:val="single"/>
                <w14:textFill>
                  <w14:solidFill>
                    <w14:schemeClr w14:val="tx1">
                      <w14:lumMod w14:val="95000"/>
                      <w14:lumOff w14:val="5000"/>
                    </w14:schemeClr>
                  </w14:solidFill>
                </w14:textFill>
              </w:rPr>
            </w:pPr>
            <w:r>
              <w:rPr>
                <w:rFonts w:cs="Times New Roman"/>
                <w:bCs/>
                <w:color w:val="0D0D0D" w:themeColor="text1" w:themeTint="F2"/>
                <w:spacing w:val="12"/>
                <w:sz w:val="21"/>
                <w:u w:val="single"/>
                <w14:textFill>
                  <w14:solidFill>
                    <w14:schemeClr w14:val="tx1">
                      <w14:lumMod w14:val="95000"/>
                      <w14:lumOff w14:val="5000"/>
                    </w14:schemeClr>
                  </w14:solidFill>
                </w14:textFill>
              </w:rPr>
              <w:t>混凝土地面加铺防渗剂和人工材料（HDPE）防渗层，确保等效黏土防渗层Mb≥6.0m，K≤1×10</w:t>
            </w:r>
            <w:r>
              <w:rPr>
                <w:rFonts w:cs="Times New Roman"/>
                <w:bCs/>
                <w:color w:val="0D0D0D" w:themeColor="text1" w:themeTint="F2"/>
                <w:spacing w:val="12"/>
                <w:sz w:val="21"/>
                <w:u w:val="single"/>
                <w:vertAlign w:val="superscript"/>
                <w14:textFill>
                  <w14:solidFill>
                    <w14:schemeClr w14:val="tx1">
                      <w14:lumMod w14:val="95000"/>
                      <w14:lumOff w14:val="5000"/>
                    </w14:schemeClr>
                  </w14:solidFill>
                </w14:textFill>
              </w:rPr>
              <w:t>-7</w:t>
            </w:r>
            <w:r>
              <w:rPr>
                <w:rFonts w:cs="Times New Roman"/>
                <w:bCs/>
                <w:color w:val="0D0D0D" w:themeColor="text1" w:themeTint="F2"/>
                <w:spacing w:val="12"/>
                <w:sz w:val="21"/>
                <w:u w:val="single"/>
                <w14:textFill>
                  <w14:solidFill>
                    <w14:schemeClr w14:val="tx1">
                      <w14:lumMod w14:val="95000"/>
                      <w14:lumOff w14:val="5000"/>
                    </w14:schemeClr>
                  </w14:solidFill>
                </w14:textFill>
              </w:rPr>
              <w:t>cm/s</w:t>
            </w:r>
          </w:p>
        </w:tc>
      </w:tr>
    </w:tbl>
    <w:p w14:paraId="0F20488F">
      <w:pPr>
        <w:pStyle w:val="10"/>
      </w:pPr>
      <w:r>
        <w:rPr>
          <w:rFonts w:hint="eastAsia"/>
        </w:rPr>
        <w:t>地下水污染管理及监控</w:t>
      </w:r>
    </w:p>
    <w:p w14:paraId="7C5174C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（1）监测井布置</w:t>
      </w:r>
    </w:p>
    <w:p w14:paraId="1077E79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为了掌握厂区及周围地下水环境质量状况和地下水体中污染物的动态变化，及时发现污染物并有效控制污染物扩散，应对项目所在地及周围的地下水水质进行监控。同时建立地下水环境监测管理体系，制定地下水环境影响跟踪监测计划、建立地下水环境影响跟踪监测制度，以便及时发现问题，采取措施，为防治地下水污染采取相应的措施提供重要依据。</w:t>
      </w:r>
    </w:p>
    <w:p w14:paraId="6F3DC2B1">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根据《环境影响评价技术导则  地下水环境》（HJ610-2016）的要求，二级评价建设项目跟踪监测点数量一般不少于3个，应至少在建设项目场地及其上、下游各布设1个，因此项目需设置3处地下水监控井，监控地下水水质变化情况，起到污染控制功能。由于现有井未对井口进行保护，建议场地施工完成后另外新建地下水监测井或对现有井进行修复保护。</w:t>
      </w:r>
    </w:p>
    <w:p w14:paraId="732A3873">
      <w:pPr>
        <w:pStyle w:val="11"/>
      </w:pPr>
      <w:r>
        <w:rPr>
          <w:rFonts w:hint="eastAsia"/>
        </w:rPr>
        <w:t xml:space="preserve"> 地下水长期跟踪监测点及新建监测井位置及功能表</w:t>
      </w:r>
    </w:p>
    <w:tbl>
      <w:tblPr>
        <w:tblStyle w:val="30"/>
        <w:tblW w:w="5000" w:type="pct"/>
        <w:tblInd w:w="0" w:type="dxa"/>
        <w:tblLayout w:type="autofit"/>
        <w:tblCellMar>
          <w:top w:w="0" w:type="dxa"/>
          <w:left w:w="108" w:type="dxa"/>
          <w:bottom w:w="0" w:type="dxa"/>
          <w:right w:w="108" w:type="dxa"/>
        </w:tblCellMar>
      </w:tblPr>
      <w:tblGrid>
        <w:gridCol w:w="866"/>
        <w:gridCol w:w="1244"/>
        <w:gridCol w:w="1244"/>
        <w:gridCol w:w="821"/>
        <w:gridCol w:w="1943"/>
        <w:gridCol w:w="743"/>
        <w:gridCol w:w="1298"/>
        <w:gridCol w:w="1083"/>
      </w:tblGrid>
      <w:tr w14:paraId="4C8B8FBD">
        <w:tblPrEx>
          <w:tblCellMar>
            <w:top w:w="0" w:type="dxa"/>
            <w:left w:w="108" w:type="dxa"/>
            <w:bottom w:w="0" w:type="dxa"/>
            <w:right w:w="108" w:type="dxa"/>
          </w:tblCellMar>
        </w:tblPrEx>
        <w:trPr>
          <w:trHeight w:val="397" w:hRule="atLeast"/>
        </w:trPr>
        <w:tc>
          <w:tcPr>
            <w:tcW w:w="469" w:type="pct"/>
            <w:tcBorders>
              <w:top w:val="single" w:color="000000" w:sz="4" w:space="0"/>
              <w:left w:val="single" w:color="000000" w:sz="4" w:space="0"/>
              <w:bottom w:val="single" w:color="000000" w:sz="4" w:space="0"/>
              <w:right w:val="single" w:color="000000" w:sz="4" w:space="0"/>
            </w:tcBorders>
            <w:noWrap/>
            <w:vAlign w:val="center"/>
          </w:tcPr>
          <w:p w14:paraId="7287F7D2">
            <w:pPr>
              <w:widowControl/>
              <w:spacing w:line="240" w:lineRule="auto"/>
              <w:jc w:val="center"/>
              <w:textAlignment w:val="center"/>
              <w:rPr>
                <w:color w:val="0D0D0D" w:themeColor="text1" w:themeTint="F2"/>
                <w:sz w:val="21"/>
                <w:u w:val="single"/>
                <w:lang w:bidi="ar"/>
                <w14:textFill>
                  <w14:solidFill>
                    <w14:schemeClr w14:val="tx1">
                      <w14:lumMod w14:val="95000"/>
                      <w14:lumOff w14:val="5000"/>
                    </w14:schemeClr>
                  </w14:solidFill>
                </w14:textFill>
              </w:rPr>
            </w:pPr>
            <w:r>
              <w:rPr>
                <w:rFonts w:hint="eastAsia"/>
                <w:color w:val="0D0D0D" w:themeColor="text1" w:themeTint="F2"/>
                <w:sz w:val="21"/>
                <w:u w:val="single"/>
                <w:lang w:bidi="ar"/>
                <w14:textFill>
                  <w14:solidFill>
                    <w14:schemeClr w14:val="tx1">
                      <w14:lumMod w14:val="95000"/>
                      <w14:lumOff w14:val="5000"/>
                    </w14:schemeClr>
                  </w14:solidFill>
                </w14:textFill>
              </w:rPr>
              <w:t>监测点</w:t>
            </w:r>
          </w:p>
          <w:p w14:paraId="653B2B9F">
            <w:pPr>
              <w:widowControl/>
              <w:spacing w:line="240" w:lineRule="auto"/>
              <w:jc w:val="center"/>
              <w:textAlignment w:val="center"/>
              <w:rPr>
                <w:color w:val="0D0D0D" w:themeColor="text1" w:themeTint="F2"/>
                <w:sz w:val="21"/>
                <w:u w:val="single"/>
                <w14:textFill>
                  <w14:solidFill>
                    <w14:schemeClr w14:val="tx1">
                      <w14:lumMod w14:val="95000"/>
                      <w14:lumOff w14:val="5000"/>
                    </w14:schemeClr>
                  </w14:solidFill>
                </w14:textFill>
              </w:rPr>
            </w:pPr>
            <w:r>
              <w:rPr>
                <w:rFonts w:hint="eastAsia"/>
                <w:color w:val="0D0D0D" w:themeColor="text1" w:themeTint="F2"/>
                <w:sz w:val="21"/>
                <w:u w:val="single"/>
                <w:lang w:bidi="ar"/>
                <w14:textFill>
                  <w14:solidFill>
                    <w14:schemeClr w14:val="tx1">
                      <w14:lumMod w14:val="95000"/>
                      <w14:lumOff w14:val="5000"/>
                    </w14:schemeClr>
                  </w14:solidFill>
                </w14:textFill>
              </w:rPr>
              <w:t>编号</w:t>
            </w:r>
          </w:p>
        </w:tc>
        <w:tc>
          <w:tcPr>
            <w:tcW w:w="1346" w:type="pct"/>
            <w:gridSpan w:val="2"/>
            <w:tcBorders>
              <w:top w:val="single" w:color="000000" w:sz="4" w:space="0"/>
              <w:left w:val="single" w:color="000000" w:sz="4" w:space="0"/>
              <w:bottom w:val="single" w:color="000000" w:sz="4" w:space="0"/>
              <w:right w:val="single" w:color="000000" w:sz="4" w:space="0"/>
            </w:tcBorders>
            <w:noWrap/>
            <w:vAlign w:val="center"/>
          </w:tcPr>
          <w:p w14:paraId="2C7A5207">
            <w:pPr>
              <w:widowControl/>
              <w:spacing w:line="240" w:lineRule="auto"/>
              <w:jc w:val="center"/>
              <w:textAlignment w:val="center"/>
              <w:rPr>
                <w:color w:val="0D0D0D" w:themeColor="text1" w:themeTint="F2"/>
                <w:sz w:val="21"/>
                <w:u w:val="single"/>
                <w14:textFill>
                  <w14:solidFill>
                    <w14:schemeClr w14:val="tx1">
                      <w14:lumMod w14:val="95000"/>
                      <w14:lumOff w14:val="5000"/>
                    </w14:schemeClr>
                  </w14:solidFill>
                </w14:textFill>
              </w:rPr>
            </w:pPr>
            <w:r>
              <w:rPr>
                <w:rFonts w:hint="eastAsia"/>
                <w:color w:val="0D0D0D" w:themeColor="text1" w:themeTint="F2"/>
                <w:sz w:val="21"/>
                <w:u w:val="single"/>
                <w:lang w:bidi="ar"/>
                <w14:textFill>
                  <w14:solidFill>
                    <w14:schemeClr w14:val="tx1">
                      <w14:lumMod w14:val="95000"/>
                      <w14:lumOff w14:val="5000"/>
                    </w14:schemeClr>
                  </w14:solidFill>
                </w14:textFill>
              </w:rPr>
              <w:t>坐标</w:t>
            </w:r>
          </w:p>
        </w:tc>
        <w:tc>
          <w:tcPr>
            <w:tcW w:w="444" w:type="pct"/>
            <w:tcBorders>
              <w:top w:val="single" w:color="000000" w:sz="4" w:space="0"/>
              <w:left w:val="single" w:color="000000" w:sz="4" w:space="0"/>
              <w:bottom w:val="single" w:color="000000" w:sz="4" w:space="0"/>
              <w:right w:val="single" w:color="000000" w:sz="4" w:space="0"/>
            </w:tcBorders>
            <w:noWrap/>
            <w:vAlign w:val="center"/>
          </w:tcPr>
          <w:p w14:paraId="6BA99B8D">
            <w:pPr>
              <w:widowControl/>
              <w:spacing w:line="240" w:lineRule="auto"/>
              <w:jc w:val="center"/>
              <w:textAlignment w:val="center"/>
              <w:rPr>
                <w:color w:val="0D0D0D" w:themeColor="text1" w:themeTint="F2"/>
                <w:sz w:val="21"/>
                <w:u w:val="single"/>
                <w:lang w:bidi="ar"/>
                <w14:textFill>
                  <w14:solidFill>
                    <w14:schemeClr w14:val="tx1">
                      <w14:lumMod w14:val="95000"/>
                      <w14:lumOff w14:val="5000"/>
                    </w14:schemeClr>
                  </w14:solidFill>
                </w14:textFill>
              </w:rPr>
            </w:pPr>
            <w:r>
              <w:rPr>
                <w:rFonts w:hint="eastAsia"/>
                <w:color w:val="0D0D0D" w:themeColor="text1" w:themeTint="F2"/>
                <w:sz w:val="21"/>
                <w:u w:val="single"/>
                <w:lang w:bidi="ar"/>
                <w14:textFill>
                  <w14:solidFill>
                    <w14:schemeClr w14:val="tx1">
                      <w14:lumMod w14:val="95000"/>
                      <w14:lumOff w14:val="5000"/>
                    </w14:schemeClr>
                  </w14:solidFill>
                </w14:textFill>
              </w:rPr>
              <w:t>井深</w:t>
            </w:r>
          </w:p>
          <w:p w14:paraId="64C15539">
            <w:pPr>
              <w:widowControl/>
              <w:spacing w:line="240" w:lineRule="auto"/>
              <w:jc w:val="center"/>
              <w:textAlignment w:val="center"/>
              <w:rPr>
                <w:color w:val="0D0D0D" w:themeColor="text1" w:themeTint="F2"/>
                <w:sz w:val="21"/>
                <w:u w:val="single"/>
                <w14:textFill>
                  <w14:solidFill>
                    <w14:schemeClr w14:val="tx1">
                      <w14:lumMod w14:val="95000"/>
                      <w14:lumOff w14:val="5000"/>
                    </w14:schemeClr>
                  </w14:solidFill>
                </w14:textFill>
              </w:rPr>
            </w:pPr>
            <w:r>
              <w:rPr>
                <w:rFonts w:hint="eastAsia"/>
                <w:color w:val="0D0D0D" w:themeColor="text1" w:themeTint="F2"/>
                <w:sz w:val="21"/>
                <w:u w:val="single"/>
                <w:lang w:bidi="ar"/>
                <w14:textFill>
                  <w14:solidFill>
                    <w14:schemeClr w14:val="tx1">
                      <w14:lumMod w14:val="95000"/>
                      <w14:lumOff w14:val="5000"/>
                    </w14:schemeClr>
                  </w14:solidFill>
                </w14:textFill>
              </w:rPr>
              <w:t>（m）</w:t>
            </w:r>
          </w:p>
        </w:tc>
        <w:tc>
          <w:tcPr>
            <w:tcW w:w="1051" w:type="pct"/>
            <w:tcBorders>
              <w:top w:val="single" w:color="000000" w:sz="4" w:space="0"/>
              <w:left w:val="single" w:color="000000" w:sz="4" w:space="0"/>
              <w:bottom w:val="single" w:color="000000" w:sz="4" w:space="0"/>
              <w:right w:val="single" w:color="000000" w:sz="4" w:space="0"/>
            </w:tcBorders>
            <w:noWrap/>
            <w:vAlign w:val="center"/>
          </w:tcPr>
          <w:p w14:paraId="67EF6636">
            <w:pPr>
              <w:widowControl/>
              <w:spacing w:line="240" w:lineRule="auto"/>
              <w:jc w:val="center"/>
              <w:textAlignment w:val="center"/>
              <w:rPr>
                <w:color w:val="0D0D0D" w:themeColor="text1" w:themeTint="F2"/>
                <w:sz w:val="21"/>
                <w:u w:val="single"/>
                <w14:textFill>
                  <w14:solidFill>
                    <w14:schemeClr w14:val="tx1">
                      <w14:lumMod w14:val="95000"/>
                      <w14:lumOff w14:val="5000"/>
                    </w14:schemeClr>
                  </w14:solidFill>
                </w14:textFill>
              </w:rPr>
            </w:pPr>
            <w:r>
              <w:rPr>
                <w:rFonts w:hint="eastAsia"/>
                <w:color w:val="0D0D0D" w:themeColor="text1" w:themeTint="F2"/>
                <w:sz w:val="21"/>
                <w:u w:val="single"/>
                <w14:textFill>
                  <w14:solidFill>
                    <w14:schemeClr w14:val="tx1">
                      <w14:lumMod w14:val="95000"/>
                      <w14:lumOff w14:val="5000"/>
                    </w14:schemeClr>
                  </w14:solidFill>
                </w14:textFill>
              </w:rPr>
              <w:t>水井功能</w:t>
            </w:r>
          </w:p>
        </w:tc>
        <w:tc>
          <w:tcPr>
            <w:tcW w:w="402" w:type="pct"/>
            <w:tcBorders>
              <w:top w:val="single" w:color="000000" w:sz="4" w:space="0"/>
              <w:left w:val="single" w:color="000000" w:sz="4" w:space="0"/>
              <w:bottom w:val="single" w:color="000000" w:sz="4" w:space="0"/>
              <w:right w:val="single" w:color="000000" w:sz="4" w:space="0"/>
            </w:tcBorders>
            <w:vAlign w:val="center"/>
          </w:tcPr>
          <w:p w14:paraId="5F50F70E">
            <w:pPr>
              <w:widowControl/>
              <w:spacing w:line="240" w:lineRule="auto"/>
              <w:jc w:val="center"/>
              <w:textAlignment w:val="center"/>
              <w:rPr>
                <w:color w:val="0D0D0D" w:themeColor="text1" w:themeTint="F2"/>
                <w:sz w:val="21"/>
                <w:u w:val="single"/>
                <w:lang w:bidi="ar"/>
                <w14:textFill>
                  <w14:solidFill>
                    <w14:schemeClr w14:val="tx1">
                      <w14:lumMod w14:val="95000"/>
                      <w14:lumOff w14:val="5000"/>
                    </w14:schemeClr>
                  </w14:solidFill>
                </w14:textFill>
              </w:rPr>
            </w:pPr>
            <w:r>
              <w:rPr>
                <w:rFonts w:hint="eastAsia"/>
                <w:color w:val="0D0D0D" w:themeColor="text1" w:themeTint="F2"/>
                <w:sz w:val="21"/>
                <w:u w:val="single"/>
                <w:lang w:bidi="ar"/>
                <w14:textFill>
                  <w14:solidFill>
                    <w14:schemeClr w14:val="tx1">
                      <w14:lumMod w14:val="95000"/>
                      <w14:lumOff w14:val="5000"/>
                    </w14:schemeClr>
                  </w14:solidFill>
                </w14:textFill>
              </w:rPr>
              <w:t>井壁结构</w:t>
            </w:r>
          </w:p>
        </w:tc>
        <w:tc>
          <w:tcPr>
            <w:tcW w:w="702" w:type="pct"/>
            <w:tcBorders>
              <w:top w:val="single" w:color="000000" w:sz="4" w:space="0"/>
              <w:left w:val="single" w:color="000000" w:sz="4" w:space="0"/>
              <w:bottom w:val="single" w:color="000000" w:sz="4" w:space="0"/>
              <w:right w:val="single" w:color="000000" w:sz="4" w:space="0"/>
            </w:tcBorders>
            <w:noWrap/>
            <w:vAlign w:val="center"/>
          </w:tcPr>
          <w:p w14:paraId="66312525">
            <w:pPr>
              <w:widowControl/>
              <w:spacing w:line="240" w:lineRule="auto"/>
              <w:jc w:val="center"/>
              <w:textAlignment w:val="center"/>
              <w:rPr>
                <w:color w:val="0D0D0D" w:themeColor="text1" w:themeTint="F2"/>
                <w:sz w:val="21"/>
                <w:u w:val="single"/>
                <w14:textFill>
                  <w14:solidFill>
                    <w14:schemeClr w14:val="tx1">
                      <w14:lumMod w14:val="95000"/>
                      <w14:lumOff w14:val="5000"/>
                    </w14:schemeClr>
                  </w14:solidFill>
                </w14:textFill>
              </w:rPr>
            </w:pPr>
            <w:r>
              <w:rPr>
                <w:rFonts w:hint="eastAsia"/>
                <w:color w:val="0D0D0D" w:themeColor="text1" w:themeTint="F2"/>
                <w:sz w:val="21"/>
                <w:u w:val="single"/>
                <w:lang w:bidi="ar"/>
                <w14:textFill>
                  <w14:solidFill>
                    <w14:schemeClr w14:val="tx1">
                      <w14:lumMod w14:val="95000"/>
                      <w14:lumOff w14:val="5000"/>
                    </w14:schemeClr>
                  </w14:solidFill>
                </w14:textFill>
              </w:rPr>
              <w:t>基本功能</w:t>
            </w:r>
          </w:p>
        </w:tc>
        <w:tc>
          <w:tcPr>
            <w:tcW w:w="586" w:type="pct"/>
            <w:tcBorders>
              <w:top w:val="single" w:color="000000" w:sz="4" w:space="0"/>
              <w:left w:val="single" w:color="000000" w:sz="4" w:space="0"/>
              <w:bottom w:val="single" w:color="000000" w:sz="4" w:space="0"/>
              <w:right w:val="single" w:color="000000" w:sz="4" w:space="0"/>
            </w:tcBorders>
            <w:noWrap/>
            <w:vAlign w:val="center"/>
          </w:tcPr>
          <w:p w14:paraId="066ADC21">
            <w:pPr>
              <w:widowControl/>
              <w:spacing w:line="240" w:lineRule="auto"/>
              <w:jc w:val="center"/>
              <w:textAlignment w:val="center"/>
              <w:rPr>
                <w:color w:val="0D0D0D" w:themeColor="text1" w:themeTint="F2"/>
                <w:sz w:val="21"/>
                <w:u w:val="single"/>
                <w14:textFill>
                  <w14:solidFill>
                    <w14:schemeClr w14:val="tx1">
                      <w14:lumMod w14:val="95000"/>
                      <w14:lumOff w14:val="5000"/>
                    </w14:schemeClr>
                  </w14:solidFill>
                </w14:textFill>
              </w:rPr>
            </w:pPr>
            <w:r>
              <w:rPr>
                <w:rFonts w:hint="eastAsia"/>
                <w:color w:val="0D0D0D" w:themeColor="text1" w:themeTint="F2"/>
                <w:sz w:val="21"/>
                <w:u w:val="single"/>
                <w:lang w:bidi="ar"/>
                <w14:textFill>
                  <w14:solidFill>
                    <w14:schemeClr w14:val="tx1">
                      <w14:lumMod w14:val="95000"/>
                      <w14:lumOff w14:val="5000"/>
                    </w14:schemeClr>
                  </w14:solidFill>
                </w14:textFill>
              </w:rPr>
              <w:t>位置关系</w:t>
            </w:r>
          </w:p>
        </w:tc>
      </w:tr>
      <w:tr w14:paraId="2634DA49">
        <w:tblPrEx>
          <w:tblCellMar>
            <w:top w:w="0" w:type="dxa"/>
            <w:left w:w="108" w:type="dxa"/>
            <w:bottom w:w="0" w:type="dxa"/>
            <w:right w:w="108" w:type="dxa"/>
          </w:tblCellMar>
        </w:tblPrEx>
        <w:trPr>
          <w:trHeight w:val="397" w:hRule="atLeast"/>
        </w:trPr>
        <w:tc>
          <w:tcPr>
            <w:tcW w:w="469" w:type="pct"/>
            <w:tcBorders>
              <w:top w:val="single" w:color="000000" w:sz="4" w:space="0"/>
              <w:left w:val="single" w:color="000000" w:sz="4" w:space="0"/>
              <w:bottom w:val="single" w:color="000000" w:sz="4" w:space="0"/>
              <w:right w:val="single" w:color="000000" w:sz="4" w:space="0"/>
            </w:tcBorders>
            <w:noWrap/>
            <w:vAlign w:val="center"/>
          </w:tcPr>
          <w:p w14:paraId="211636E1">
            <w:pPr>
              <w:widowControl/>
              <w:spacing w:line="240" w:lineRule="auto"/>
              <w:jc w:val="center"/>
              <w:textAlignment w:val="center"/>
              <w:rPr>
                <w:color w:val="0D0D0D" w:themeColor="text1" w:themeTint="F2"/>
                <w:sz w:val="21"/>
                <w:u w:val="single"/>
                <w14:textFill>
                  <w14:solidFill>
                    <w14:schemeClr w14:val="tx1">
                      <w14:lumMod w14:val="95000"/>
                      <w14:lumOff w14:val="5000"/>
                    </w14:schemeClr>
                  </w14:solidFill>
                </w14:textFill>
              </w:rPr>
            </w:pPr>
            <w:r>
              <w:rPr>
                <w:rFonts w:hint="eastAsia"/>
                <w:color w:val="0D0D0D" w:themeColor="text1" w:themeTint="F2"/>
                <w:sz w:val="21"/>
                <w:u w:val="single"/>
                <w14:textFill>
                  <w14:solidFill>
                    <w14:schemeClr w14:val="tx1">
                      <w14:lumMod w14:val="95000"/>
                      <w14:lumOff w14:val="5000"/>
                    </w14:schemeClr>
                  </w14:solidFill>
                </w14:textFill>
              </w:rPr>
              <w:t>D1</w:t>
            </w:r>
          </w:p>
        </w:tc>
        <w:tc>
          <w:tcPr>
            <w:tcW w:w="673" w:type="pct"/>
            <w:tcBorders>
              <w:top w:val="single" w:color="000000" w:sz="4" w:space="0"/>
              <w:left w:val="single" w:color="000000" w:sz="4" w:space="0"/>
              <w:bottom w:val="single" w:color="000000" w:sz="4" w:space="0"/>
              <w:right w:val="single" w:color="000000" w:sz="4" w:space="0"/>
            </w:tcBorders>
            <w:noWrap/>
            <w:vAlign w:val="center"/>
          </w:tcPr>
          <w:p w14:paraId="6C441AD2">
            <w:pPr>
              <w:widowControl/>
              <w:spacing w:line="240" w:lineRule="auto"/>
              <w:jc w:val="center"/>
              <w:textAlignment w:val="center"/>
              <w:rPr>
                <w:color w:val="0D0D0D" w:themeColor="text1" w:themeTint="F2"/>
                <w:sz w:val="21"/>
                <w:u w:val="single"/>
                <w14:textFill>
                  <w14:solidFill>
                    <w14:schemeClr w14:val="tx1">
                      <w14:lumMod w14:val="95000"/>
                      <w14:lumOff w14:val="5000"/>
                    </w14:schemeClr>
                  </w14:solidFill>
                </w14:textFill>
              </w:rPr>
            </w:pPr>
          </w:p>
        </w:tc>
        <w:tc>
          <w:tcPr>
            <w:tcW w:w="673" w:type="pct"/>
            <w:tcBorders>
              <w:top w:val="single" w:color="000000" w:sz="4" w:space="0"/>
              <w:left w:val="single" w:color="000000" w:sz="4" w:space="0"/>
              <w:bottom w:val="single" w:color="000000" w:sz="4" w:space="0"/>
              <w:right w:val="single" w:color="000000" w:sz="4" w:space="0"/>
            </w:tcBorders>
            <w:noWrap/>
            <w:vAlign w:val="center"/>
          </w:tcPr>
          <w:p w14:paraId="0BC5D644">
            <w:pPr>
              <w:widowControl/>
              <w:spacing w:line="240" w:lineRule="auto"/>
              <w:jc w:val="center"/>
              <w:textAlignment w:val="center"/>
              <w:rPr>
                <w:color w:val="0D0D0D" w:themeColor="text1" w:themeTint="F2"/>
                <w:sz w:val="21"/>
                <w:u w:val="single"/>
                <w14:textFill>
                  <w14:solidFill>
                    <w14:schemeClr w14:val="tx1">
                      <w14:lumMod w14:val="95000"/>
                      <w14:lumOff w14:val="5000"/>
                    </w14:schemeClr>
                  </w14:solidFill>
                </w14:textFill>
              </w:rPr>
            </w:pPr>
          </w:p>
        </w:tc>
        <w:tc>
          <w:tcPr>
            <w:tcW w:w="444" w:type="pct"/>
            <w:tcBorders>
              <w:top w:val="single" w:color="000000" w:sz="4" w:space="0"/>
              <w:left w:val="single" w:color="000000" w:sz="4" w:space="0"/>
              <w:bottom w:val="single" w:color="000000" w:sz="4" w:space="0"/>
              <w:right w:val="single" w:color="000000" w:sz="4" w:space="0"/>
            </w:tcBorders>
            <w:noWrap/>
            <w:vAlign w:val="center"/>
          </w:tcPr>
          <w:p w14:paraId="3FB99870">
            <w:pPr>
              <w:widowControl/>
              <w:spacing w:line="240" w:lineRule="auto"/>
              <w:jc w:val="center"/>
              <w:textAlignment w:val="center"/>
              <w:rPr>
                <w:color w:val="0D0D0D" w:themeColor="text1" w:themeTint="F2"/>
                <w:sz w:val="21"/>
                <w:u w:val="single"/>
                <w14:textFill>
                  <w14:solidFill>
                    <w14:schemeClr w14:val="tx1">
                      <w14:lumMod w14:val="95000"/>
                      <w14:lumOff w14:val="5000"/>
                    </w14:schemeClr>
                  </w14:solidFill>
                </w14:textFill>
              </w:rPr>
            </w:pPr>
            <w:r>
              <w:rPr>
                <w:rFonts w:hint="eastAsia"/>
                <w:color w:val="0D0D0D" w:themeColor="text1" w:themeTint="F2"/>
                <w:sz w:val="21"/>
                <w:u w:val="single"/>
                <w14:textFill>
                  <w14:solidFill>
                    <w14:schemeClr w14:val="tx1">
                      <w14:lumMod w14:val="95000"/>
                      <w14:lumOff w14:val="5000"/>
                    </w14:schemeClr>
                  </w14:solidFill>
                </w14:textFill>
              </w:rPr>
              <w:t>18.3</w:t>
            </w:r>
          </w:p>
        </w:tc>
        <w:tc>
          <w:tcPr>
            <w:tcW w:w="1051" w:type="pct"/>
            <w:vMerge w:val="restart"/>
            <w:tcBorders>
              <w:top w:val="single" w:color="000000" w:sz="4" w:space="0"/>
              <w:left w:val="single" w:color="000000" w:sz="4" w:space="0"/>
              <w:right w:val="single" w:color="000000" w:sz="4" w:space="0"/>
            </w:tcBorders>
            <w:noWrap/>
            <w:vAlign w:val="center"/>
          </w:tcPr>
          <w:p w14:paraId="4E19E132">
            <w:pPr>
              <w:widowControl/>
              <w:spacing w:line="240" w:lineRule="auto"/>
              <w:jc w:val="center"/>
              <w:textAlignment w:val="center"/>
              <w:rPr>
                <w:color w:val="0D0D0D" w:themeColor="text1" w:themeTint="F2"/>
                <w:sz w:val="21"/>
                <w:u w:val="single"/>
                <w14:textFill>
                  <w14:solidFill>
                    <w14:schemeClr w14:val="tx1">
                      <w14:lumMod w14:val="95000"/>
                      <w14:lumOff w14:val="5000"/>
                    </w14:schemeClr>
                  </w14:solidFill>
                </w14:textFill>
              </w:rPr>
            </w:pPr>
            <w:r>
              <w:rPr>
                <w:rFonts w:hint="eastAsia"/>
                <w:color w:val="0D0D0D" w:themeColor="text1" w:themeTint="F2"/>
                <w:sz w:val="21"/>
                <w:u w:val="single"/>
                <w14:textFill>
                  <w14:solidFill>
                    <w14:schemeClr w14:val="tx1">
                      <w14:lumMod w14:val="95000"/>
                      <w14:lumOff w14:val="5000"/>
                    </w14:schemeClr>
                  </w14:solidFill>
                </w14:textFill>
              </w:rPr>
              <w:t>水位、水质监测井</w:t>
            </w:r>
          </w:p>
        </w:tc>
        <w:tc>
          <w:tcPr>
            <w:tcW w:w="402" w:type="pct"/>
            <w:tcBorders>
              <w:top w:val="single" w:color="000000" w:sz="4" w:space="0"/>
              <w:left w:val="single" w:color="000000" w:sz="4" w:space="0"/>
              <w:right w:val="single" w:color="000000" w:sz="4" w:space="0"/>
            </w:tcBorders>
            <w:vAlign w:val="center"/>
          </w:tcPr>
          <w:p w14:paraId="0F2EFAFC">
            <w:pPr>
              <w:widowControl/>
              <w:spacing w:line="240" w:lineRule="auto"/>
              <w:jc w:val="center"/>
              <w:textAlignment w:val="center"/>
              <w:rPr>
                <w:color w:val="0D0D0D" w:themeColor="text1" w:themeTint="F2"/>
                <w:sz w:val="21"/>
                <w:u w:val="single"/>
                <w14:textFill>
                  <w14:solidFill>
                    <w14:schemeClr w14:val="tx1">
                      <w14:lumMod w14:val="95000"/>
                      <w14:lumOff w14:val="5000"/>
                    </w14:schemeClr>
                  </w14:solidFill>
                </w14:textFill>
              </w:rPr>
            </w:pPr>
            <w:r>
              <w:rPr>
                <w:rFonts w:hint="eastAsia"/>
                <w:color w:val="0D0D0D" w:themeColor="text1" w:themeTint="F2"/>
                <w:sz w:val="21"/>
                <w:u w:val="single"/>
                <w14:textFill>
                  <w14:solidFill>
                    <w14:schemeClr w14:val="tx1">
                      <w14:lumMod w14:val="95000"/>
                      <w14:lumOff w14:val="5000"/>
                    </w14:schemeClr>
                  </w14:solidFill>
                </w14:textFill>
              </w:rPr>
              <w:t>PVC</w:t>
            </w:r>
          </w:p>
        </w:tc>
        <w:tc>
          <w:tcPr>
            <w:tcW w:w="702" w:type="pct"/>
            <w:tcBorders>
              <w:top w:val="single" w:color="000000" w:sz="4" w:space="0"/>
              <w:left w:val="single" w:color="000000" w:sz="4" w:space="0"/>
              <w:bottom w:val="single" w:color="000000" w:sz="4" w:space="0"/>
              <w:right w:val="single" w:color="000000" w:sz="4" w:space="0"/>
            </w:tcBorders>
            <w:noWrap/>
            <w:vAlign w:val="center"/>
          </w:tcPr>
          <w:p w14:paraId="51E11334">
            <w:pPr>
              <w:widowControl/>
              <w:spacing w:line="240" w:lineRule="auto"/>
              <w:jc w:val="center"/>
              <w:textAlignment w:val="center"/>
              <w:rPr>
                <w:color w:val="0D0D0D" w:themeColor="text1" w:themeTint="F2"/>
                <w:sz w:val="21"/>
                <w:u w:val="single"/>
                <w14:textFill>
                  <w14:solidFill>
                    <w14:schemeClr w14:val="tx1">
                      <w14:lumMod w14:val="95000"/>
                      <w14:lumOff w14:val="5000"/>
                    </w14:schemeClr>
                  </w14:solidFill>
                </w14:textFill>
              </w:rPr>
            </w:pPr>
            <w:r>
              <w:rPr>
                <w:rFonts w:hint="eastAsia"/>
                <w:color w:val="0D0D0D" w:themeColor="text1" w:themeTint="F2"/>
                <w:sz w:val="21"/>
                <w:u w:val="single"/>
                <w14:textFill>
                  <w14:solidFill>
                    <w14:schemeClr w14:val="tx1">
                      <w14:lumMod w14:val="95000"/>
                      <w14:lumOff w14:val="5000"/>
                    </w14:schemeClr>
                  </w14:solidFill>
                </w14:textFill>
              </w:rPr>
              <w:t>背景监测点</w:t>
            </w:r>
          </w:p>
        </w:tc>
        <w:tc>
          <w:tcPr>
            <w:tcW w:w="586" w:type="pct"/>
            <w:tcBorders>
              <w:top w:val="single" w:color="000000" w:sz="4" w:space="0"/>
              <w:left w:val="single" w:color="000000" w:sz="4" w:space="0"/>
              <w:bottom w:val="single" w:color="000000" w:sz="4" w:space="0"/>
              <w:right w:val="single" w:color="000000" w:sz="4" w:space="0"/>
            </w:tcBorders>
            <w:noWrap/>
            <w:vAlign w:val="center"/>
          </w:tcPr>
          <w:p w14:paraId="42AA9C24">
            <w:pPr>
              <w:widowControl/>
              <w:spacing w:line="240" w:lineRule="auto"/>
              <w:jc w:val="center"/>
              <w:textAlignment w:val="center"/>
              <w:rPr>
                <w:color w:val="0D0D0D" w:themeColor="text1" w:themeTint="F2"/>
                <w:sz w:val="21"/>
                <w:u w:val="single"/>
                <w14:textFill>
                  <w14:solidFill>
                    <w14:schemeClr w14:val="tx1">
                      <w14:lumMod w14:val="95000"/>
                      <w14:lumOff w14:val="5000"/>
                    </w14:schemeClr>
                  </w14:solidFill>
                </w14:textFill>
              </w:rPr>
            </w:pPr>
            <w:r>
              <w:rPr>
                <w:rFonts w:hint="eastAsia"/>
                <w:color w:val="0D0D0D" w:themeColor="text1" w:themeTint="F2"/>
                <w:sz w:val="21"/>
                <w:u w:val="single"/>
                <w14:textFill>
                  <w14:solidFill>
                    <w14:schemeClr w14:val="tx1">
                      <w14:lumMod w14:val="95000"/>
                      <w14:lumOff w14:val="5000"/>
                    </w14:schemeClr>
                  </w14:solidFill>
                </w14:textFill>
              </w:rPr>
              <w:t>上游</w:t>
            </w:r>
          </w:p>
        </w:tc>
      </w:tr>
      <w:tr w14:paraId="1AB1EE56">
        <w:tblPrEx>
          <w:tblCellMar>
            <w:top w:w="0" w:type="dxa"/>
            <w:left w:w="108" w:type="dxa"/>
            <w:bottom w:w="0" w:type="dxa"/>
            <w:right w:w="108" w:type="dxa"/>
          </w:tblCellMar>
        </w:tblPrEx>
        <w:trPr>
          <w:trHeight w:val="397" w:hRule="atLeast"/>
        </w:trPr>
        <w:tc>
          <w:tcPr>
            <w:tcW w:w="469" w:type="pct"/>
            <w:tcBorders>
              <w:top w:val="single" w:color="000000" w:sz="4" w:space="0"/>
              <w:left w:val="single" w:color="000000" w:sz="4" w:space="0"/>
              <w:bottom w:val="single" w:color="000000" w:sz="4" w:space="0"/>
              <w:right w:val="single" w:color="000000" w:sz="4" w:space="0"/>
            </w:tcBorders>
            <w:noWrap/>
            <w:vAlign w:val="center"/>
          </w:tcPr>
          <w:p w14:paraId="0001F53E">
            <w:pPr>
              <w:widowControl/>
              <w:spacing w:line="240" w:lineRule="auto"/>
              <w:jc w:val="center"/>
              <w:textAlignment w:val="center"/>
              <w:rPr>
                <w:color w:val="0D0D0D" w:themeColor="text1" w:themeTint="F2"/>
                <w:sz w:val="21"/>
                <w:u w:val="single"/>
                <w14:textFill>
                  <w14:solidFill>
                    <w14:schemeClr w14:val="tx1">
                      <w14:lumMod w14:val="95000"/>
                      <w14:lumOff w14:val="5000"/>
                    </w14:schemeClr>
                  </w14:solidFill>
                </w14:textFill>
              </w:rPr>
            </w:pPr>
            <w:r>
              <w:rPr>
                <w:rFonts w:hint="eastAsia"/>
                <w:color w:val="0D0D0D" w:themeColor="text1" w:themeTint="F2"/>
                <w:sz w:val="21"/>
                <w:u w:val="single"/>
                <w14:textFill>
                  <w14:solidFill>
                    <w14:schemeClr w14:val="tx1">
                      <w14:lumMod w14:val="95000"/>
                      <w14:lumOff w14:val="5000"/>
                    </w14:schemeClr>
                  </w14:solidFill>
                </w14:textFill>
              </w:rPr>
              <w:t>D3</w:t>
            </w:r>
          </w:p>
        </w:tc>
        <w:tc>
          <w:tcPr>
            <w:tcW w:w="673" w:type="pct"/>
            <w:tcBorders>
              <w:top w:val="single" w:color="000000" w:sz="4" w:space="0"/>
              <w:left w:val="single" w:color="000000" w:sz="4" w:space="0"/>
              <w:bottom w:val="single" w:color="000000" w:sz="4" w:space="0"/>
              <w:right w:val="single" w:color="000000" w:sz="4" w:space="0"/>
            </w:tcBorders>
            <w:noWrap/>
            <w:vAlign w:val="center"/>
          </w:tcPr>
          <w:p w14:paraId="6629FCE6">
            <w:pPr>
              <w:widowControl/>
              <w:spacing w:line="240" w:lineRule="auto"/>
              <w:jc w:val="center"/>
              <w:textAlignment w:val="center"/>
              <w:rPr>
                <w:color w:val="0D0D0D" w:themeColor="text1" w:themeTint="F2"/>
                <w:sz w:val="21"/>
                <w:u w:val="single"/>
                <w14:textFill>
                  <w14:solidFill>
                    <w14:schemeClr w14:val="tx1">
                      <w14:lumMod w14:val="95000"/>
                      <w14:lumOff w14:val="5000"/>
                    </w14:schemeClr>
                  </w14:solidFill>
                </w14:textFill>
              </w:rPr>
            </w:pPr>
          </w:p>
        </w:tc>
        <w:tc>
          <w:tcPr>
            <w:tcW w:w="673" w:type="pct"/>
            <w:tcBorders>
              <w:top w:val="single" w:color="000000" w:sz="4" w:space="0"/>
              <w:left w:val="single" w:color="000000" w:sz="4" w:space="0"/>
              <w:bottom w:val="single" w:color="000000" w:sz="4" w:space="0"/>
              <w:right w:val="single" w:color="000000" w:sz="4" w:space="0"/>
            </w:tcBorders>
            <w:noWrap/>
            <w:vAlign w:val="center"/>
          </w:tcPr>
          <w:p w14:paraId="73D7F84B">
            <w:pPr>
              <w:widowControl/>
              <w:spacing w:line="240" w:lineRule="auto"/>
              <w:jc w:val="center"/>
              <w:textAlignment w:val="center"/>
              <w:rPr>
                <w:color w:val="0D0D0D" w:themeColor="text1" w:themeTint="F2"/>
                <w:sz w:val="21"/>
                <w:u w:val="single"/>
                <w14:textFill>
                  <w14:solidFill>
                    <w14:schemeClr w14:val="tx1">
                      <w14:lumMod w14:val="95000"/>
                      <w14:lumOff w14:val="5000"/>
                    </w14:schemeClr>
                  </w14:solidFill>
                </w14:textFill>
              </w:rPr>
            </w:pPr>
          </w:p>
        </w:tc>
        <w:tc>
          <w:tcPr>
            <w:tcW w:w="444" w:type="pct"/>
            <w:tcBorders>
              <w:top w:val="single" w:color="000000" w:sz="4" w:space="0"/>
              <w:left w:val="single" w:color="000000" w:sz="4" w:space="0"/>
              <w:bottom w:val="single" w:color="000000" w:sz="4" w:space="0"/>
              <w:right w:val="single" w:color="000000" w:sz="4" w:space="0"/>
            </w:tcBorders>
            <w:noWrap/>
            <w:vAlign w:val="center"/>
          </w:tcPr>
          <w:p w14:paraId="3F5D3CCC">
            <w:pPr>
              <w:widowControl/>
              <w:spacing w:line="240" w:lineRule="auto"/>
              <w:jc w:val="center"/>
              <w:textAlignment w:val="center"/>
              <w:rPr>
                <w:color w:val="0D0D0D" w:themeColor="text1" w:themeTint="F2"/>
                <w:sz w:val="21"/>
                <w:u w:val="single"/>
                <w14:textFill>
                  <w14:solidFill>
                    <w14:schemeClr w14:val="tx1">
                      <w14:lumMod w14:val="95000"/>
                      <w14:lumOff w14:val="5000"/>
                    </w14:schemeClr>
                  </w14:solidFill>
                </w14:textFill>
              </w:rPr>
            </w:pPr>
            <w:r>
              <w:rPr>
                <w:rFonts w:hint="eastAsia"/>
                <w:color w:val="0D0D0D" w:themeColor="text1" w:themeTint="F2"/>
                <w:sz w:val="21"/>
                <w:u w:val="single"/>
                <w14:textFill>
                  <w14:solidFill>
                    <w14:schemeClr w14:val="tx1">
                      <w14:lumMod w14:val="95000"/>
                      <w14:lumOff w14:val="5000"/>
                    </w14:schemeClr>
                  </w14:solidFill>
                </w14:textFill>
              </w:rPr>
              <w:t>20.8</w:t>
            </w:r>
          </w:p>
        </w:tc>
        <w:tc>
          <w:tcPr>
            <w:tcW w:w="1051" w:type="pct"/>
            <w:vMerge w:val="continue"/>
            <w:tcBorders>
              <w:left w:val="single" w:color="000000" w:sz="4" w:space="0"/>
              <w:right w:val="single" w:color="000000" w:sz="4" w:space="0"/>
            </w:tcBorders>
            <w:noWrap/>
            <w:vAlign w:val="center"/>
          </w:tcPr>
          <w:p w14:paraId="76F23925">
            <w:pPr>
              <w:widowControl/>
              <w:spacing w:line="240" w:lineRule="auto"/>
              <w:jc w:val="center"/>
              <w:textAlignment w:val="center"/>
              <w:rPr>
                <w:color w:val="0D0D0D" w:themeColor="text1" w:themeTint="F2"/>
                <w:sz w:val="21"/>
                <w:u w:val="single"/>
                <w14:textFill>
                  <w14:solidFill>
                    <w14:schemeClr w14:val="tx1">
                      <w14:lumMod w14:val="95000"/>
                      <w14:lumOff w14:val="5000"/>
                    </w14:schemeClr>
                  </w14:solidFill>
                </w14:textFill>
              </w:rPr>
            </w:pPr>
          </w:p>
        </w:tc>
        <w:tc>
          <w:tcPr>
            <w:tcW w:w="402" w:type="pct"/>
            <w:tcBorders>
              <w:left w:val="single" w:color="000000" w:sz="4" w:space="0"/>
              <w:right w:val="single" w:color="000000" w:sz="4" w:space="0"/>
            </w:tcBorders>
            <w:vAlign w:val="center"/>
          </w:tcPr>
          <w:p w14:paraId="1DAEB841">
            <w:pPr>
              <w:widowControl/>
              <w:spacing w:line="240" w:lineRule="auto"/>
              <w:jc w:val="center"/>
              <w:textAlignment w:val="center"/>
              <w:rPr>
                <w:color w:val="0D0D0D" w:themeColor="text1" w:themeTint="F2"/>
                <w:sz w:val="21"/>
                <w:u w:val="single"/>
                <w14:textFill>
                  <w14:solidFill>
                    <w14:schemeClr w14:val="tx1">
                      <w14:lumMod w14:val="95000"/>
                      <w14:lumOff w14:val="5000"/>
                    </w14:schemeClr>
                  </w14:solidFill>
                </w14:textFill>
              </w:rPr>
            </w:pPr>
            <w:r>
              <w:rPr>
                <w:rFonts w:hint="eastAsia"/>
                <w:color w:val="0D0D0D" w:themeColor="text1" w:themeTint="F2"/>
                <w:sz w:val="21"/>
                <w:u w:val="single"/>
                <w14:textFill>
                  <w14:solidFill>
                    <w14:schemeClr w14:val="tx1">
                      <w14:lumMod w14:val="95000"/>
                      <w14:lumOff w14:val="5000"/>
                    </w14:schemeClr>
                  </w14:solidFill>
                </w14:textFill>
              </w:rPr>
              <w:t>PVC</w:t>
            </w:r>
          </w:p>
        </w:tc>
        <w:tc>
          <w:tcPr>
            <w:tcW w:w="702" w:type="pct"/>
            <w:tcBorders>
              <w:top w:val="single" w:color="000000" w:sz="4" w:space="0"/>
              <w:left w:val="single" w:color="000000" w:sz="4" w:space="0"/>
              <w:bottom w:val="single" w:color="000000" w:sz="4" w:space="0"/>
              <w:right w:val="single" w:color="000000" w:sz="4" w:space="0"/>
            </w:tcBorders>
            <w:noWrap/>
            <w:vAlign w:val="center"/>
          </w:tcPr>
          <w:p w14:paraId="458734E1">
            <w:pPr>
              <w:widowControl/>
              <w:spacing w:line="240" w:lineRule="auto"/>
              <w:jc w:val="center"/>
              <w:textAlignment w:val="center"/>
              <w:rPr>
                <w:color w:val="0D0D0D" w:themeColor="text1" w:themeTint="F2"/>
                <w:sz w:val="21"/>
                <w:u w:val="single"/>
                <w14:textFill>
                  <w14:solidFill>
                    <w14:schemeClr w14:val="tx1">
                      <w14:lumMod w14:val="95000"/>
                      <w14:lumOff w14:val="5000"/>
                    </w14:schemeClr>
                  </w14:solidFill>
                </w14:textFill>
              </w:rPr>
            </w:pPr>
            <w:r>
              <w:rPr>
                <w:rFonts w:hint="eastAsia"/>
                <w:color w:val="0D0D0D" w:themeColor="text1" w:themeTint="F2"/>
                <w:sz w:val="21"/>
                <w:u w:val="single"/>
                <w14:textFill>
                  <w14:solidFill>
                    <w14:schemeClr w14:val="tx1">
                      <w14:lumMod w14:val="95000"/>
                      <w14:lumOff w14:val="5000"/>
                    </w14:schemeClr>
                  </w14:solidFill>
                </w14:textFill>
              </w:rPr>
              <w:t>跟踪监测点</w:t>
            </w:r>
          </w:p>
        </w:tc>
        <w:tc>
          <w:tcPr>
            <w:tcW w:w="586" w:type="pct"/>
            <w:tcBorders>
              <w:top w:val="single" w:color="000000" w:sz="4" w:space="0"/>
              <w:left w:val="single" w:color="000000" w:sz="4" w:space="0"/>
              <w:bottom w:val="single" w:color="000000" w:sz="4" w:space="0"/>
              <w:right w:val="single" w:color="000000" w:sz="4" w:space="0"/>
            </w:tcBorders>
            <w:noWrap/>
            <w:vAlign w:val="center"/>
          </w:tcPr>
          <w:p w14:paraId="6F048011">
            <w:pPr>
              <w:widowControl/>
              <w:spacing w:line="240" w:lineRule="auto"/>
              <w:jc w:val="center"/>
              <w:textAlignment w:val="center"/>
              <w:rPr>
                <w:color w:val="0D0D0D" w:themeColor="text1" w:themeTint="F2"/>
                <w:sz w:val="21"/>
                <w:u w:val="single"/>
                <w14:textFill>
                  <w14:solidFill>
                    <w14:schemeClr w14:val="tx1">
                      <w14:lumMod w14:val="95000"/>
                      <w14:lumOff w14:val="5000"/>
                    </w14:schemeClr>
                  </w14:solidFill>
                </w14:textFill>
              </w:rPr>
            </w:pPr>
            <w:r>
              <w:rPr>
                <w:rFonts w:hint="eastAsia"/>
                <w:color w:val="0D0D0D" w:themeColor="text1" w:themeTint="F2"/>
                <w:sz w:val="21"/>
                <w:u w:val="single"/>
                <w14:textFill>
                  <w14:solidFill>
                    <w14:schemeClr w14:val="tx1">
                      <w14:lumMod w14:val="95000"/>
                      <w14:lumOff w14:val="5000"/>
                    </w14:schemeClr>
                  </w14:solidFill>
                </w14:textFill>
              </w:rPr>
              <w:t>侧游</w:t>
            </w:r>
          </w:p>
        </w:tc>
      </w:tr>
      <w:tr w14:paraId="2846DBE9">
        <w:tblPrEx>
          <w:tblCellMar>
            <w:top w:w="0" w:type="dxa"/>
            <w:left w:w="108" w:type="dxa"/>
            <w:bottom w:w="0" w:type="dxa"/>
            <w:right w:w="108" w:type="dxa"/>
          </w:tblCellMar>
        </w:tblPrEx>
        <w:trPr>
          <w:trHeight w:val="397" w:hRule="atLeast"/>
        </w:trPr>
        <w:tc>
          <w:tcPr>
            <w:tcW w:w="469" w:type="pct"/>
            <w:tcBorders>
              <w:top w:val="single" w:color="000000" w:sz="4" w:space="0"/>
              <w:left w:val="single" w:color="000000" w:sz="4" w:space="0"/>
              <w:bottom w:val="single" w:color="000000" w:sz="4" w:space="0"/>
              <w:right w:val="single" w:color="000000" w:sz="4" w:space="0"/>
            </w:tcBorders>
            <w:noWrap/>
            <w:vAlign w:val="center"/>
          </w:tcPr>
          <w:p w14:paraId="239E86FE">
            <w:pPr>
              <w:widowControl/>
              <w:spacing w:line="240" w:lineRule="auto"/>
              <w:jc w:val="center"/>
              <w:textAlignment w:val="center"/>
              <w:rPr>
                <w:color w:val="0D0D0D" w:themeColor="text1" w:themeTint="F2"/>
                <w:sz w:val="21"/>
                <w:u w:val="single"/>
                <w14:textFill>
                  <w14:solidFill>
                    <w14:schemeClr w14:val="tx1">
                      <w14:lumMod w14:val="95000"/>
                      <w14:lumOff w14:val="5000"/>
                    </w14:schemeClr>
                  </w14:solidFill>
                </w14:textFill>
              </w:rPr>
            </w:pPr>
            <w:r>
              <w:rPr>
                <w:rFonts w:hint="eastAsia"/>
                <w:color w:val="0D0D0D" w:themeColor="text1" w:themeTint="F2"/>
                <w:sz w:val="21"/>
                <w:u w:val="single"/>
                <w14:textFill>
                  <w14:solidFill>
                    <w14:schemeClr w14:val="tx1">
                      <w14:lumMod w14:val="95000"/>
                      <w14:lumOff w14:val="5000"/>
                    </w14:schemeClr>
                  </w14:solidFill>
                </w14:textFill>
              </w:rPr>
              <w:t>D5</w:t>
            </w:r>
          </w:p>
        </w:tc>
        <w:tc>
          <w:tcPr>
            <w:tcW w:w="673" w:type="pct"/>
            <w:tcBorders>
              <w:top w:val="single" w:color="000000" w:sz="4" w:space="0"/>
              <w:left w:val="single" w:color="000000" w:sz="4" w:space="0"/>
              <w:bottom w:val="single" w:color="000000" w:sz="4" w:space="0"/>
              <w:right w:val="single" w:color="000000" w:sz="4" w:space="0"/>
            </w:tcBorders>
            <w:noWrap/>
            <w:vAlign w:val="center"/>
          </w:tcPr>
          <w:p w14:paraId="13AD8CE0">
            <w:pPr>
              <w:widowControl/>
              <w:spacing w:line="240" w:lineRule="auto"/>
              <w:jc w:val="center"/>
              <w:textAlignment w:val="center"/>
              <w:rPr>
                <w:color w:val="0D0D0D" w:themeColor="text1" w:themeTint="F2"/>
                <w:sz w:val="21"/>
                <w:u w:val="single"/>
                <w14:textFill>
                  <w14:solidFill>
                    <w14:schemeClr w14:val="tx1">
                      <w14:lumMod w14:val="95000"/>
                      <w14:lumOff w14:val="5000"/>
                    </w14:schemeClr>
                  </w14:solidFill>
                </w14:textFill>
              </w:rPr>
            </w:pPr>
          </w:p>
        </w:tc>
        <w:tc>
          <w:tcPr>
            <w:tcW w:w="673" w:type="pct"/>
            <w:tcBorders>
              <w:top w:val="single" w:color="000000" w:sz="4" w:space="0"/>
              <w:left w:val="single" w:color="000000" w:sz="4" w:space="0"/>
              <w:bottom w:val="single" w:color="000000" w:sz="4" w:space="0"/>
              <w:right w:val="single" w:color="000000" w:sz="4" w:space="0"/>
            </w:tcBorders>
            <w:noWrap/>
            <w:vAlign w:val="center"/>
          </w:tcPr>
          <w:p w14:paraId="0402359C">
            <w:pPr>
              <w:widowControl/>
              <w:spacing w:line="240" w:lineRule="auto"/>
              <w:jc w:val="center"/>
              <w:textAlignment w:val="center"/>
              <w:rPr>
                <w:color w:val="0D0D0D" w:themeColor="text1" w:themeTint="F2"/>
                <w:sz w:val="21"/>
                <w:u w:val="single"/>
                <w14:textFill>
                  <w14:solidFill>
                    <w14:schemeClr w14:val="tx1">
                      <w14:lumMod w14:val="95000"/>
                      <w14:lumOff w14:val="5000"/>
                    </w14:schemeClr>
                  </w14:solidFill>
                </w14:textFill>
              </w:rPr>
            </w:pPr>
          </w:p>
        </w:tc>
        <w:tc>
          <w:tcPr>
            <w:tcW w:w="444" w:type="pct"/>
            <w:tcBorders>
              <w:top w:val="single" w:color="000000" w:sz="4" w:space="0"/>
              <w:left w:val="single" w:color="000000" w:sz="4" w:space="0"/>
              <w:bottom w:val="single" w:color="000000" w:sz="4" w:space="0"/>
              <w:right w:val="single" w:color="000000" w:sz="4" w:space="0"/>
            </w:tcBorders>
            <w:noWrap/>
            <w:vAlign w:val="center"/>
          </w:tcPr>
          <w:p w14:paraId="63CF590B">
            <w:pPr>
              <w:widowControl/>
              <w:spacing w:line="240" w:lineRule="auto"/>
              <w:jc w:val="center"/>
              <w:textAlignment w:val="center"/>
              <w:rPr>
                <w:color w:val="0D0D0D" w:themeColor="text1" w:themeTint="F2"/>
                <w:sz w:val="21"/>
                <w:u w:val="single"/>
                <w14:textFill>
                  <w14:solidFill>
                    <w14:schemeClr w14:val="tx1">
                      <w14:lumMod w14:val="95000"/>
                      <w14:lumOff w14:val="5000"/>
                    </w14:schemeClr>
                  </w14:solidFill>
                </w14:textFill>
              </w:rPr>
            </w:pPr>
            <w:r>
              <w:rPr>
                <w:rFonts w:hint="eastAsia"/>
                <w:color w:val="0D0D0D" w:themeColor="text1" w:themeTint="F2"/>
                <w:sz w:val="21"/>
                <w:u w:val="single"/>
                <w14:textFill>
                  <w14:solidFill>
                    <w14:schemeClr w14:val="tx1">
                      <w14:lumMod w14:val="95000"/>
                      <w14:lumOff w14:val="5000"/>
                    </w14:schemeClr>
                  </w14:solidFill>
                </w14:textFill>
              </w:rPr>
              <w:t>20.6</w:t>
            </w:r>
          </w:p>
        </w:tc>
        <w:tc>
          <w:tcPr>
            <w:tcW w:w="1051" w:type="pct"/>
            <w:vMerge w:val="continue"/>
            <w:tcBorders>
              <w:left w:val="single" w:color="000000" w:sz="4" w:space="0"/>
              <w:bottom w:val="single" w:color="000000" w:sz="4" w:space="0"/>
              <w:right w:val="single" w:color="000000" w:sz="4" w:space="0"/>
            </w:tcBorders>
            <w:noWrap/>
            <w:vAlign w:val="center"/>
          </w:tcPr>
          <w:p w14:paraId="2497DDC1">
            <w:pPr>
              <w:widowControl/>
              <w:spacing w:line="240" w:lineRule="auto"/>
              <w:jc w:val="center"/>
              <w:textAlignment w:val="center"/>
              <w:rPr>
                <w:color w:val="0D0D0D" w:themeColor="text1" w:themeTint="F2"/>
                <w:sz w:val="21"/>
                <w:u w:val="single"/>
                <w14:textFill>
                  <w14:solidFill>
                    <w14:schemeClr w14:val="tx1">
                      <w14:lumMod w14:val="95000"/>
                      <w14:lumOff w14:val="5000"/>
                    </w14:schemeClr>
                  </w14:solidFill>
                </w14:textFill>
              </w:rPr>
            </w:pPr>
          </w:p>
        </w:tc>
        <w:tc>
          <w:tcPr>
            <w:tcW w:w="402" w:type="pct"/>
            <w:tcBorders>
              <w:left w:val="single" w:color="000000" w:sz="4" w:space="0"/>
              <w:bottom w:val="single" w:color="000000" w:sz="4" w:space="0"/>
              <w:right w:val="single" w:color="000000" w:sz="4" w:space="0"/>
            </w:tcBorders>
            <w:vAlign w:val="center"/>
          </w:tcPr>
          <w:p w14:paraId="5E650219">
            <w:pPr>
              <w:widowControl/>
              <w:spacing w:line="240" w:lineRule="auto"/>
              <w:jc w:val="center"/>
              <w:textAlignment w:val="center"/>
              <w:rPr>
                <w:color w:val="0D0D0D" w:themeColor="text1" w:themeTint="F2"/>
                <w:sz w:val="21"/>
                <w:u w:val="single"/>
                <w14:textFill>
                  <w14:solidFill>
                    <w14:schemeClr w14:val="tx1">
                      <w14:lumMod w14:val="95000"/>
                      <w14:lumOff w14:val="5000"/>
                    </w14:schemeClr>
                  </w14:solidFill>
                </w14:textFill>
              </w:rPr>
            </w:pPr>
            <w:r>
              <w:rPr>
                <w:rFonts w:hint="eastAsia"/>
                <w:color w:val="0D0D0D" w:themeColor="text1" w:themeTint="F2"/>
                <w:sz w:val="21"/>
                <w:u w:val="single"/>
                <w14:textFill>
                  <w14:solidFill>
                    <w14:schemeClr w14:val="tx1">
                      <w14:lumMod w14:val="95000"/>
                      <w14:lumOff w14:val="5000"/>
                    </w14:schemeClr>
                  </w14:solidFill>
                </w14:textFill>
              </w:rPr>
              <w:t>PVC</w:t>
            </w:r>
          </w:p>
        </w:tc>
        <w:tc>
          <w:tcPr>
            <w:tcW w:w="702" w:type="pct"/>
            <w:tcBorders>
              <w:top w:val="single" w:color="000000" w:sz="4" w:space="0"/>
              <w:left w:val="single" w:color="000000" w:sz="4" w:space="0"/>
              <w:bottom w:val="single" w:color="000000" w:sz="4" w:space="0"/>
              <w:right w:val="single" w:color="000000" w:sz="4" w:space="0"/>
            </w:tcBorders>
            <w:noWrap/>
            <w:vAlign w:val="center"/>
          </w:tcPr>
          <w:p w14:paraId="7122F806">
            <w:pPr>
              <w:widowControl/>
              <w:spacing w:line="240" w:lineRule="auto"/>
              <w:jc w:val="center"/>
              <w:textAlignment w:val="center"/>
              <w:rPr>
                <w:color w:val="0D0D0D" w:themeColor="text1" w:themeTint="F2"/>
                <w:sz w:val="21"/>
                <w:u w:val="single"/>
                <w14:textFill>
                  <w14:solidFill>
                    <w14:schemeClr w14:val="tx1">
                      <w14:lumMod w14:val="95000"/>
                      <w14:lumOff w14:val="5000"/>
                    </w14:schemeClr>
                  </w14:solidFill>
                </w14:textFill>
              </w:rPr>
            </w:pPr>
            <w:r>
              <w:rPr>
                <w:rFonts w:hint="eastAsia"/>
                <w:color w:val="0D0D0D" w:themeColor="text1" w:themeTint="F2"/>
                <w:sz w:val="21"/>
                <w:u w:val="single"/>
                <w14:textFill>
                  <w14:solidFill>
                    <w14:schemeClr w14:val="tx1">
                      <w14:lumMod w14:val="95000"/>
                      <w14:lumOff w14:val="5000"/>
                    </w14:schemeClr>
                  </w14:solidFill>
                </w14:textFill>
              </w:rPr>
              <w:t>跟踪监测点</w:t>
            </w:r>
          </w:p>
        </w:tc>
        <w:tc>
          <w:tcPr>
            <w:tcW w:w="586" w:type="pct"/>
            <w:tcBorders>
              <w:top w:val="single" w:color="000000" w:sz="4" w:space="0"/>
              <w:left w:val="single" w:color="000000" w:sz="4" w:space="0"/>
              <w:bottom w:val="single" w:color="000000" w:sz="4" w:space="0"/>
              <w:right w:val="single" w:color="000000" w:sz="4" w:space="0"/>
            </w:tcBorders>
            <w:noWrap/>
            <w:vAlign w:val="center"/>
          </w:tcPr>
          <w:p w14:paraId="6591DFE2">
            <w:pPr>
              <w:widowControl/>
              <w:spacing w:line="240" w:lineRule="auto"/>
              <w:jc w:val="center"/>
              <w:textAlignment w:val="center"/>
              <w:rPr>
                <w:color w:val="0D0D0D" w:themeColor="text1" w:themeTint="F2"/>
                <w:sz w:val="21"/>
                <w:u w:val="single"/>
                <w14:textFill>
                  <w14:solidFill>
                    <w14:schemeClr w14:val="tx1">
                      <w14:lumMod w14:val="95000"/>
                      <w14:lumOff w14:val="5000"/>
                    </w14:schemeClr>
                  </w14:solidFill>
                </w14:textFill>
              </w:rPr>
            </w:pPr>
            <w:r>
              <w:rPr>
                <w:rFonts w:hint="eastAsia"/>
                <w:color w:val="0D0D0D" w:themeColor="text1" w:themeTint="F2"/>
                <w:sz w:val="21"/>
                <w:u w:val="single"/>
                <w14:textFill>
                  <w14:solidFill>
                    <w14:schemeClr w14:val="tx1">
                      <w14:lumMod w14:val="95000"/>
                      <w14:lumOff w14:val="5000"/>
                    </w14:schemeClr>
                  </w14:solidFill>
                </w14:textFill>
              </w:rPr>
              <w:t>下游</w:t>
            </w:r>
          </w:p>
        </w:tc>
      </w:tr>
    </w:tbl>
    <w:p w14:paraId="72C5E8B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根据《地下水环境监测技术规范》（HJ164-2020），本次评价对地下水监测井建设提出以下要求：</w:t>
      </w:r>
    </w:p>
    <w:p w14:paraId="453BBA5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①环境监测井建设应遵循一井一设计，一井一编码。</w:t>
      </w:r>
    </w:p>
    <w:p w14:paraId="658F6228">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②监测井建设深度应满足监测目标要求。监测目标层与其他含水层之间须做好止水，监测井滤水管不得越层，监测井不得穿透目标含水层下的隔水层的底板。</w:t>
      </w:r>
    </w:p>
    <w:p w14:paraId="35977E8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③监测井建设包括监测井设计、施工、成井、抽水试验等内容，参照DZ/T0270相关要求执行。</w:t>
      </w:r>
    </w:p>
    <w:p w14:paraId="080C2931">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④为保护监测井，应建设监测井井口保护装置，包括井口保护筒、井台或井盖等部分。监测井保护装置应坚固耐用、不易被破坏。</w:t>
      </w:r>
    </w:p>
    <w:p w14:paraId="02EF44D4">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⑤环境监测井宜设置统一标识，包括图形标、监测井铭牌、警示标和警示柱、宣传牌等部分，具体要求详见HJ164附录A。</w:t>
      </w:r>
    </w:p>
    <w:p w14:paraId="29FF886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⑥监测井竣工后，应填写环境监测井建设记录表，并按设计规范进行验收。验收时，施工方应提供环境监测井施工验收记录表和设施验收记录表，以及钻探班报表、物探测井、下管、填砾、止水、抽水试验等原始记录及代表性岩芯。</w:t>
      </w:r>
    </w:p>
    <w:p w14:paraId="79094ADD">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⑦对每个监测井建立环境监测井基本情况表。</w:t>
      </w:r>
    </w:p>
    <w:p w14:paraId="03AC3164">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⑧每年应指派专人对监测井的设施进行维护，设施一经损坏，必须及时修复；井口固定点标志和孔口保护帽等发生移位或损坏时，必须及时修复。</w:t>
      </w:r>
    </w:p>
    <w:p w14:paraId="0D3C5619">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⑨每年测量监测井井深一次，当监测井内淤积物淤没滤水管，应及时清淤。</w:t>
      </w:r>
    </w:p>
    <w:p w14:paraId="1C3E882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（2）监测频率及监测因子</w:t>
      </w:r>
    </w:p>
    <w:p w14:paraId="25FAFB8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以地下水潜水含水层为主要监测对象，监测频率为：每季度监测1次（在遇突发地下水污染事件时应加密监测频率）。监测因子主要为耗氧量、氨氮、总硬度、硝酸盐氮、亚硝酸盐氮、氯化物、挥发酚、六价铬、总大肠菌群、石油类等，并同时进行水位测量。</w:t>
      </w:r>
    </w:p>
    <w:p w14:paraId="2890CB2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（3）管理措施</w:t>
      </w:r>
    </w:p>
    <w:p w14:paraId="55CD7D5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①设立专门的环境保护管理部门，由专人负责防止地下水污染管理工作。</w:t>
      </w:r>
    </w:p>
    <w:p w14:paraId="474E4FF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②公司环境保护管理部门应委托具有地下水监测资质的单位负责地下水监测工作，并按要求及时分析整理原始资料、监测报告的编写工作。</w:t>
      </w:r>
    </w:p>
    <w:p w14:paraId="225E9D0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③建立地下水监测数据数据库，与项目区环境管理系统相联系。</w:t>
      </w:r>
    </w:p>
    <w:p w14:paraId="22BA2D3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④根据实际情况，按发生事故的性质、类型、影响范围、严重后果分等级地制订相应的预案。在制定预案时要根据本场环境污染事故潜在威胁的情况，认真细致地考虑各项影响因素，适当的时候组织有关部门、人员进行演练，不断补充完善。</w:t>
      </w:r>
    </w:p>
    <w:p w14:paraId="5B66835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（4）技术措施</w:t>
      </w:r>
    </w:p>
    <w:p w14:paraId="06CA201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①按照《地下水环境监测技术规范》要求，及时上报监测数据和有关表格。</w:t>
      </w:r>
    </w:p>
    <w:p w14:paraId="133EBB2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②在例行监测中，一旦发现地下水水质监测数据异常，应尽快核查数据，确保数据的正确性。并将核查过的监测数据通告场区安全环保部门，由专人负责对数据进行分析、核实，并密切关注生产设施的运行情况，为防止地下水污染采取措施提供正确的依据。应采取的措施如下：</w:t>
      </w:r>
    </w:p>
    <w:p w14:paraId="689E66A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了解场区生产是否出现异常情况，出现异常情况的装置、原因。加大监测密度，如监测频率由每年1次临时加密为每天一次或更多，连续多天，分析变化动向。</w:t>
      </w:r>
    </w:p>
    <w:p w14:paraId="1FD4602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③定期编写地下水动态监测报告。</w:t>
      </w:r>
    </w:p>
    <w:p w14:paraId="0601E51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④定期对污染区的生产装置、阀门、管道等进行检查。</w:t>
      </w:r>
    </w:p>
    <w:p w14:paraId="0C9923C0">
      <w:pPr>
        <w:pStyle w:val="10"/>
      </w:pPr>
      <w:r>
        <w:rPr>
          <w:rFonts w:hint="eastAsia"/>
        </w:rPr>
        <w:t>应急机制</w:t>
      </w:r>
    </w:p>
    <w:p w14:paraId="1EADAF1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（1）应急预案</w:t>
      </w:r>
    </w:p>
    <w:p w14:paraId="0823565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在制定全厂安全管理体制的基础上，制订专门的地下水污染事故的应急预案，并应与其它应急预案相协调。地下水应急预案应包括以下内容：</w:t>
      </w:r>
    </w:p>
    <w:p w14:paraId="4EB3C53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①应急预案的日常协调和指挥机构；</w:t>
      </w:r>
    </w:p>
    <w:p w14:paraId="61A1634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②相关部门在应急预案中的职责和分工；</w:t>
      </w:r>
    </w:p>
    <w:p w14:paraId="076AC9F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③地下水环境保护目标的确定，采取的紧急处置措施和潜在污染可能性评估；</w:t>
      </w:r>
    </w:p>
    <w:p w14:paraId="26D3493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④特大事故应急救援组织状况和人员、装备情况，平常的训练和演习；</w:t>
      </w:r>
    </w:p>
    <w:p w14:paraId="12ACDB8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⑤特大事故的社会支持和援助，应急救援的经费保障。</w:t>
      </w:r>
    </w:p>
    <w:p w14:paraId="0C6EE9B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（2）应急处置</w:t>
      </w:r>
    </w:p>
    <w:p w14:paraId="1608EE3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一旦发现地下水发生异常情况，必须按照应急预案马上采取紧急措施。</w:t>
      </w:r>
    </w:p>
    <w:p w14:paraId="6FA8956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①当确定发生地下水异常情况时，按照制订的地下水应急预案，在第一时间内尽快上报主管领导，通知当地生态环境主管部门，密切关注地下水水质变化情况。</w:t>
      </w:r>
    </w:p>
    <w:p w14:paraId="3178FBF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②组织专业队伍对事故现场进行调查、监测，查找环境事故发生地点、分析事故原因，尽量将紧急事件局部化，如可能应予以消除，采取包括切断生产装置或设施等措施，对污水进行封闭、截流，防止事故的扩散、蔓延及连锁反应，尽量缩小地下水污染事故对人和财产的影响。</w:t>
      </w:r>
    </w:p>
    <w:p w14:paraId="09681C1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③控制污染区地下水流场，防止污染物扩散。地下水排水系统是根据建设项目对地下水可能产生影响而采取的被动防范措施，是建设项目环境工程的重要组成部分。当地下水污染事件发生后，启动地下水排水应急系统，抽出污水送污水处理站集中处理，可有效抑制污染物向下游扩散速度，控制污染范围，使地下水质量得到尽快恢复。</w:t>
      </w:r>
    </w:p>
    <w:p w14:paraId="7A0B3A0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④对事故后果进行评估，并制定防止类似事件发生的措施。</w:t>
      </w:r>
    </w:p>
    <w:p w14:paraId="586507F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⑤如果自身力量无法应对污染事故，应立即请求社会应急力量协助处理。</w:t>
      </w:r>
    </w:p>
    <w:p w14:paraId="0549E405">
      <w:pPr>
        <w:pStyle w:val="10"/>
      </w:pPr>
      <w:r>
        <w:rPr>
          <w:rFonts w:hint="eastAsia"/>
        </w:rPr>
        <w:t>预防地下水污染的措施和要求</w:t>
      </w:r>
    </w:p>
    <w:p w14:paraId="4DE7D8C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参考《石油化工防渗工程技术规范》（GB/T50934-2013）中的相关要求，采取如下的地下水防护措施和要求：</w:t>
      </w:r>
    </w:p>
    <w:p w14:paraId="5273715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（1）根据不同防渗区的相关要求，选择相应的防渗方案</w:t>
      </w:r>
    </w:p>
    <w:p w14:paraId="24C9167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①地面防渗方案可采用粘土防渗、混凝土防渗、HDPE膜防渗和钠基膨润土防水毯防渗层。</w:t>
      </w:r>
    </w:p>
    <w:p w14:paraId="29D82E0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②污染防治区地面应坡向排水口/沟，地面坡度根据总体竖向布置确定，坡度不宜小于0.3%。</w:t>
      </w:r>
    </w:p>
    <w:p w14:paraId="656AC9B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③当污染物对防渗层有腐蚀作用时，应进行表面涂覆环氧树脂防腐处理。</w:t>
      </w:r>
    </w:p>
    <w:p w14:paraId="4CC93F0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（2）根据国家现行相关规范采取防止和降低污染物跑、冒、滴、漏的措施。</w:t>
      </w:r>
    </w:p>
    <w:p w14:paraId="638E643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（3）污染防治区应采取防止污染物流出边界的措施，储罐区应设置围堰，并做防渗处理。</w:t>
      </w:r>
    </w:p>
    <w:p w14:paraId="522ED22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（4）防渗层基层应具有一定承载能力，防止由于基层不均匀沉降等引起防渗层开裂、撕裂，必要时应对基层进行处理。</w:t>
      </w:r>
    </w:p>
    <w:p w14:paraId="58FCE9E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（5）施工时应加强防渗层的缩缝、变形缝及与建构筑物基础间的缝隙密封的质量控制，施工后应进行严格质量检验。</w:t>
      </w:r>
    </w:p>
    <w:p w14:paraId="3457CDD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6）选择防渗方案时应重视施工、材料的健康、安全和环境的要求。防渗工程所选用的材料应符合下列规定：应具有与所接触的物料相兼容；应具有相应的物理力学性能；应具有抗化学腐蚀能力；应具有抗老化能力等性能。</w:t>
      </w:r>
    </w:p>
    <w:p w14:paraId="6FCDFE0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（7）正常生产过程中应加强巡检及时处理污染物跑、冒、滴、漏，同时应加强对防渗工程的检查，若发现防渗密封材料老化或损坏，应及时维修更换。</w:t>
      </w:r>
    </w:p>
    <w:p w14:paraId="3B844EB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8）施工技术人员应掌握所承担防渗工程的技术要求、质量标准等，施工中应有专人负责质量控制，并做好施工记录。当出现异常情况时，应及时会同有关部门妥善解决，施工过程中应进行质量监理，施工结束后应按国家有关规定进行工程质量检验和验收。</w:t>
      </w:r>
    </w:p>
    <w:p w14:paraId="362EAD33">
      <w:pPr>
        <w:pStyle w:val="9"/>
      </w:pPr>
      <w:bookmarkStart w:id="223" w:name="_Toc204062679"/>
      <w:r>
        <w:rPr>
          <w:rFonts w:hint="eastAsia"/>
        </w:rPr>
        <w:t>噪声污染防治措施</w:t>
      </w:r>
      <w:bookmarkEnd w:id="223"/>
    </w:p>
    <w:p w14:paraId="2D015AB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项目噪声源主要为各车间反应釜、输料泵、风机等设备运行时产生，噪声源源强在85dB(A)左右，采用如下措施减少生产噪声对周边环境的影响：</w:t>
      </w:r>
    </w:p>
    <w:p w14:paraId="28027AC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（1）利用墙体屏蔽、建筑隔声降噪（其中墙体采用吸音材料）。从厂房结构上降低噪声，增加厂房隔声量；为不影响采光，车间窗户可安装双层窗户。</w:t>
      </w:r>
    </w:p>
    <w:p w14:paraId="022CB24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（2）空气动力机械（如风机）选用低噪声型设备；风机设置专用风机房，并设消声器，降低噪声污染。确保烟气通过风机与排气筒时顺利排出，不反复折叠和产生湍流；风机与排气筒之间设置为软连接。</w:t>
      </w:r>
    </w:p>
    <w:p w14:paraId="07C132E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（3）高噪声设备安装减震设施、采取柔性连接，重点部位墙体敷设吸音材料。设备与管道间采用金属软管柔性</w:t>
      </w:r>
      <w:r>
        <w:rPr>
          <w:rFonts w:hint="eastAsia"/>
          <w:color w:val="0D0D0D" w:themeColor="text1" w:themeTint="F2"/>
          <w:lang w:eastAsia="zh-CN"/>
          <w14:textFill>
            <w14:solidFill>
              <w14:schemeClr w14:val="tx1">
                <w14:lumMod w14:val="95000"/>
                <w14:lumOff w14:val="5000"/>
              </w14:schemeClr>
            </w14:solidFill>
          </w14:textFill>
        </w:rPr>
        <w:t>连接</w:t>
      </w:r>
      <w:r>
        <w:rPr>
          <w:rFonts w:hint="eastAsia"/>
          <w:color w:val="0D0D0D" w:themeColor="text1" w:themeTint="F2"/>
          <w14:textFill>
            <w14:solidFill>
              <w14:schemeClr w14:val="tx1">
                <w14:lumMod w14:val="95000"/>
                <w14:lumOff w14:val="5000"/>
              </w14:schemeClr>
            </w14:solidFill>
          </w14:textFill>
        </w:rPr>
        <w:t>。</w:t>
      </w:r>
    </w:p>
    <w:p w14:paraId="19CA963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（4）加强管理，增强环保意识。建设方必须加强对装卸人员的环保意识教育和技术培训，切实</w:t>
      </w:r>
      <w:r>
        <w:rPr>
          <w:rFonts w:hint="eastAsia"/>
          <w:color w:val="0D0D0D" w:themeColor="text1" w:themeTint="F2"/>
          <w:lang w:eastAsia="zh-CN"/>
          <w14:textFill>
            <w14:solidFill>
              <w14:schemeClr w14:val="tx1">
                <w14:lumMod w14:val="95000"/>
                <w14:lumOff w14:val="5000"/>
              </w14:schemeClr>
            </w14:solidFill>
          </w14:textFill>
        </w:rPr>
        <w:t>做到</w:t>
      </w:r>
      <w:r>
        <w:rPr>
          <w:rFonts w:hint="eastAsia"/>
          <w:color w:val="0D0D0D" w:themeColor="text1" w:themeTint="F2"/>
          <w14:textFill>
            <w14:solidFill>
              <w14:schemeClr w14:val="tx1">
                <w14:lumMod w14:val="95000"/>
                <w14:lumOff w14:val="5000"/>
              </w14:schemeClr>
            </w14:solidFill>
          </w14:textFill>
        </w:rPr>
        <w:t>文明生产，最大限度地降低装卸噪声。</w:t>
      </w:r>
    </w:p>
    <w:p w14:paraId="0624928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项目采取的噪声防治措施，是以噪声源-传播途径-易感人群的噪声作用机理为依据，分别从源头、传播途径、易感人群等环节进行噪声防治，同类企业防治效果证明，上述措施是可行的，也是可靠的。</w:t>
      </w:r>
    </w:p>
    <w:p w14:paraId="26AE58D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通过对产噪设备采取降噪措施，噪声经建筑物遮挡、距离衰减后，项目厂界噪声能满足《工业企业厂界环境噪声排放标准》（GB12348-2008）3类标准。</w:t>
      </w:r>
    </w:p>
    <w:p w14:paraId="442B5AB7">
      <w:pPr>
        <w:pStyle w:val="9"/>
      </w:pPr>
      <w:bookmarkStart w:id="224" w:name="_Toc204062680"/>
      <w:r>
        <w:rPr>
          <w:rFonts w:hint="eastAsia"/>
        </w:rPr>
        <w:t>固体废物污染防治措施</w:t>
      </w:r>
      <w:bookmarkEnd w:id="224"/>
    </w:p>
    <w:p w14:paraId="49DFA06E">
      <w:pPr>
        <w:pStyle w:val="10"/>
      </w:pPr>
      <w:r>
        <w:rPr>
          <w:rFonts w:hint="eastAsia"/>
        </w:rPr>
        <w:t>一般固废</w:t>
      </w:r>
    </w:p>
    <w:p w14:paraId="58CEBD8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项目设置1间一般固废暂存间，对一般固废暂存间采取防风、防雨水冲刷、防晒、防渗处理，以确保一般工业固废的安全暂存。</w:t>
      </w:r>
    </w:p>
    <w:p w14:paraId="2EBAB17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管理要求如下：</w:t>
      </w:r>
    </w:p>
    <w:p w14:paraId="4B3601F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①须禁止危险废物和生活垃圾混入；</w:t>
      </w:r>
    </w:p>
    <w:p w14:paraId="71F5FFE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②装卸时尽量减少散落，采用密闭运输，不得超载，禁止与不同类型固废混装运输；</w:t>
      </w:r>
    </w:p>
    <w:p w14:paraId="15F3857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③应建立档案制度，将入场的一般工业固体废物的数量详细记录在案，长期保存，供随时查阅。</w:t>
      </w:r>
    </w:p>
    <w:p w14:paraId="78EA7717">
      <w:pPr>
        <w:pStyle w:val="10"/>
      </w:pPr>
      <w:r>
        <w:rPr>
          <w:rFonts w:hint="eastAsia"/>
        </w:rPr>
        <w:t>危险废物</w:t>
      </w:r>
    </w:p>
    <w:p w14:paraId="67587CD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项目设置1间危废暂存间，按照《危险废物贮存污染控制标准》（GB18597-2023）要求建设，要求如下：</w:t>
      </w:r>
    </w:p>
    <w:p w14:paraId="4D25F03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①须做好危险废物情况的</w:t>
      </w:r>
      <w:r>
        <w:rPr>
          <w:rFonts w:hint="eastAsia"/>
          <w:color w:val="0D0D0D" w:themeColor="text1" w:themeTint="F2"/>
          <w:lang w:eastAsia="zh-CN"/>
          <w14:textFill>
            <w14:solidFill>
              <w14:schemeClr w14:val="tx1">
                <w14:lumMod w14:val="95000"/>
                <w14:lumOff w14:val="5000"/>
              </w14:schemeClr>
            </w14:solidFill>
          </w14:textFill>
        </w:rPr>
        <w:t>记录</w:t>
      </w:r>
      <w:r>
        <w:rPr>
          <w:rFonts w:hint="eastAsia"/>
          <w:color w:val="0D0D0D" w:themeColor="text1" w:themeTint="F2"/>
          <w14:textFill>
            <w14:solidFill>
              <w14:schemeClr w14:val="tx1">
                <w14:lumMod w14:val="95000"/>
                <w14:lumOff w14:val="5000"/>
              </w14:schemeClr>
            </w14:solidFill>
          </w14:textFill>
        </w:rPr>
        <w:t>，记录上须注明危险废物的名称、来源、数量、特性和包装容器的类别、入库日期、堆放库位、废物出库日期及接收单位名称，并对各类固废分类堆存。</w:t>
      </w:r>
    </w:p>
    <w:p w14:paraId="437C4C8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②加强固废在厂内和厂外的转运管理，严格废渣转运信道，尽量减少固废撒落，对撒落的固废进行及时清扫，避免二次污染。</w:t>
      </w:r>
    </w:p>
    <w:p w14:paraId="129006B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③定期对危废暂存间进行检查，发现破损，应及时进行修理。</w:t>
      </w:r>
    </w:p>
    <w:p w14:paraId="654B45B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④按GB15562.2的规定设置警示标志。</w:t>
      </w:r>
    </w:p>
    <w:p w14:paraId="449D48BD">
      <w:pPr>
        <w:pStyle w:val="9"/>
      </w:pPr>
      <w:bookmarkStart w:id="225" w:name="_Toc204062681"/>
      <w:r>
        <w:rPr>
          <w:rFonts w:hint="eastAsia"/>
        </w:rPr>
        <w:t>土壤污染防治措施</w:t>
      </w:r>
      <w:bookmarkEnd w:id="225"/>
    </w:p>
    <w:p w14:paraId="24CEAE1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对产生的废水进行合理的治理和综合利用，以先进工艺、管道、设备、污水储存，尽可能从源头上减少可能污染物产生；严格按照国家相关规范要求，对工艺、管道、设备、污水储存及处理构筑物采取相应的措施，以防止和降低可能污染物的跑、冒、滴、漏，将废水泄漏的环境风险事故降低到最低程度；优化排水系统设计，生产废水在厂区内收集及预处理后通过管线送至厂区污水处理站处理；管线铺设尽量采用“可视化”原则，即管道尽可</w:t>
      </w:r>
      <w:r>
        <w:rPr>
          <w:rFonts w:hint="eastAsia"/>
          <w:color w:val="0D0D0D" w:themeColor="text1" w:themeTint="F2"/>
          <w:lang w:eastAsia="zh-CN"/>
          <w14:textFill>
            <w14:solidFill>
              <w14:schemeClr w14:val="tx1">
                <w14:lumMod w14:val="95000"/>
                <w14:lumOff w14:val="5000"/>
              </w14:schemeClr>
            </w14:solidFill>
          </w14:textFill>
        </w:rPr>
        <w:t>能在</w:t>
      </w:r>
      <w:r>
        <w:rPr>
          <w:rFonts w:hint="eastAsia"/>
          <w:color w:val="0D0D0D" w:themeColor="text1" w:themeTint="F2"/>
          <w14:textFill>
            <w14:solidFill>
              <w14:schemeClr w14:val="tx1">
                <w14:lumMod w14:val="95000"/>
                <w14:lumOff w14:val="5000"/>
              </w14:schemeClr>
            </w14:solidFill>
          </w14:textFill>
        </w:rPr>
        <w:t>地上铺设，做到污染物“早发现、早处理”，以减少由于埋地管道泄漏而可能造成的地下水污染，主装置生产废水管道沿地上的管廊铺设，只有生活污水、雨水等走地下管道。进行质量体系认证，实现“质量、安全、环境”三位一体的全面质量管理目标。设立地下水动态监测小组，负责对地下水环境监测和管理，或者委托专业的机构完成。建立有关规章制度和岗位责任制。制定风险预警方案，设立应急设施减少环境污染影响。</w:t>
      </w:r>
    </w:p>
    <w:p w14:paraId="4A709C4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项目严格按化工装置的建设规范要求，装置区、仓库区也必须是钢筋混凝土进行表面硬化处理，原料、物料及污水输送管线也</w:t>
      </w:r>
      <w:r>
        <w:rPr>
          <w:rFonts w:hint="eastAsia"/>
          <w:color w:val="0D0D0D" w:themeColor="text1" w:themeTint="F2"/>
          <w:lang w:eastAsia="zh-CN"/>
          <w14:textFill>
            <w14:solidFill>
              <w14:schemeClr w14:val="tx1">
                <w14:lumMod w14:val="95000"/>
                <w14:lumOff w14:val="5000"/>
              </w14:schemeClr>
            </w14:solidFill>
          </w14:textFill>
        </w:rPr>
        <w:t>必须</w:t>
      </w:r>
      <w:r>
        <w:rPr>
          <w:rFonts w:hint="eastAsia"/>
          <w:color w:val="0D0D0D" w:themeColor="text1" w:themeTint="F2"/>
          <w14:textFill>
            <w14:solidFill>
              <w14:schemeClr w14:val="tx1">
                <w14:lumMod w14:val="95000"/>
                <w14:lumOff w14:val="5000"/>
              </w14:schemeClr>
            </w14:solidFill>
          </w14:textFill>
        </w:rPr>
        <w:t>经过防腐防渗处理，并对各类储罐做好防渗检测工作，发生事故后及时清理污染土壤，可减弱污染事件对土壤的影响，进一步保护项目场地的土壤环境。</w:t>
      </w:r>
    </w:p>
    <w:p w14:paraId="1BE9CF5D">
      <w:pPr>
        <w:pStyle w:val="8"/>
      </w:pPr>
      <w:bookmarkStart w:id="226" w:name="_Toc204062682"/>
      <w:r>
        <w:rPr>
          <w:rFonts w:hint="eastAsia"/>
        </w:rPr>
        <w:t>环保投资分析</w:t>
      </w:r>
      <w:bookmarkEnd w:id="226"/>
    </w:p>
    <w:p w14:paraId="11EDBF37">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项目环保投资为410万元，占总投资12500万元的3.28%，环保投资详见表7.3-1。</w:t>
      </w:r>
    </w:p>
    <w:p w14:paraId="702DF7DC">
      <w:pPr>
        <w:pStyle w:val="11"/>
        <w:numPr>
          <w:ilvl w:val="4"/>
          <w:numId w:val="59"/>
        </w:numPr>
      </w:pPr>
      <w:r>
        <w:rPr>
          <w:rFonts w:hint="eastAsia"/>
        </w:rPr>
        <w:t xml:space="preserve"> 环保投资估算表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7"/>
        <w:gridCol w:w="1961"/>
        <w:gridCol w:w="4068"/>
        <w:gridCol w:w="1017"/>
        <w:gridCol w:w="819"/>
      </w:tblGrid>
      <w:tr w14:paraId="29E53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806" w:type="pct"/>
            <w:gridSpan w:val="2"/>
            <w:vAlign w:val="center"/>
          </w:tcPr>
          <w:p w14:paraId="67A05720">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cs="Times New Roman"/>
                <w:snapToGrid w:val="0"/>
                <w:color w:val="0D0D0D" w:themeColor="text1" w:themeTint="F2"/>
                <w:sz w:val="21"/>
                <w:szCs w:val="21"/>
                <w:u w:val="single"/>
                <w14:textFill>
                  <w14:solidFill>
                    <w14:schemeClr w14:val="tx1">
                      <w14:lumMod w14:val="95000"/>
                      <w14:lumOff w14:val="5000"/>
                    </w14:schemeClr>
                  </w14:solidFill>
                </w14:textFill>
              </w:rPr>
              <w:t>投资项目</w:t>
            </w:r>
          </w:p>
        </w:tc>
        <w:tc>
          <w:tcPr>
            <w:tcW w:w="2201" w:type="pct"/>
            <w:vAlign w:val="center"/>
          </w:tcPr>
          <w:p w14:paraId="0D3B43C4">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cs="Times New Roman"/>
                <w:snapToGrid w:val="0"/>
                <w:color w:val="0D0D0D" w:themeColor="text1" w:themeTint="F2"/>
                <w:sz w:val="21"/>
                <w:szCs w:val="21"/>
                <w:u w:val="single"/>
                <w14:textFill>
                  <w14:solidFill>
                    <w14:schemeClr w14:val="tx1">
                      <w14:lumMod w14:val="95000"/>
                      <w14:lumOff w14:val="5000"/>
                    </w14:schemeClr>
                  </w14:solidFill>
                </w14:textFill>
              </w:rPr>
              <w:t>内容</w:t>
            </w:r>
          </w:p>
        </w:tc>
        <w:tc>
          <w:tcPr>
            <w:tcW w:w="550" w:type="pct"/>
            <w:vAlign w:val="center"/>
          </w:tcPr>
          <w:p w14:paraId="35A36137">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cs="Times New Roman"/>
                <w:snapToGrid w:val="0"/>
                <w:color w:val="0D0D0D" w:themeColor="text1" w:themeTint="F2"/>
                <w:sz w:val="21"/>
                <w:szCs w:val="21"/>
                <w:u w:val="single"/>
                <w14:textFill>
                  <w14:solidFill>
                    <w14:schemeClr w14:val="tx1">
                      <w14:lumMod w14:val="95000"/>
                      <w14:lumOff w14:val="5000"/>
                    </w14:schemeClr>
                  </w14:solidFill>
                </w14:textFill>
              </w:rPr>
              <w:t>投资</w:t>
            </w:r>
          </w:p>
        </w:tc>
        <w:tc>
          <w:tcPr>
            <w:tcW w:w="443" w:type="pct"/>
            <w:vAlign w:val="center"/>
          </w:tcPr>
          <w:p w14:paraId="57D5387F">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cs="Times New Roman"/>
                <w:snapToGrid w:val="0"/>
                <w:color w:val="0D0D0D" w:themeColor="text1" w:themeTint="F2"/>
                <w:sz w:val="21"/>
                <w:szCs w:val="21"/>
                <w:u w:val="single"/>
                <w14:textFill>
                  <w14:solidFill>
                    <w14:schemeClr w14:val="tx1">
                      <w14:lumMod w14:val="95000"/>
                      <w14:lumOff w14:val="5000"/>
                    </w14:schemeClr>
                  </w14:solidFill>
                </w14:textFill>
              </w:rPr>
              <w:t>小计</w:t>
            </w:r>
          </w:p>
        </w:tc>
      </w:tr>
      <w:tr w14:paraId="1A038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vAlign w:val="center"/>
          </w:tcPr>
          <w:p w14:paraId="5AA8D516">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cs="Times New Roman"/>
                <w:snapToGrid w:val="0"/>
                <w:color w:val="0D0D0D" w:themeColor="text1" w:themeTint="F2"/>
                <w:sz w:val="21"/>
                <w:szCs w:val="21"/>
                <w:u w:val="single"/>
                <w14:textFill>
                  <w14:solidFill>
                    <w14:schemeClr w14:val="tx1">
                      <w14:lumMod w14:val="95000"/>
                      <w14:lumOff w14:val="5000"/>
                    </w14:schemeClr>
                  </w14:solidFill>
                </w14:textFill>
              </w:rPr>
              <w:t>一、施工期</w:t>
            </w:r>
          </w:p>
        </w:tc>
      </w:tr>
      <w:tr w14:paraId="4D9F8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pct"/>
            <w:vAlign w:val="center"/>
          </w:tcPr>
          <w:p w14:paraId="14610AAA">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cs="Times New Roman"/>
                <w:snapToGrid w:val="0"/>
                <w:color w:val="0D0D0D" w:themeColor="text1" w:themeTint="F2"/>
                <w:sz w:val="21"/>
                <w:szCs w:val="21"/>
                <w:u w:val="single"/>
                <w14:textFill>
                  <w14:solidFill>
                    <w14:schemeClr w14:val="tx1">
                      <w14:lumMod w14:val="95000"/>
                      <w14:lumOff w14:val="5000"/>
                    </w14:schemeClr>
                  </w14:solidFill>
                </w14:textFill>
              </w:rPr>
              <w:t>大气污染物</w:t>
            </w:r>
          </w:p>
        </w:tc>
        <w:tc>
          <w:tcPr>
            <w:tcW w:w="1061" w:type="pct"/>
            <w:vAlign w:val="center"/>
          </w:tcPr>
          <w:p w14:paraId="69E2E8C8">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cs="Times New Roman"/>
                <w:snapToGrid w:val="0"/>
                <w:color w:val="0D0D0D" w:themeColor="text1" w:themeTint="F2"/>
                <w:sz w:val="21"/>
                <w:szCs w:val="21"/>
                <w:u w:val="single"/>
                <w14:textFill>
                  <w14:solidFill>
                    <w14:schemeClr w14:val="tx1">
                      <w14:lumMod w14:val="95000"/>
                      <w14:lumOff w14:val="5000"/>
                    </w14:schemeClr>
                  </w14:solidFill>
                </w14:textFill>
              </w:rPr>
              <w:t>扬尘</w:t>
            </w:r>
          </w:p>
        </w:tc>
        <w:tc>
          <w:tcPr>
            <w:tcW w:w="2201" w:type="pct"/>
            <w:vAlign w:val="center"/>
          </w:tcPr>
          <w:p w14:paraId="4109365E">
            <w:pPr>
              <w:spacing w:line="240" w:lineRule="auto"/>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cs="Times New Roman"/>
                <w:snapToGrid w:val="0"/>
                <w:color w:val="0D0D0D" w:themeColor="text1" w:themeTint="F2"/>
                <w:sz w:val="21"/>
                <w:szCs w:val="21"/>
                <w:u w:val="single"/>
                <w14:textFill>
                  <w14:solidFill>
                    <w14:schemeClr w14:val="tx1">
                      <w14:lumMod w14:val="95000"/>
                      <w14:lumOff w14:val="5000"/>
                    </w14:schemeClr>
                  </w14:solidFill>
                </w14:textFill>
              </w:rPr>
              <w:t>洒水抑尘、构筑物防护网、施工期</w:t>
            </w: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围挡</w:t>
            </w:r>
            <w:r>
              <w:rPr>
                <w:rFonts w:cs="Times New Roman"/>
                <w:snapToGrid w:val="0"/>
                <w:color w:val="0D0D0D" w:themeColor="text1" w:themeTint="F2"/>
                <w:sz w:val="21"/>
                <w:szCs w:val="21"/>
                <w:u w:val="single"/>
                <w14:textFill>
                  <w14:solidFill>
                    <w14:schemeClr w14:val="tx1">
                      <w14:lumMod w14:val="95000"/>
                      <w14:lumOff w14:val="5000"/>
                    </w14:schemeClr>
                  </w14:solidFill>
                </w14:textFill>
              </w:rPr>
              <w:t>等</w:t>
            </w:r>
          </w:p>
        </w:tc>
        <w:tc>
          <w:tcPr>
            <w:tcW w:w="550" w:type="pct"/>
            <w:vAlign w:val="center"/>
          </w:tcPr>
          <w:p w14:paraId="19779BB4">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2</w:t>
            </w:r>
          </w:p>
        </w:tc>
        <w:tc>
          <w:tcPr>
            <w:tcW w:w="443" w:type="pct"/>
            <w:vMerge w:val="restart"/>
            <w:vAlign w:val="center"/>
          </w:tcPr>
          <w:p w14:paraId="1C9CFCEB">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1</w:t>
            </w:r>
            <w:r>
              <w:rPr>
                <w:rFonts w:cs="Times New Roman"/>
                <w:snapToGrid w:val="0"/>
                <w:color w:val="0D0D0D" w:themeColor="text1" w:themeTint="F2"/>
                <w:sz w:val="21"/>
                <w:szCs w:val="21"/>
                <w:u w:val="single"/>
                <w14:textFill>
                  <w14:solidFill>
                    <w14:schemeClr w14:val="tx1">
                      <w14:lumMod w14:val="95000"/>
                      <w14:lumOff w14:val="5000"/>
                    </w14:schemeClr>
                  </w14:solidFill>
                </w14:textFill>
              </w:rPr>
              <w:t>0</w:t>
            </w:r>
          </w:p>
        </w:tc>
      </w:tr>
      <w:tr w14:paraId="42FE6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pct"/>
            <w:vAlign w:val="center"/>
          </w:tcPr>
          <w:p w14:paraId="7B84FEA5">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cs="Times New Roman"/>
                <w:snapToGrid w:val="0"/>
                <w:color w:val="0D0D0D" w:themeColor="text1" w:themeTint="F2"/>
                <w:sz w:val="21"/>
                <w:szCs w:val="21"/>
                <w:u w:val="single"/>
                <w14:textFill>
                  <w14:solidFill>
                    <w14:schemeClr w14:val="tx1">
                      <w14:lumMod w14:val="95000"/>
                      <w14:lumOff w14:val="5000"/>
                    </w14:schemeClr>
                  </w14:solidFill>
                </w14:textFill>
              </w:rPr>
              <w:t>废水防治</w:t>
            </w:r>
          </w:p>
        </w:tc>
        <w:tc>
          <w:tcPr>
            <w:tcW w:w="1061" w:type="pct"/>
            <w:vAlign w:val="center"/>
          </w:tcPr>
          <w:p w14:paraId="3829F9C7">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cs="Times New Roman"/>
                <w:snapToGrid w:val="0"/>
                <w:color w:val="0D0D0D" w:themeColor="text1" w:themeTint="F2"/>
                <w:sz w:val="21"/>
                <w:szCs w:val="21"/>
                <w:u w:val="single"/>
                <w14:textFill>
                  <w14:solidFill>
                    <w14:schemeClr w14:val="tx1">
                      <w14:lumMod w14:val="95000"/>
                      <w14:lumOff w14:val="5000"/>
                    </w14:schemeClr>
                  </w14:solidFill>
                </w14:textFill>
              </w:rPr>
              <w:t>施工废水</w:t>
            </w:r>
          </w:p>
        </w:tc>
        <w:tc>
          <w:tcPr>
            <w:tcW w:w="2201" w:type="pct"/>
            <w:vAlign w:val="center"/>
          </w:tcPr>
          <w:p w14:paraId="3D600842">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临时</w:t>
            </w:r>
            <w:r>
              <w:rPr>
                <w:rFonts w:cs="Times New Roman"/>
                <w:snapToGrid w:val="0"/>
                <w:color w:val="0D0D0D" w:themeColor="text1" w:themeTint="F2"/>
                <w:sz w:val="21"/>
                <w:szCs w:val="21"/>
                <w:u w:val="single"/>
                <w14:textFill>
                  <w14:solidFill>
                    <w14:schemeClr w14:val="tx1">
                      <w14:lumMod w14:val="95000"/>
                      <w14:lumOff w14:val="5000"/>
                    </w14:schemeClr>
                  </w14:solidFill>
                </w14:textFill>
              </w:rPr>
              <w:t>沉淀池</w:t>
            </w: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、化粪池</w:t>
            </w:r>
          </w:p>
        </w:tc>
        <w:tc>
          <w:tcPr>
            <w:tcW w:w="550" w:type="pct"/>
            <w:vAlign w:val="center"/>
          </w:tcPr>
          <w:p w14:paraId="282991F6">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3</w:t>
            </w:r>
          </w:p>
        </w:tc>
        <w:tc>
          <w:tcPr>
            <w:tcW w:w="443" w:type="pct"/>
            <w:vMerge w:val="continue"/>
            <w:vAlign w:val="center"/>
          </w:tcPr>
          <w:p w14:paraId="5DD156DE">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p>
        </w:tc>
      </w:tr>
      <w:tr w14:paraId="10A38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pct"/>
            <w:vAlign w:val="center"/>
          </w:tcPr>
          <w:p w14:paraId="35CCBAF3">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cs="Times New Roman"/>
                <w:snapToGrid w:val="0"/>
                <w:color w:val="0D0D0D" w:themeColor="text1" w:themeTint="F2"/>
                <w:sz w:val="21"/>
                <w:szCs w:val="21"/>
                <w:u w:val="single"/>
                <w14:textFill>
                  <w14:solidFill>
                    <w14:schemeClr w14:val="tx1">
                      <w14:lumMod w14:val="95000"/>
                      <w14:lumOff w14:val="5000"/>
                    </w14:schemeClr>
                  </w14:solidFill>
                </w14:textFill>
              </w:rPr>
              <w:t>噪声防治</w:t>
            </w:r>
          </w:p>
        </w:tc>
        <w:tc>
          <w:tcPr>
            <w:tcW w:w="1061" w:type="pct"/>
            <w:vAlign w:val="center"/>
          </w:tcPr>
          <w:p w14:paraId="0A2CD48C">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cs="Times New Roman"/>
                <w:snapToGrid w:val="0"/>
                <w:color w:val="0D0D0D" w:themeColor="text1" w:themeTint="F2"/>
                <w:sz w:val="21"/>
                <w:szCs w:val="21"/>
                <w:u w:val="single"/>
                <w14:textFill>
                  <w14:solidFill>
                    <w14:schemeClr w14:val="tx1">
                      <w14:lumMod w14:val="95000"/>
                      <w14:lumOff w14:val="5000"/>
                    </w14:schemeClr>
                  </w14:solidFill>
                </w14:textFill>
              </w:rPr>
              <w:t>设备噪声</w:t>
            </w:r>
          </w:p>
        </w:tc>
        <w:tc>
          <w:tcPr>
            <w:tcW w:w="2201" w:type="pct"/>
            <w:vAlign w:val="center"/>
          </w:tcPr>
          <w:p w14:paraId="74E2B149">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cs="Times New Roman"/>
                <w:snapToGrid w:val="0"/>
                <w:color w:val="0D0D0D" w:themeColor="text1" w:themeTint="F2"/>
                <w:sz w:val="21"/>
                <w:szCs w:val="21"/>
                <w:u w:val="single"/>
                <w14:textFill>
                  <w14:solidFill>
                    <w14:schemeClr w14:val="tx1">
                      <w14:lumMod w14:val="95000"/>
                      <w14:lumOff w14:val="5000"/>
                    </w14:schemeClr>
                  </w14:solidFill>
                </w14:textFill>
              </w:rPr>
              <w:t>选用低噪声设备、消声器等</w:t>
            </w:r>
          </w:p>
        </w:tc>
        <w:tc>
          <w:tcPr>
            <w:tcW w:w="550" w:type="pct"/>
            <w:vAlign w:val="center"/>
          </w:tcPr>
          <w:p w14:paraId="37B820BA">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2</w:t>
            </w:r>
          </w:p>
        </w:tc>
        <w:tc>
          <w:tcPr>
            <w:tcW w:w="443" w:type="pct"/>
            <w:vMerge w:val="continue"/>
            <w:vAlign w:val="center"/>
          </w:tcPr>
          <w:p w14:paraId="2DCC45EE">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p>
        </w:tc>
      </w:tr>
      <w:tr w14:paraId="74DF4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pct"/>
            <w:vMerge w:val="restart"/>
            <w:vAlign w:val="center"/>
          </w:tcPr>
          <w:p w14:paraId="6C1CB9BE">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cs="Times New Roman"/>
                <w:snapToGrid w:val="0"/>
                <w:color w:val="0D0D0D" w:themeColor="text1" w:themeTint="F2"/>
                <w:sz w:val="21"/>
                <w:szCs w:val="21"/>
                <w:u w:val="single"/>
                <w14:textFill>
                  <w14:solidFill>
                    <w14:schemeClr w14:val="tx1">
                      <w14:lumMod w14:val="95000"/>
                      <w14:lumOff w14:val="5000"/>
                    </w14:schemeClr>
                  </w14:solidFill>
                </w14:textFill>
              </w:rPr>
              <w:t>固体废物</w:t>
            </w:r>
          </w:p>
        </w:tc>
        <w:tc>
          <w:tcPr>
            <w:tcW w:w="1061" w:type="pct"/>
            <w:vAlign w:val="center"/>
          </w:tcPr>
          <w:p w14:paraId="250E8DEF">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cs="Times New Roman"/>
                <w:snapToGrid w:val="0"/>
                <w:color w:val="0D0D0D" w:themeColor="text1" w:themeTint="F2"/>
                <w:sz w:val="21"/>
                <w:szCs w:val="21"/>
                <w:u w:val="single"/>
                <w14:textFill>
                  <w14:solidFill>
                    <w14:schemeClr w14:val="tx1">
                      <w14:lumMod w14:val="95000"/>
                      <w14:lumOff w14:val="5000"/>
                    </w14:schemeClr>
                  </w14:solidFill>
                </w14:textFill>
              </w:rPr>
              <w:t>建筑垃圾</w:t>
            </w:r>
          </w:p>
        </w:tc>
        <w:tc>
          <w:tcPr>
            <w:tcW w:w="2201" w:type="pct"/>
            <w:vAlign w:val="center"/>
          </w:tcPr>
          <w:p w14:paraId="3A67D07B">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cs="Times New Roman"/>
                <w:snapToGrid w:val="0"/>
                <w:color w:val="0D0D0D" w:themeColor="text1" w:themeTint="F2"/>
                <w:sz w:val="21"/>
                <w:szCs w:val="21"/>
                <w:u w:val="single"/>
                <w14:textFill>
                  <w14:solidFill>
                    <w14:schemeClr w14:val="tx1">
                      <w14:lumMod w14:val="95000"/>
                      <w14:lumOff w14:val="5000"/>
                    </w14:schemeClr>
                  </w14:solidFill>
                </w14:textFill>
              </w:rPr>
              <w:t>建筑垃圾清运</w:t>
            </w:r>
          </w:p>
        </w:tc>
        <w:tc>
          <w:tcPr>
            <w:tcW w:w="550" w:type="pct"/>
            <w:vAlign w:val="center"/>
          </w:tcPr>
          <w:p w14:paraId="3BB5E38A">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2</w:t>
            </w:r>
          </w:p>
        </w:tc>
        <w:tc>
          <w:tcPr>
            <w:tcW w:w="443" w:type="pct"/>
            <w:vMerge w:val="continue"/>
            <w:vAlign w:val="center"/>
          </w:tcPr>
          <w:p w14:paraId="4BE6EB57">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p>
        </w:tc>
      </w:tr>
      <w:tr w14:paraId="6EAAA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pct"/>
            <w:vMerge w:val="continue"/>
            <w:vAlign w:val="center"/>
          </w:tcPr>
          <w:p w14:paraId="35273406">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p>
        </w:tc>
        <w:tc>
          <w:tcPr>
            <w:tcW w:w="1061" w:type="pct"/>
            <w:vAlign w:val="center"/>
          </w:tcPr>
          <w:p w14:paraId="3C03A96A">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cs="Times New Roman"/>
                <w:snapToGrid w:val="0"/>
                <w:color w:val="0D0D0D" w:themeColor="text1" w:themeTint="F2"/>
                <w:sz w:val="21"/>
                <w:szCs w:val="21"/>
                <w:u w:val="single"/>
                <w14:textFill>
                  <w14:solidFill>
                    <w14:schemeClr w14:val="tx1">
                      <w14:lumMod w14:val="95000"/>
                      <w14:lumOff w14:val="5000"/>
                    </w14:schemeClr>
                  </w14:solidFill>
                </w14:textFill>
              </w:rPr>
              <w:t>生活垃圾</w:t>
            </w:r>
          </w:p>
        </w:tc>
        <w:tc>
          <w:tcPr>
            <w:tcW w:w="2201" w:type="pct"/>
            <w:vAlign w:val="center"/>
          </w:tcPr>
          <w:p w14:paraId="73871C2D">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cs="Times New Roman"/>
                <w:snapToGrid w:val="0"/>
                <w:color w:val="0D0D0D" w:themeColor="text1" w:themeTint="F2"/>
                <w:sz w:val="21"/>
                <w:szCs w:val="21"/>
                <w:u w:val="single"/>
                <w14:textFill>
                  <w14:solidFill>
                    <w14:schemeClr w14:val="tx1">
                      <w14:lumMod w14:val="95000"/>
                      <w14:lumOff w14:val="5000"/>
                    </w14:schemeClr>
                  </w14:solidFill>
                </w14:textFill>
              </w:rPr>
              <w:t>生活垃圾收集及清运</w:t>
            </w:r>
          </w:p>
        </w:tc>
        <w:tc>
          <w:tcPr>
            <w:tcW w:w="550" w:type="pct"/>
            <w:vAlign w:val="center"/>
          </w:tcPr>
          <w:p w14:paraId="2150CDEE">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1</w:t>
            </w:r>
          </w:p>
        </w:tc>
        <w:tc>
          <w:tcPr>
            <w:tcW w:w="443" w:type="pct"/>
            <w:vMerge w:val="continue"/>
            <w:vAlign w:val="center"/>
          </w:tcPr>
          <w:p w14:paraId="33F8E65F">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p>
        </w:tc>
      </w:tr>
      <w:tr w14:paraId="512D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vAlign w:val="center"/>
          </w:tcPr>
          <w:p w14:paraId="249DB4CA">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cs="Times New Roman"/>
                <w:snapToGrid w:val="0"/>
                <w:color w:val="0D0D0D" w:themeColor="text1" w:themeTint="F2"/>
                <w:sz w:val="21"/>
                <w:szCs w:val="21"/>
                <w:u w:val="single"/>
                <w14:textFill>
                  <w14:solidFill>
                    <w14:schemeClr w14:val="tx1">
                      <w14:lumMod w14:val="95000"/>
                      <w14:lumOff w14:val="5000"/>
                    </w14:schemeClr>
                  </w14:solidFill>
                </w14:textFill>
              </w:rPr>
              <w:t>二、运营期</w:t>
            </w:r>
          </w:p>
        </w:tc>
      </w:tr>
      <w:tr w14:paraId="04811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pct"/>
            <w:vMerge w:val="restart"/>
            <w:vAlign w:val="center"/>
          </w:tcPr>
          <w:p w14:paraId="58668685">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cs="Times New Roman"/>
                <w:snapToGrid w:val="0"/>
                <w:color w:val="0D0D0D" w:themeColor="text1" w:themeTint="F2"/>
                <w:sz w:val="21"/>
                <w:szCs w:val="21"/>
                <w:u w:val="single"/>
                <w14:textFill>
                  <w14:solidFill>
                    <w14:schemeClr w14:val="tx1">
                      <w14:lumMod w14:val="95000"/>
                      <w14:lumOff w14:val="5000"/>
                    </w14:schemeClr>
                  </w14:solidFill>
                </w14:textFill>
              </w:rPr>
              <w:t>大气污染物</w:t>
            </w:r>
          </w:p>
        </w:tc>
        <w:tc>
          <w:tcPr>
            <w:tcW w:w="1061" w:type="pct"/>
            <w:vAlign w:val="center"/>
          </w:tcPr>
          <w:p w14:paraId="704371CF">
            <w:pPr>
              <w:spacing w:line="240" w:lineRule="auto"/>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生物柴油工艺废气、工业级混合油工艺废气、储罐大小呼吸废气</w:t>
            </w:r>
          </w:p>
        </w:tc>
        <w:tc>
          <w:tcPr>
            <w:tcW w:w="2201" w:type="pct"/>
            <w:vAlign w:val="center"/>
          </w:tcPr>
          <w:p w14:paraId="6671F5B4">
            <w:pPr>
              <w:spacing w:line="240" w:lineRule="auto"/>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经RCO催化燃烧装置处理后，通过30m高排气筒（DA001）排放</w:t>
            </w:r>
          </w:p>
        </w:tc>
        <w:tc>
          <w:tcPr>
            <w:tcW w:w="550" w:type="pct"/>
            <w:vAlign w:val="center"/>
          </w:tcPr>
          <w:p w14:paraId="3CEBDC9F">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50</w:t>
            </w:r>
          </w:p>
        </w:tc>
        <w:tc>
          <w:tcPr>
            <w:tcW w:w="443" w:type="pct"/>
            <w:vMerge w:val="restart"/>
            <w:vAlign w:val="center"/>
          </w:tcPr>
          <w:p w14:paraId="3F7B9E9F">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400</w:t>
            </w:r>
          </w:p>
        </w:tc>
      </w:tr>
      <w:tr w14:paraId="4F94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pct"/>
            <w:vMerge w:val="continue"/>
            <w:vAlign w:val="center"/>
          </w:tcPr>
          <w:p w14:paraId="669A8F76">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p>
        </w:tc>
        <w:tc>
          <w:tcPr>
            <w:tcW w:w="1061" w:type="pct"/>
            <w:vAlign w:val="center"/>
          </w:tcPr>
          <w:p w14:paraId="527E8931">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污水处理站废气</w:t>
            </w:r>
          </w:p>
        </w:tc>
        <w:tc>
          <w:tcPr>
            <w:tcW w:w="2201" w:type="pct"/>
            <w:vAlign w:val="center"/>
          </w:tcPr>
          <w:p w14:paraId="5B620925">
            <w:pPr>
              <w:spacing w:line="240" w:lineRule="auto"/>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经“二级碱液喷淋+除雾器”预处理后排入RCO催化燃烧装置处理，最后通30m高排气筒（DA001）排放；沼气脱硫净化后引至1＃导热油炉燃烧处理</w:t>
            </w:r>
          </w:p>
        </w:tc>
        <w:tc>
          <w:tcPr>
            <w:tcW w:w="550" w:type="pct"/>
            <w:vAlign w:val="center"/>
          </w:tcPr>
          <w:p w14:paraId="5B05C34E">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30</w:t>
            </w:r>
          </w:p>
        </w:tc>
        <w:tc>
          <w:tcPr>
            <w:tcW w:w="443" w:type="pct"/>
            <w:vMerge w:val="continue"/>
            <w:vAlign w:val="center"/>
          </w:tcPr>
          <w:p w14:paraId="072272A3">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p>
        </w:tc>
      </w:tr>
      <w:tr w14:paraId="2AB87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45" w:type="pct"/>
            <w:vMerge w:val="continue"/>
            <w:vAlign w:val="center"/>
          </w:tcPr>
          <w:p w14:paraId="1FEB3CC7">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p>
        </w:tc>
        <w:tc>
          <w:tcPr>
            <w:tcW w:w="1061" w:type="pct"/>
            <w:vAlign w:val="center"/>
          </w:tcPr>
          <w:p w14:paraId="1E8757D7">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白土投料粉尘</w:t>
            </w:r>
          </w:p>
        </w:tc>
        <w:tc>
          <w:tcPr>
            <w:tcW w:w="2201" w:type="pct"/>
            <w:vAlign w:val="center"/>
          </w:tcPr>
          <w:p w14:paraId="494199C3">
            <w:pPr>
              <w:spacing w:line="240" w:lineRule="auto"/>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无组织排放</w:t>
            </w:r>
          </w:p>
        </w:tc>
        <w:tc>
          <w:tcPr>
            <w:tcW w:w="550" w:type="pct"/>
            <w:vAlign w:val="center"/>
          </w:tcPr>
          <w:p w14:paraId="74B4B2B1">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0</w:t>
            </w:r>
          </w:p>
        </w:tc>
        <w:tc>
          <w:tcPr>
            <w:tcW w:w="443" w:type="pct"/>
            <w:vMerge w:val="continue"/>
            <w:vAlign w:val="center"/>
          </w:tcPr>
          <w:p w14:paraId="53381CDF">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p>
        </w:tc>
      </w:tr>
      <w:tr w14:paraId="005C8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pct"/>
            <w:vMerge w:val="continue"/>
            <w:vAlign w:val="center"/>
          </w:tcPr>
          <w:p w14:paraId="54DA009E">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p>
        </w:tc>
        <w:tc>
          <w:tcPr>
            <w:tcW w:w="1061" w:type="pct"/>
            <w:vAlign w:val="center"/>
          </w:tcPr>
          <w:p w14:paraId="4A569A6B">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导热油炉废气</w:t>
            </w:r>
          </w:p>
        </w:tc>
        <w:tc>
          <w:tcPr>
            <w:tcW w:w="2201" w:type="pct"/>
            <w:vAlign w:val="center"/>
          </w:tcPr>
          <w:p w14:paraId="776EDFB9">
            <w:pPr>
              <w:spacing w:line="240" w:lineRule="auto"/>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旋风除尘+布袋除尘+40m排气筒（DA002）</w:t>
            </w:r>
          </w:p>
        </w:tc>
        <w:tc>
          <w:tcPr>
            <w:tcW w:w="550" w:type="pct"/>
            <w:vAlign w:val="center"/>
          </w:tcPr>
          <w:p w14:paraId="7389A8C6">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25</w:t>
            </w:r>
          </w:p>
        </w:tc>
        <w:tc>
          <w:tcPr>
            <w:tcW w:w="443" w:type="pct"/>
            <w:vMerge w:val="continue"/>
            <w:vAlign w:val="center"/>
          </w:tcPr>
          <w:p w14:paraId="031CBBC7">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p>
        </w:tc>
      </w:tr>
      <w:tr w14:paraId="6F134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pct"/>
            <w:vMerge w:val="restart"/>
            <w:vAlign w:val="center"/>
          </w:tcPr>
          <w:p w14:paraId="77CA2649">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cs="Times New Roman"/>
                <w:snapToGrid w:val="0"/>
                <w:color w:val="0D0D0D" w:themeColor="text1" w:themeTint="F2"/>
                <w:sz w:val="21"/>
                <w:szCs w:val="21"/>
                <w:u w:val="single"/>
                <w14:textFill>
                  <w14:solidFill>
                    <w14:schemeClr w14:val="tx1">
                      <w14:lumMod w14:val="95000"/>
                      <w14:lumOff w14:val="5000"/>
                    </w14:schemeClr>
                  </w14:solidFill>
                </w14:textFill>
              </w:rPr>
              <w:t>废水防治</w:t>
            </w:r>
          </w:p>
        </w:tc>
        <w:tc>
          <w:tcPr>
            <w:tcW w:w="1061" w:type="pct"/>
            <w:vAlign w:val="center"/>
          </w:tcPr>
          <w:p w14:paraId="212BC5D6">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cs="Times New Roman"/>
                <w:snapToGrid w:val="0"/>
                <w:color w:val="0D0D0D" w:themeColor="text1" w:themeTint="F2"/>
                <w:sz w:val="21"/>
                <w:szCs w:val="21"/>
                <w:u w:val="single"/>
                <w14:textFill>
                  <w14:solidFill>
                    <w14:schemeClr w14:val="tx1">
                      <w14:lumMod w14:val="95000"/>
                      <w14:lumOff w14:val="5000"/>
                    </w14:schemeClr>
                  </w14:solidFill>
                </w14:textFill>
              </w:rPr>
              <w:t>生产废水</w:t>
            </w:r>
          </w:p>
        </w:tc>
        <w:tc>
          <w:tcPr>
            <w:tcW w:w="2201" w:type="pct"/>
            <w:vAlign w:val="center"/>
          </w:tcPr>
          <w:p w14:paraId="27516E0C">
            <w:pPr>
              <w:spacing w:line="240" w:lineRule="auto"/>
              <w:rPr>
                <w:rFonts w:cs="Times New Roman"/>
                <w:color w:val="0D0D0D" w:themeColor="text1" w:themeTint="F2"/>
                <w:kern w:val="1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10"/>
                <w:sz w:val="21"/>
                <w:szCs w:val="21"/>
                <w:u w:val="single"/>
                <w14:textFill>
                  <w14:solidFill>
                    <w14:schemeClr w14:val="tx1">
                      <w14:lumMod w14:val="95000"/>
                      <w14:lumOff w14:val="5000"/>
                    </w14:schemeClr>
                  </w14:solidFill>
                </w14:textFill>
              </w:rPr>
              <w:t>1座15</w:t>
            </w:r>
            <w:r>
              <w:rPr>
                <w:rFonts w:cs="Times New Roman"/>
                <w:color w:val="0D0D0D" w:themeColor="text1" w:themeTint="F2"/>
                <w:kern w:val="10"/>
                <w:sz w:val="21"/>
                <w:szCs w:val="21"/>
                <w:u w:val="single"/>
                <w14:textFill>
                  <w14:solidFill>
                    <w14:schemeClr w14:val="tx1">
                      <w14:lumMod w14:val="95000"/>
                      <w14:lumOff w14:val="5000"/>
                    </w14:schemeClr>
                  </w14:solidFill>
                </w14:textFill>
              </w:rPr>
              <w:t>0m</w:t>
            </w:r>
            <w:r>
              <w:rPr>
                <w:rFonts w:cs="Times New Roman"/>
                <w:color w:val="0D0D0D" w:themeColor="text1" w:themeTint="F2"/>
                <w:kern w:val="10"/>
                <w:sz w:val="21"/>
                <w:szCs w:val="21"/>
                <w:u w:val="single"/>
                <w:vertAlign w:val="superscript"/>
                <w14:textFill>
                  <w14:solidFill>
                    <w14:schemeClr w14:val="tx1">
                      <w14:lumMod w14:val="95000"/>
                      <w14:lumOff w14:val="5000"/>
                    </w14:schemeClr>
                  </w14:solidFill>
                </w14:textFill>
              </w:rPr>
              <w:t>3</w:t>
            </w:r>
            <w:r>
              <w:rPr>
                <w:rFonts w:cs="Times New Roman"/>
                <w:color w:val="0D0D0D" w:themeColor="text1" w:themeTint="F2"/>
                <w:kern w:val="10"/>
                <w:sz w:val="21"/>
                <w:szCs w:val="21"/>
                <w:u w:val="single"/>
                <w14:textFill>
                  <w14:solidFill>
                    <w14:schemeClr w14:val="tx1">
                      <w14:lumMod w14:val="95000"/>
                      <w14:lumOff w14:val="5000"/>
                    </w14:schemeClr>
                  </w14:solidFill>
                </w14:textFill>
              </w:rPr>
              <w:t>/d</w:t>
            </w:r>
            <w:r>
              <w:rPr>
                <w:rFonts w:hint="eastAsia" w:cs="Times New Roman"/>
                <w:color w:val="0D0D0D" w:themeColor="text1" w:themeTint="F2"/>
                <w:kern w:val="10"/>
                <w:sz w:val="21"/>
                <w:szCs w:val="21"/>
                <w:u w:val="single"/>
                <w14:textFill>
                  <w14:solidFill>
                    <w14:schemeClr w14:val="tx1">
                      <w14:lumMod w14:val="95000"/>
                      <w14:lumOff w14:val="5000"/>
                    </w14:schemeClr>
                  </w14:solidFill>
                </w14:textFill>
              </w:rPr>
              <w:t>污水处理站，工艺为隔油+气浮+混凝沉淀+调节+UASB厌氧反应器+MBR膜生物反应器</w:t>
            </w:r>
          </w:p>
        </w:tc>
        <w:tc>
          <w:tcPr>
            <w:tcW w:w="550" w:type="pct"/>
            <w:vAlign w:val="center"/>
          </w:tcPr>
          <w:p w14:paraId="79F78AE3">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120</w:t>
            </w:r>
          </w:p>
        </w:tc>
        <w:tc>
          <w:tcPr>
            <w:tcW w:w="443" w:type="pct"/>
            <w:vMerge w:val="continue"/>
            <w:vAlign w:val="center"/>
          </w:tcPr>
          <w:p w14:paraId="28982013">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p>
        </w:tc>
      </w:tr>
      <w:tr w14:paraId="15CFF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pct"/>
            <w:vMerge w:val="continue"/>
            <w:vAlign w:val="center"/>
          </w:tcPr>
          <w:p w14:paraId="523AA1A1">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p>
        </w:tc>
        <w:tc>
          <w:tcPr>
            <w:tcW w:w="1061" w:type="pct"/>
            <w:vAlign w:val="center"/>
          </w:tcPr>
          <w:p w14:paraId="2E576D23">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生活污水</w:t>
            </w:r>
          </w:p>
        </w:tc>
        <w:tc>
          <w:tcPr>
            <w:tcW w:w="2201" w:type="pct"/>
            <w:vAlign w:val="center"/>
          </w:tcPr>
          <w:p w14:paraId="6B02B4C6">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三级化粪池</w:t>
            </w:r>
          </w:p>
        </w:tc>
        <w:tc>
          <w:tcPr>
            <w:tcW w:w="550" w:type="pct"/>
            <w:vAlign w:val="center"/>
          </w:tcPr>
          <w:p w14:paraId="61DE00B2">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3</w:t>
            </w:r>
          </w:p>
        </w:tc>
        <w:tc>
          <w:tcPr>
            <w:tcW w:w="443" w:type="pct"/>
            <w:vMerge w:val="continue"/>
            <w:vAlign w:val="center"/>
          </w:tcPr>
          <w:p w14:paraId="1CCD94BE">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p>
        </w:tc>
      </w:tr>
      <w:tr w14:paraId="42705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pct"/>
            <w:vMerge w:val="continue"/>
            <w:vAlign w:val="center"/>
          </w:tcPr>
          <w:p w14:paraId="6701FC62">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p>
        </w:tc>
        <w:tc>
          <w:tcPr>
            <w:tcW w:w="1061" w:type="pct"/>
            <w:vAlign w:val="center"/>
          </w:tcPr>
          <w:p w14:paraId="523C2AA5">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cs="Times New Roman"/>
                <w:snapToGrid w:val="0"/>
                <w:color w:val="0D0D0D" w:themeColor="text1" w:themeTint="F2"/>
                <w:sz w:val="21"/>
                <w:szCs w:val="21"/>
                <w:u w:val="single"/>
                <w14:textFill>
                  <w14:solidFill>
                    <w14:schemeClr w14:val="tx1">
                      <w14:lumMod w14:val="95000"/>
                      <w14:lumOff w14:val="5000"/>
                    </w14:schemeClr>
                  </w14:solidFill>
                </w14:textFill>
              </w:rPr>
              <w:t>雨水</w:t>
            </w:r>
          </w:p>
        </w:tc>
        <w:tc>
          <w:tcPr>
            <w:tcW w:w="2201" w:type="pct"/>
            <w:vAlign w:val="center"/>
          </w:tcPr>
          <w:p w14:paraId="693CDD1F">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1座284</w:t>
            </w:r>
            <w:r>
              <w:rPr>
                <w:rFonts w:cs="Times New Roman"/>
                <w:snapToGrid w:val="0"/>
                <w:color w:val="0D0D0D" w:themeColor="text1" w:themeTint="F2"/>
                <w:sz w:val="21"/>
                <w:szCs w:val="21"/>
                <w:u w:val="single"/>
                <w14:textFill>
                  <w14:solidFill>
                    <w14:schemeClr w14:val="tx1">
                      <w14:lumMod w14:val="95000"/>
                      <w14:lumOff w14:val="5000"/>
                    </w14:schemeClr>
                  </w14:solidFill>
                </w14:textFill>
              </w:rPr>
              <w:t>m</w:t>
            </w:r>
            <w:r>
              <w:rPr>
                <w:rFonts w:cs="Times New Roman"/>
                <w:snapToGrid w:val="0"/>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初期雨水池</w:t>
            </w:r>
          </w:p>
        </w:tc>
        <w:tc>
          <w:tcPr>
            <w:tcW w:w="550" w:type="pct"/>
            <w:vAlign w:val="center"/>
          </w:tcPr>
          <w:p w14:paraId="5EFBDEA7">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10</w:t>
            </w:r>
          </w:p>
        </w:tc>
        <w:tc>
          <w:tcPr>
            <w:tcW w:w="443" w:type="pct"/>
            <w:vMerge w:val="continue"/>
            <w:vAlign w:val="center"/>
          </w:tcPr>
          <w:p w14:paraId="7F999830">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p>
        </w:tc>
      </w:tr>
      <w:tr w14:paraId="0EE2E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pct"/>
            <w:vAlign w:val="center"/>
          </w:tcPr>
          <w:p w14:paraId="6B94C14A">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cs="Times New Roman"/>
                <w:snapToGrid w:val="0"/>
                <w:color w:val="0D0D0D" w:themeColor="text1" w:themeTint="F2"/>
                <w:sz w:val="21"/>
                <w:szCs w:val="21"/>
                <w:u w:val="single"/>
                <w14:textFill>
                  <w14:solidFill>
                    <w14:schemeClr w14:val="tx1">
                      <w14:lumMod w14:val="95000"/>
                      <w14:lumOff w14:val="5000"/>
                    </w14:schemeClr>
                  </w14:solidFill>
                </w14:textFill>
              </w:rPr>
              <w:t>噪声防治</w:t>
            </w:r>
          </w:p>
        </w:tc>
        <w:tc>
          <w:tcPr>
            <w:tcW w:w="1061" w:type="pct"/>
            <w:vAlign w:val="center"/>
          </w:tcPr>
          <w:p w14:paraId="44C81BBC">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cs="Times New Roman"/>
                <w:snapToGrid w:val="0"/>
                <w:color w:val="0D0D0D" w:themeColor="text1" w:themeTint="F2"/>
                <w:sz w:val="21"/>
                <w:szCs w:val="21"/>
                <w:u w:val="single"/>
                <w14:textFill>
                  <w14:solidFill>
                    <w14:schemeClr w14:val="tx1">
                      <w14:lumMod w14:val="95000"/>
                      <w14:lumOff w14:val="5000"/>
                    </w14:schemeClr>
                  </w14:solidFill>
                </w14:textFill>
              </w:rPr>
              <w:t>设备噪声</w:t>
            </w:r>
          </w:p>
        </w:tc>
        <w:tc>
          <w:tcPr>
            <w:tcW w:w="2201" w:type="pct"/>
            <w:vAlign w:val="center"/>
          </w:tcPr>
          <w:p w14:paraId="4BDCCBD8">
            <w:pPr>
              <w:spacing w:line="240" w:lineRule="auto"/>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基础</w:t>
            </w:r>
            <w:r>
              <w:rPr>
                <w:rFonts w:cs="Times New Roman"/>
                <w:snapToGrid w:val="0"/>
                <w:color w:val="0D0D0D" w:themeColor="text1" w:themeTint="F2"/>
                <w:sz w:val="21"/>
                <w:szCs w:val="21"/>
                <w:u w:val="single"/>
                <w14:textFill>
                  <w14:solidFill>
                    <w14:schemeClr w14:val="tx1">
                      <w14:lumMod w14:val="95000"/>
                      <w14:lumOff w14:val="5000"/>
                    </w14:schemeClr>
                  </w14:solidFill>
                </w14:textFill>
              </w:rPr>
              <w:t>减振、厂房隔声</w:t>
            </w: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w:t>
            </w:r>
            <w:r>
              <w:rPr>
                <w:rFonts w:cs="Times New Roman"/>
                <w:snapToGrid w:val="0"/>
                <w:color w:val="0D0D0D" w:themeColor="text1" w:themeTint="F2"/>
                <w:sz w:val="21"/>
                <w:szCs w:val="21"/>
                <w:u w:val="single"/>
                <w14:textFill>
                  <w14:solidFill>
                    <w14:schemeClr w14:val="tx1">
                      <w14:lumMod w14:val="95000"/>
                      <w14:lumOff w14:val="5000"/>
                    </w14:schemeClr>
                  </w14:solidFill>
                </w14:textFill>
              </w:rPr>
              <w:t>选用低噪声设备等</w:t>
            </w:r>
          </w:p>
        </w:tc>
        <w:tc>
          <w:tcPr>
            <w:tcW w:w="550" w:type="pct"/>
            <w:vAlign w:val="center"/>
          </w:tcPr>
          <w:p w14:paraId="7085016C">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5</w:t>
            </w:r>
          </w:p>
        </w:tc>
        <w:tc>
          <w:tcPr>
            <w:tcW w:w="443" w:type="pct"/>
            <w:vMerge w:val="continue"/>
            <w:vAlign w:val="center"/>
          </w:tcPr>
          <w:p w14:paraId="399471EA">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p>
        </w:tc>
      </w:tr>
      <w:tr w14:paraId="41DDE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pct"/>
            <w:vMerge w:val="restart"/>
            <w:vAlign w:val="center"/>
          </w:tcPr>
          <w:p w14:paraId="3159F363">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cs="Times New Roman"/>
                <w:snapToGrid w:val="0"/>
                <w:color w:val="0D0D0D" w:themeColor="text1" w:themeTint="F2"/>
                <w:sz w:val="21"/>
                <w:szCs w:val="21"/>
                <w:u w:val="single"/>
                <w14:textFill>
                  <w14:solidFill>
                    <w14:schemeClr w14:val="tx1">
                      <w14:lumMod w14:val="95000"/>
                      <w14:lumOff w14:val="5000"/>
                    </w14:schemeClr>
                  </w14:solidFill>
                </w14:textFill>
              </w:rPr>
              <w:t>固体废物</w:t>
            </w:r>
          </w:p>
        </w:tc>
        <w:tc>
          <w:tcPr>
            <w:tcW w:w="1061" w:type="pct"/>
            <w:vAlign w:val="center"/>
          </w:tcPr>
          <w:p w14:paraId="62DAFBE6">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一般工业固废</w:t>
            </w:r>
          </w:p>
        </w:tc>
        <w:tc>
          <w:tcPr>
            <w:tcW w:w="2201" w:type="pct"/>
            <w:vAlign w:val="center"/>
          </w:tcPr>
          <w:p w14:paraId="05FE85B8">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一般固废暂存间</w:t>
            </w:r>
          </w:p>
        </w:tc>
        <w:tc>
          <w:tcPr>
            <w:tcW w:w="550" w:type="pct"/>
            <w:vAlign w:val="center"/>
          </w:tcPr>
          <w:p w14:paraId="105C8B2F">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7</w:t>
            </w:r>
          </w:p>
        </w:tc>
        <w:tc>
          <w:tcPr>
            <w:tcW w:w="443" w:type="pct"/>
            <w:vMerge w:val="continue"/>
            <w:vAlign w:val="center"/>
          </w:tcPr>
          <w:p w14:paraId="49544B69">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p>
        </w:tc>
      </w:tr>
      <w:tr w14:paraId="79F80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pct"/>
            <w:vMerge w:val="continue"/>
            <w:vAlign w:val="center"/>
          </w:tcPr>
          <w:p w14:paraId="787F7F5A">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p>
        </w:tc>
        <w:tc>
          <w:tcPr>
            <w:tcW w:w="1061" w:type="pct"/>
            <w:vAlign w:val="center"/>
          </w:tcPr>
          <w:p w14:paraId="4E458CDE">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危险废物</w:t>
            </w:r>
          </w:p>
        </w:tc>
        <w:tc>
          <w:tcPr>
            <w:tcW w:w="2201" w:type="pct"/>
            <w:vAlign w:val="center"/>
          </w:tcPr>
          <w:p w14:paraId="5D39ED26">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危废暂存间</w:t>
            </w:r>
          </w:p>
        </w:tc>
        <w:tc>
          <w:tcPr>
            <w:tcW w:w="550" w:type="pct"/>
            <w:vAlign w:val="center"/>
          </w:tcPr>
          <w:p w14:paraId="124BB61B">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10</w:t>
            </w:r>
          </w:p>
        </w:tc>
        <w:tc>
          <w:tcPr>
            <w:tcW w:w="443" w:type="pct"/>
            <w:vMerge w:val="continue"/>
            <w:vAlign w:val="center"/>
          </w:tcPr>
          <w:p w14:paraId="7D95E17A">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p>
        </w:tc>
      </w:tr>
      <w:tr w14:paraId="3EE00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pct"/>
            <w:vAlign w:val="center"/>
          </w:tcPr>
          <w:p w14:paraId="3ABC5A38">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地下水防治</w:t>
            </w:r>
          </w:p>
        </w:tc>
        <w:tc>
          <w:tcPr>
            <w:tcW w:w="1061" w:type="pct"/>
            <w:vAlign w:val="center"/>
          </w:tcPr>
          <w:p w14:paraId="66DDE132">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防渗工程</w:t>
            </w:r>
          </w:p>
        </w:tc>
        <w:tc>
          <w:tcPr>
            <w:tcW w:w="2201" w:type="pct"/>
            <w:vAlign w:val="center"/>
          </w:tcPr>
          <w:p w14:paraId="6915269C">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分区防渗、监控井</w:t>
            </w:r>
          </w:p>
        </w:tc>
        <w:tc>
          <w:tcPr>
            <w:tcW w:w="550" w:type="pct"/>
            <w:vAlign w:val="center"/>
          </w:tcPr>
          <w:p w14:paraId="6B771AA4">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40</w:t>
            </w:r>
          </w:p>
        </w:tc>
        <w:tc>
          <w:tcPr>
            <w:tcW w:w="443" w:type="pct"/>
            <w:vMerge w:val="continue"/>
            <w:vAlign w:val="center"/>
          </w:tcPr>
          <w:p w14:paraId="5345FBF7">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p>
        </w:tc>
      </w:tr>
      <w:tr w14:paraId="4D71E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pct"/>
            <w:vAlign w:val="center"/>
          </w:tcPr>
          <w:p w14:paraId="34438F3B">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环境风险</w:t>
            </w:r>
          </w:p>
        </w:tc>
        <w:tc>
          <w:tcPr>
            <w:tcW w:w="1061" w:type="pct"/>
            <w:vAlign w:val="center"/>
          </w:tcPr>
          <w:p w14:paraId="1EDA8DF2">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风险防范</w:t>
            </w:r>
          </w:p>
        </w:tc>
        <w:tc>
          <w:tcPr>
            <w:tcW w:w="2201" w:type="pct"/>
            <w:vAlign w:val="center"/>
          </w:tcPr>
          <w:p w14:paraId="418449A4">
            <w:pPr>
              <w:spacing w:line="240" w:lineRule="auto"/>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设置1个容积为660m</w:t>
            </w:r>
            <w:r>
              <w:rPr>
                <w:rFonts w:hint="eastAsia" w:cs="Times New Roman"/>
                <w:snapToGrid w:val="0"/>
                <w:color w:val="0D0D0D" w:themeColor="text1" w:themeTint="F2"/>
                <w:sz w:val="21"/>
                <w:szCs w:val="21"/>
                <w:u w:val="single"/>
                <w:vertAlign w:val="superscript"/>
                <w14:textFill>
                  <w14:solidFill>
                    <w14:schemeClr w14:val="tx1">
                      <w14:lumMod w14:val="95000"/>
                      <w14:lumOff w14:val="5000"/>
                    </w14:schemeClr>
                  </w14:solidFill>
                </w14:textFill>
              </w:rPr>
              <w:t>3</w:t>
            </w: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的事故应急池、储罐区围堰</w:t>
            </w:r>
          </w:p>
        </w:tc>
        <w:tc>
          <w:tcPr>
            <w:tcW w:w="550" w:type="pct"/>
            <w:vAlign w:val="center"/>
          </w:tcPr>
          <w:p w14:paraId="0B09F26C">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100</w:t>
            </w:r>
          </w:p>
        </w:tc>
        <w:tc>
          <w:tcPr>
            <w:tcW w:w="443" w:type="pct"/>
            <w:vMerge w:val="continue"/>
            <w:vAlign w:val="center"/>
          </w:tcPr>
          <w:p w14:paraId="17A5C48C">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p>
        </w:tc>
      </w:tr>
      <w:tr w14:paraId="7ED2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6" w:type="pct"/>
            <w:gridSpan w:val="2"/>
            <w:vAlign w:val="center"/>
          </w:tcPr>
          <w:p w14:paraId="07C23AED">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cs="Times New Roman"/>
                <w:snapToGrid w:val="0"/>
                <w:color w:val="0D0D0D" w:themeColor="text1" w:themeTint="F2"/>
                <w:sz w:val="21"/>
                <w:szCs w:val="21"/>
                <w:u w:val="single"/>
                <w14:textFill>
                  <w14:solidFill>
                    <w14:schemeClr w14:val="tx1">
                      <w14:lumMod w14:val="95000"/>
                      <w14:lumOff w14:val="5000"/>
                    </w14:schemeClr>
                  </w14:solidFill>
                </w14:textFill>
              </w:rPr>
              <w:t>合计</w:t>
            </w:r>
          </w:p>
        </w:tc>
        <w:tc>
          <w:tcPr>
            <w:tcW w:w="2201" w:type="pct"/>
            <w:vAlign w:val="center"/>
          </w:tcPr>
          <w:p w14:paraId="415B49BA">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cs="Times New Roman"/>
                <w:snapToGrid w:val="0"/>
                <w:color w:val="0D0D0D" w:themeColor="text1" w:themeTint="F2"/>
                <w:sz w:val="21"/>
                <w:szCs w:val="21"/>
                <w:u w:val="single"/>
                <w14:textFill>
                  <w14:solidFill>
                    <w14:schemeClr w14:val="tx1">
                      <w14:lumMod w14:val="95000"/>
                      <w14:lumOff w14:val="5000"/>
                    </w14:schemeClr>
                  </w14:solidFill>
                </w14:textFill>
              </w:rPr>
              <w:t>——</w:t>
            </w:r>
          </w:p>
        </w:tc>
        <w:tc>
          <w:tcPr>
            <w:tcW w:w="550" w:type="pct"/>
            <w:vAlign w:val="center"/>
          </w:tcPr>
          <w:p w14:paraId="66282B78">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w:t>
            </w:r>
          </w:p>
        </w:tc>
        <w:tc>
          <w:tcPr>
            <w:tcW w:w="443" w:type="pct"/>
            <w:vAlign w:val="center"/>
          </w:tcPr>
          <w:p w14:paraId="2E188C7C">
            <w:pPr>
              <w:spacing w:line="240" w:lineRule="auto"/>
              <w:jc w:val="center"/>
              <w:rPr>
                <w:rFonts w:cs="Times New Roman"/>
                <w:snapToGrid w:val="0"/>
                <w:color w:val="0D0D0D" w:themeColor="text1" w:themeTint="F2"/>
                <w:sz w:val="21"/>
                <w:szCs w:val="21"/>
                <w:u w:val="single"/>
                <w14:textFill>
                  <w14:solidFill>
                    <w14:schemeClr w14:val="tx1">
                      <w14:lumMod w14:val="95000"/>
                      <w14:lumOff w14:val="5000"/>
                    </w14:schemeClr>
                  </w14:solidFill>
                </w14:textFill>
              </w:rPr>
            </w:pPr>
            <w:r>
              <w:rPr>
                <w:rFonts w:hint="eastAsia" w:cs="Times New Roman"/>
                <w:snapToGrid w:val="0"/>
                <w:color w:val="0D0D0D" w:themeColor="text1" w:themeTint="F2"/>
                <w:sz w:val="21"/>
                <w:szCs w:val="21"/>
                <w:u w:val="single"/>
                <w14:textFill>
                  <w14:solidFill>
                    <w14:schemeClr w14:val="tx1">
                      <w14:lumMod w14:val="95000"/>
                      <w14:lumOff w14:val="5000"/>
                    </w14:schemeClr>
                  </w14:solidFill>
                </w14:textFill>
              </w:rPr>
              <w:t>410</w:t>
            </w:r>
          </w:p>
        </w:tc>
      </w:tr>
    </w:tbl>
    <w:p w14:paraId="2B165CAF">
      <w:pPr>
        <w:widowControl/>
        <w:spacing w:line="240" w:lineRule="auto"/>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14:paraId="3ACF6E67">
      <w:pPr>
        <w:pStyle w:val="7"/>
      </w:pPr>
      <w:bookmarkStart w:id="227" w:name="_Toc204062683"/>
      <w:r>
        <w:rPr>
          <w:rFonts w:hint="eastAsia"/>
        </w:rPr>
        <w:t>环境影响经济损益分析</w:t>
      </w:r>
      <w:bookmarkEnd w:id="227"/>
    </w:p>
    <w:p w14:paraId="2D484211">
      <w:pPr>
        <w:pStyle w:val="8"/>
        <w:numPr>
          <w:ilvl w:val="1"/>
          <w:numId w:val="60"/>
        </w:numPr>
      </w:pPr>
      <w:bookmarkStart w:id="228" w:name="_Toc204062684"/>
      <w:r>
        <w:rPr>
          <w:rFonts w:hint="eastAsia"/>
        </w:rPr>
        <w:t>社会效益分析</w:t>
      </w:r>
      <w:bookmarkEnd w:id="228"/>
    </w:p>
    <w:p w14:paraId="52D6E57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项目的建设能促进区域经济发展，为当地提供一定量的就业机会，其社会效益主要体现在以下几个方面：</w:t>
      </w:r>
    </w:p>
    <w:p w14:paraId="192F267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（1）项目建成后，可新增60个就业岗位，大部分员工使用本地人员，对缓解当地的就业压力，增加社会安定因素起到了积极作用。</w:t>
      </w:r>
    </w:p>
    <w:p w14:paraId="40E330D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项目的建设能够改善当地的投资环境，增加地方的财政收入，具有良好的发展前景和经济效益，为繁荣当地的经济做出贡献。国家、地方可从税收、管理费中获得经济效益，也可为园区的招商引资提供范例，因而具有良好的社会效益。</w:t>
      </w:r>
    </w:p>
    <w:p w14:paraId="66D690B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（3）项目的建设能够为社会提供大量生物柴油，可减少相应化石燃料的消耗量，同时减少大量温室气体及污染物排放量。</w:t>
      </w:r>
    </w:p>
    <w:p w14:paraId="7B4C4A7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因此，项目具有非常积极的社会效益。</w:t>
      </w:r>
    </w:p>
    <w:p w14:paraId="444777BC">
      <w:pPr>
        <w:pStyle w:val="8"/>
      </w:pPr>
      <w:bookmarkStart w:id="229" w:name="_Toc204062685"/>
      <w:r>
        <w:rPr>
          <w:rFonts w:hint="eastAsia"/>
        </w:rPr>
        <w:t>经济效益分析</w:t>
      </w:r>
      <w:bookmarkEnd w:id="229"/>
    </w:p>
    <w:p w14:paraId="2BA02C98">
      <w:pPr>
        <w:pStyle w:val="9"/>
        <w:numPr>
          <w:ilvl w:val="2"/>
          <w:numId w:val="61"/>
        </w:numPr>
      </w:pPr>
      <w:bookmarkStart w:id="230" w:name="_Toc204062686"/>
      <w:r>
        <w:rPr>
          <w:rFonts w:hint="eastAsia"/>
        </w:rPr>
        <w:t>工程经济效益指标</w:t>
      </w:r>
      <w:bookmarkEnd w:id="230"/>
    </w:p>
    <w:p w14:paraId="094031F6">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cs="Times New Roman"/>
          <w:color w:val="0D0D0D" w:themeColor="text1" w:themeTint="F2"/>
          <w:kern w:val="0"/>
          <w:szCs w:val="24"/>
          <w14:textFill>
            <w14:solidFill>
              <w14:schemeClr w14:val="tx1">
                <w14:lumMod w14:val="95000"/>
                <w14:lumOff w14:val="5000"/>
              </w14:schemeClr>
            </w14:solidFill>
          </w14:textFill>
        </w:rPr>
        <w:t>项目总投资为</w:t>
      </w:r>
      <w:r>
        <w:rPr>
          <w:rFonts w:hint="eastAsia" w:cs="Times New Roman"/>
          <w:color w:val="0D0D0D" w:themeColor="text1" w:themeTint="F2"/>
          <w:kern w:val="0"/>
          <w:szCs w:val="24"/>
          <w14:textFill>
            <w14:solidFill>
              <w14:schemeClr w14:val="tx1">
                <w14:lumMod w14:val="95000"/>
                <w14:lumOff w14:val="5000"/>
              </w14:schemeClr>
            </w14:solidFill>
          </w14:textFill>
        </w:rPr>
        <w:t>12500</w:t>
      </w:r>
      <w:r>
        <w:rPr>
          <w:rFonts w:cs="Times New Roman"/>
          <w:color w:val="0D0D0D" w:themeColor="text1" w:themeTint="F2"/>
          <w:kern w:val="0"/>
          <w:szCs w:val="24"/>
          <w14:textFill>
            <w14:solidFill>
              <w14:schemeClr w14:val="tx1">
                <w14:lumMod w14:val="95000"/>
                <w14:lumOff w14:val="5000"/>
              </w14:schemeClr>
            </w14:solidFill>
          </w14:textFill>
        </w:rPr>
        <w:t>万元，</w:t>
      </w:r>
      <w:r>
        <w:rPr>
          <w:rFonts w:hint="eastAsia" w:cs="Times New Roman"/>
          <w:color w:val="0D0D0D" w:themeColor="text1" w:themeTint="F2"/>
          <w:kern w:val="0"/>
          <w:szCs w:val="24"/>
          <w14:textFill>
            <w14:solidFill>
              <w14:schemeClr w14:val="tx1">
                <w14:lumMod w14:val="95000"/>
                <w14:lumOff w14:val="5000"/>
              </w14:schemeClr>
            </w14:solidFill>
          </w14:textFill>
        </w:rPr>
        <w:t>建成后年产30万吨生物柴油、10万吨工业级混合油、1.5万吨精甘油和1.2万吨重质脂肪酸</w:t>
      </w:r>
      <w:r>
        <w:rPr>
          <w:rFonts w:cs="Times New Roman"/>
          <w:color w:val="0D0D0D" w:themeColor="text1" w:themeTint="F2"/>
          <w:kern w:val="0"/>
          <w:szCs w:val="24"/>
          <w14:textFill>
            <w14:solidFill>
              <w14:schemeClr w14:val="tx1">
                <w14:lumMod w14:val="95000"/>
                <w14:lumOff w14:val="5000"/>
              </w14:schemeClr>
            </w14:solidFill>
          </w14:textFill>
        </w:rPr>
        <w:t>，投资回收期为</w:t>
      </w:r>
      <w:r>
        <w:rPr>
          <w:rFonts w:hint="eastAsia" w:cs="Times New Roman"/>
          <w:color w:val="0D0D0D" w:themeColor="text1" w:themeTint="F2"/>
          <w:kern w:val="0"/>
          <w:szCs w:val="24"/>
          <w14:textFill>
            <w14:solidFill>
              <w14:schemeClr w14:val="tx1">
                <w14:lumMod w14:val="95000"/>
                <w14:lumOff w14:val="5000"/>
              </w14:schemeClr>
            </w14:solidFill>
          </w14:textFill>
        </w:rPr>
        <w:t>2.74</w:t>
      </w:r>
      <w:r>
        <w:rPr>
          <w:rFonts w:cs="Times New Roman"/>
          <w:color w:val="0D0D0D" w:themeColor="text1" w:themeTint="F2"/>
          <w:kern w:val="0"/>
          <w:szCs w:val="24"/>
          <w14:textFill>
            <w14:solidFill>
              <w14:schemeClr w14:val="tx1">
                <w14:lumMod w14:val="95000"/>
                <w14:lumOff w14:val="5000"/>
              </w14:schemeClr>
            </w14:solidFill>
          </w14:textFill>
        </w:rPr>
        <w:t>年（税后），内部收益率为</w:t>
      </w:r>
      <w:r>
        <w:rPr>
          <w:rFonts w:hint="eastAsia" w:cs="Times New Roman"/>
          <w:color w:val="0D0D0D" w:themeColor="text1" w:themeTint="F2"/>
          <w:kern w:val="0"/>
          <w:szCs w:val="24"/>
          <w14:textFill>
            <w14:solidFill>
              <w14:schemeClr w14:val="tx1">
                <w14:lumMod w14:val="95000"/>
                <w14:lumOff w14:val="5000"/>
              </w14:schemeClr>
            </w14:solidFill>
          </w14:textFill>
        </w:rPr>
        <w:t>115.08</w:t>
      </w:r>
      <w:r>
        <w:rPr>
          <w:rFonts w:cs="Times New Roman"/>
          <w:color w:val="0D0D0D" w:themeColor="text1" w:themeTint="F2"/>
          <w:kern w:val="0"/>
          <w:szCs w:val="24"/>
          <w14:textFill>
            <w14:solidFill>
              <w14:schemeClr w14:val="tx1">
                <w14:lumMod w14:val="95000"/>
                <w14:lumOff w14:val="5000"/>
              </w14:schemeClr>
            </w14:solidFill>
          </w14:textFill>
        </w:rPr>
        <w:t>%。由此可见，项目投产后，内部收益率较高，能够满足企业对投资回报的有关要求，同时项目具有较强的清偿能力和抗风险能力，具有较高的投资价值。</w:t>
      </w:r>
    </w:p>
    <w:p w14:paraId="7EC960C3">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cs="Times New Roman"/>
          <w:color w:val="0D0D0D" w:themeColor="text1" w:themeTint="F2"/>
          <w:kern w:val="0"/>
          <w:szCs w:val="24"/>
          <w14:textFill>
            <w14:solidFill>
              <w14:schemeClr w14:val="tx1">
                <w14:lumMod w14:val="95000"/>
                <w14:lumOff w14:val="5000"/>
              </w14:schemeClr>
            </w14:solidFill>
          </w14:textFill>
        </w:rPr>
        <w:t>本项目技术成熟适用，购置设备方案合理，建设条件具备</w:t>
      </w:r>
      <w:r>
        <w:rPr>
          <w:rFonts w:hint="eastAsia" w:cs="Times New Roman"/>
          <w:color w:val="0D0D0D" w:themeColor="text1" w:themeTint="F2"/>
          <w:kern w:val="0"/>
          <w:szCs w:val="24"/>
          <w14:textFill>
            <w14:solidFill>
              <w14:schemeClr w14:val="tx1">
                <w14:lumMod w14:val="95000"/>
                <w14:lumOff w14:val="5000"/>
              </w14:schemeClr>
            </w14:solidFill>
          </w14:textFill>
        </w:rPr>
        <w:t>，</w:t>
      </w:r>
      <w:r>
        <w:rPr>
          <w:rFonts w:cs="Times New Roman"/>
          <w:color w:val="0D0D0D" w:themeColor="text1" w:themeTint="F2"/>
          <w:kern w:val="0"/>
          <w:szCs w:val="24"/>
          <w14:textFill>
            <w14:solidFill>
              <w14:schemeClr w14:val="tx1">
                <w14:lumMod w14:val="95000"/>
                <w14:lumOff w14:val="5000"/>
              </w14:schemeClr>
            </w14:solidFill>
          </w14:textFill>
        </w:rPr>
        <w:t>建成后具有良好的市场发展前景，可收获较好的经济效益。项目的建成将增加政府财政收入，直接为地方经济发展作出贡献。</w:t>
      </w:r>
    </w:p>
    <w:p w14:paraId="300FC23A">
      <w:pPr>
        <w:ind w:firstLine="480" w:firstLineChars="200"/>
        <w:rPr>
          <w:rFonts w:cs="Times New Roman"/>
          <w:color w:val="0D0D0D" w:themeColor="text1" w:themeTint="F2"/>
          <w:kern w:val="0"/>
          <w:szCs w:val="24"/>
          <w14:textFill>
            <w14:solidFill>
              <w14:schemeClr w14:val="tx1">
                <w14:lumMod w14:val="95000"/>
                <w14:lumOff w14:val="5000"/>
              </w14:schemeClr>
            </w14:solidFill>
          </w14:textFill>
        </w:rPr>
      </w:pPr>
      <w:r>
        <w:rPr>
          <w:rFonts w:hint="eastAsia" w:cs="Times New Roman"/>
          <w:color w:val="0D0D0D" w:themeColor="text1" w:themeTint="F2"/>
          <w:kern w:val="0"/>
          <w:szCs w:val="24"/>
          <w14:textFill>
            <w14:solidFill>
              <w14:schemeClr w14:val="tx1">
                <w14:lumMod w14:val="95000"/>
                <w14:lumOff w14:val="5000"/>
              </w14:schemeClr>
            </w14:solidFill>
          </w14:textFill>
        </w:rPr>
        <w:t>项目主要经济效益详见表8.2-1。</w:t>
      </w:r>
    </w:p>
    <w:p w14:paraId="0E92141A">
      <w:pPr>
        <w:pStyle w:val="11"/>
        <w:numPr>
          <w:ilvl w:val="4"/>
          <w:numId w:val="62"/>
        </w:numPr>
      </w:pPr>
      <w:r>
        <w:rPr>
          <w:rFonts w:hint="eastAsia"/>
        </w:rPr>
        <w:t xml:space="preserve"> </w:t>
      </w:r>
      <w:r>
        <w:t>主要经济效益表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6"/>
        <w:gridCol w:w="3187"/>
        <w:gridCol w:w="2869"/>
      </w:tblGrid>
      <w:tr w14:paraId="4A62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4" w:type="pct"/>
            <w:vAlign w:val="center"/>
          </w:tcPr>
          <w:p w14:paraId="1519D548">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年销售收入</w:t>
            </w:r>
            <w:r>
              <w:rPr>
                <w:rFonts w:hint="eastAsia" w:cs="Times New Roman"/>
                <w:color w:val="0D0D0D" w:themeColor="text1" w:themeTint="F2"/>
                <w:sz w:val="21"/>
                <w:szCs w:val="21"/>
                <w14:textFill>
                  <w14:solidFill>
                    <w14:schemeClr w14:val="tx1">
                      <w14:lumMod w14:val="95000"/>
                      <w14:lumOff w14:val="5000"/>
                    </w14:schemeClr>
                  </w14:solidFill>
                </w14:textFill>
              </w:rPr>
              <w:t>（</w:t>
            </w:r>
            <w:r>
              <w:rPr>
                <w:rFonts w:cs="Times New Roman"/>
                <w:color w:val="0D0D0D" w:themeColor="text1" w:themeTint="F2"/>
                <w:sz w:val="21"/>
                <w:szCs w:val="21"/>
                <w14:textFill>
                  <w14:solidFill>
                    <w14:schemeClr w14:val="tx1">
                      <w14:lumMod w14:val="95000"/>
                      <w14:lumOff w14:val="5000"/>
                    </w14:schemeClr>
                  </w14:solidFill>
                </w14:textFill>
              </w:rPr>
              <w:t>万元</w:t>
            </w:r>
            <w:r>
              <w:rPr>
                <w:rFonts w:hint="eastAsia" w:cs="Times New Roman"/>
                <w:color w:val="0D0D0D" w:themeColor="text1" w:themeTint="F2"/>
                <w:sz w:val="21"/>
                <w:szCs w:val="21"/>
                <w14:textFill>
                  <w14:solidFill>
                    <w14:schemeClr w14:val="tx1">
                      <w14:lumMod w14:val="95000"/>
                      <w14:lumOff w14:val="5000"/>
                    </w14:schemeClr>
                  </w14:solidFill>
                </w14:textFill>
              </w:rPr>
              <w:t>）</w:t>
            </w:r>
          </w:p>
        </w:tc>
        <w:tc>
          <w:tcPr>
            <w:tcW w:w="1724" w:type="pct"/>
            <w:vAlign w:val="center"/>
          </w:tcPr>
          <w:p w14:paraId="1B17E89A">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年利润总额</w:t>
            </w:r>
            <w:r>
              <w:rPr>
                <w:rFonts w:hint="eastAsia" w:cs="Times New Roman"/>
                <w:color w:val="0D0D0D" w:themeColor="text1" w:themeTint="F2"/>
                <w:sz w:val="21"/>
                <w:szCs w:val="21"/>
                <w14:textFill>
                  <w14:solidFill>
                    <w14:schemeClr w14:val="tx1">
                      <w14:lumMod w14:val="95000"/>
                      <w14:lumOff w14:val="5000"/>
                    </w14:schemeClr>
                  </w14:solidFill>
                </w14:textFill>
              </w:rPr>
              <w:t>（</w:t>
            </w:r>
            <w:r>
              <w:rPr>
                <w:rFonts w:cs="Times New Roman"/>
                <w:color w:val="0D0D0D" w:themeColor="text1" w:themeTint="F2"/>
                <w:sz w:val="21"/>
                <w:szCs w:val="21"/>
                <w14:textFill>
                  <w14:solidFill>
                    <w14:schemeClr w14:val="tx1">
                      <w14:lumMod w14:val="95000"/>
                      <w14:lumOff w14:val="5000"/>
                    </w14:schemeClr>
                  </w14:solidFill>
                </w14:textFill>
              </w:rPr>
              <w:t>万元</w:t>
            </w:r>
            <w:r>
              <w:rPr>
                <w:rFonts w:hint="eastAsia" w:cs="Times New Roman"/>
                <w:color w:val="0D0D0D" w:themeColor="text1" w:themeTint="F2"/>
                <w:sz w:val="21"/>
                <w:szCs w:val="21"/>
                <w14:textFill>
                  <w14:solidFill>
                    <w14:schemeClr w14:val="tx1">
                      <w14:lumMod w14:val="95000"/>
                      <w14:lumOff w14:val="5000"/>
                    </w14:schemeClr>
                  </w14:solidFill>
                </w14:textFill>
              </w:rPr>
              <w:t>）</w:t>
            </w:r>
          </w:p>
        </w:tc>
        <w:tc>
          <w:tcPr>
            <w:tcW w:w="1552" w:type="pct"/>
            <w:vAlign w:val="center"/>
          </w:tcPr>
          <w:p w14:paraId="7F430D52">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年所得税</w:t>
            </w:r>
            <w:r>
              <w:rPr>
                <w:rFonts w:hint="eastAsia" w:cs="Times New Roman"/>
                <w:color w:val="0D0D0D" w:themeColor="text1" w:themeTint="F2"/>
                <w:sz w:val="21"/>
                <w:szCs w:val="21"/>
                <w14:textFill>
                  <w14:solidFill>
                    <w14:schemeClr w14:val="tx1">
                      <w14:lumMod w14:val="95000"/>
                      <w14:lumOff w14:val="5000"/>
                    </w14:schemeClr>
                  </w14:solidFill>
                </w14:textFill>
              </w:rPr>
              <w:t>（</w:t>
            </w:r>
            <w:r>
              <w:rPr>
                <w:rFonts w:cs="Times New Roman"/>
                <w:color w:val="0D0D0D" w:themeColor="text1" w:themeTint="F2"/>
                <w:sz w:val="21"/>
                <w:szCs w:val="21"/>
                <w14:textFill>
                  <w14:solidFill>
                    <w14:schemeClr w14:val="tx1">
                      <w14:lumMod w14:val="95000"/>
                      <w14:lumOff w14:val="5000"/>
                    </w14:schemeClr>
                  </w14:solidFill>
                </w14:textFill>
              </w:rPr>
              <w:t>万元</w:t>
            </w:r>
            <w:r>
              <w:rPr>
                <w:rFonts w:hint="eastAsia" w:cs="Times New Roman"/>
                <w:color w:val="0D0D0D" w:themeColor="text1" w:themeTint="F2"/>
                <w:sz w:val="21"/>
                <w:szCs w:val="21"/>
                <w14:textFill>
                  <w14:solidFill>
                    <w14:schemeClr w14:val="tx1">
                      <w14:lumMod w14:val="95000"/>
                      <w14:lumOff w14:val="5000"/>
                    </w14:schemeClr>
                  </w14:solidFill>
                </w14:textFill>
              </w:rPr>
              <w:t>）</w:t>
            </w:r>
          </w:p>
        </w:tc>
      </w:tr>
      <w:tr w14:paraId="7095D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4" w:type="pct"/>
            <w:vAlign w:val="center"/>
          </w:tcPr>
          <w:p w14:paraId="51BECFE2">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307300</w:t>
            </w:r>
          </w:p>
        </w:tc>
        <w:tc>
          <w:tcPr>
            <w:tcW w:w="1724" w:type="pct"/>
            <w:vAlign w:val="center"/>
          </w:tcPr>
          <w:p w14:paraId="2039E2C7">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20733.3</w:t>
            </w:r>
          </w:p>
        </w:tc>
        <w:tc>
          <w:tcPr>
            <w:tcW w:w="1552" w:type="pct"/>
            <w:vAlign w:val="center"/>
          </w:tcPr>
          <w:p w14:paraId="67BD9F51">
            <w:pPr>
              <w:spacing w:line="240" w:lineRule="auto"/>
              <w:jc w:val="center"/>
              <w:rPr>
                <w:rFonts w:cs="Times New Roman"/>
                <w:color w:val="0D0D0D" w:themeColor="text1" w:themeTint="F2"/>
                <w:sz w:val="21"/>
                <w:szCs w:val="21"/>
                <w14:textFill>
                  <w14:solidFill>
                    <w14:schemeClr w14:val="tx1">
                      <w14:lumMod w14:val="95000"/>
                      <w14:lumOff w14:val="5000"/>
                    </w14:schemeClr>
                  </w14:solidFill>
                </w14:textFill>
              </w:rPr>
            </w:pPr>
            <w:r>
              <w:rPr>
                <w:rFonts w:cs="Times New Roman"/>
                <w:color w:val="0D0D0D" w:themeColor="text1" w:themeTint="F2"/>
                <w:sz w:val="21"/>
                <w:szCs w:val="21"/>
                <w14:textFill>
                  <w14:solidFill>
                    <w14:schemeClr w14:val="tx1">
                      <w14:lumMod w14:val="95000"/>
                      <w14:lumOff w14:val="5000"/>
                    </w14:schemeClr>
                  </w14:solidFill>
                </w14:textFill>
              </w:rPr>
              <w:t>5183.32</w:t>
            </w:r>
          </w:p>
        </w:tc>
      </w:tr>
    </w:tbl>
    <w:p w14:paraId="6654A0B8">
      <w:pPr>
        <w:pStyle w:val="9"/>
      </w:pPr>
      <w:bookmarkStart w:id="231" w:name="_Toc204062687"/>
      <w:r>
        <w:rPr>
          <w:rFonts w:hint="eastAsia"/>
        </w:rPr>
        <w:t>环境保护成本</w:t>
      </w:r>
      <w:bookmarkEnd w:id="231"/>
    </w:p>
    <w:p w14:paraId="301E9CC8">
      <w:pPr>
        <w:pStyle w:val="10"/>
      </w:pPr>
      <w:r>
        <w:rPr>
          <w:rFonts w:hint="eastAsia"/>
        </w:rPr>
        <w:t>环保设施折旧费</w:t>
      </w:r>
    </w:p>
    <w:p w14:paraId="256D4B2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项目环保投资为410万元，环保设施按工程服务年限为10年，残值率按10%计算，可得环保设施每年折旧费41万元。</w:t>
      </w:r>
    </w:p>
    <w:p w14:paraId="69012CC3">
      <w:pPr>
        <w:pStyle w:val="10"/>
      </w:pPr>
      <w:r>
        <w:rPr>
          <w:rFonts w:hint="eastAsia"/>
        </w:rPr>
        <w:t>环保设施折旧费</w:t>
      </w:r>
    </w:p>
    <w:p w14:paraId="5DEFDEF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环保设施年运行费（包括人工费、维修费等）按环保投资的5%计，项目环保设施年运行费为20.5万元。</w:t>
      </w:r>
    </w:p>
    <w:p w14:paraId="69E1369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项目环保投资运行管理费用详见表8.2-2。</w:t>
      </w:r>
    </w:p>
    <w:p w14:paraId="4513E08A">
      <w:pPr>
        <w:pStyle w:val="11"/>
      </w:pPr>
      <w:r>
        <w:rPr>
          <w:rFonts w:hint="eastAsia"/>
        </w:rPr>
        <w:t xml:space="preserve"> 环保运行管理费用一览表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3"/>
        <w:gridCol w:w="3654"/>
        <w:gridCol w:w="4485"/>
      </w:tblGrid>
      <w:tr w14:paraId="17ECC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7" w:type="pct"/>
            <w:vAlign w:val="center"/>
          </w:tcPr>
          <w:p w14:paraId="15A30E8A">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序号</w:t>
            </w:r>
          </w:p>
        </w:tc>
        <w:tc>
          <w:tcPr>
            <w:tcW w:w="1977" w:type="pct"/>
            <w:vAlign w:val="center"/>
          </w:tcPr>
          <w:p w14:paraId="2B71847F">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项目</w:t>
            </w:r>
          </w:p>
        </w:tc>
        <w:tc>
          <w:tcPr>
            <w:tcW w:w="2426" w:type="pct"/>
            <w:vAlign w:val="center"/>
          </w:tcPr>
          <w:p w14:paraId="3CF4D71A">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环境保护费用（万元/年）</w:t>
            </w:r>
          </w:p>
        </w:tc>
      </w:tr>
      <w:tr w14:paraId="41167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7" w:type="pct"/>
            <w:vAlign w:val="center"/>
          </w:tcPr>
          <w:p w14:paraId="71B05485">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1</w:t>
            </w:r>
          </w:p>
        </w:tc>
        <w:tc>
          <w:tcPr>
            <w:tcW w:w="1977" w:type="pct"/>
            <w:vAlign w:val="center"/>
          </w:tcPr>
          <w:p w14:paraId="14A76C87">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环保设施折旧费</w:t>
            </w:r>
          </w:p>
        </w:tc>
        <w:tc>
          <w:tcPr>
            <w:tcW w:w="2426" w:type="pct"/>
            <w:vAlign w:val="center"/>
          </w:tcPr>
          <w:p w14:paraId="75FB3468">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20.5</w:t>
            </w:r>
          </w:p>
        </w:tc>
      </w:tr>
      <w:tr w14:paraId="10D51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97" w:type="pct"/>
            <w:vAlign w:val="center"/>
          </w:tcPr>
          <w:p w14:paraId="14F6BA05">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2</w:t>
            </w:r>
          </w:p>
        </w:tc>
        <w:tc>
          <w:tcPr>
            <w:tcW w:w="1977" w:type="pct"/>
            <w:vAlign w:val="center"/>
          </w:tcPr>
          <w:p w14:paraId="584B12B4">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环保设施年运行费用</w:t>
            </w:r>
          </w:p>
        </w:tc>
        <w:tc>
          <w:tcPr>
            <w:tcW w:w="2426" w:type="pct"/>
            <w:vAlign w:val="center"/>
          </w:tcPr>
          <w:p w14:paraId="531968C5">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41</w:t>
            </w:r>
          </w:p>
        </w:tc>
      </w:tr>
      <w:tr w14:paraId="4E0D6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4" w:type="pct"/>
            <w:gridSpan w:val="2"/>
            <w:vAlign w:val="center"/>
          </w:tcPr>
          <w:p w14:paraId="632FAACB">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合计</w:t>
            </w:r>
          </w:p>
        </w:tc>
        <w:tc>
          <w:tcPr>
            <w:tcW w:w="2426" w:type="pct"/>
            <w:vAlign w:val="center"/>
          </w:tcPr>
          <w:p w14:paraId="36B80E68">
            <w:pPr>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61.5</w:t>
            </w:r>
          </w:p>
        </w:tc>
      </w:tr>
    </w:tbl>
    <w:p w14:paraId="77096849">
      <w:pPr>
        <w:pStyle w:val="9"/>
      </w:pPr>
      <w:bookmarkStart w:id="232" w:name="_Toc204062688"/>
      <w:r>
        <w:rPr>
          <w:rFonts w:hint="eastAsia"/>
        </w:rPr>
        <w:t>环境经济效益</w:t>
      </w:r>
      <w:bookmarkEnd w:id="232"/>
    </w:p>
    <w:p w14:paraId="7E0A80F4">
      <w:pPr>
        <w:pStyle w:val="10"/>
      </w:pPr>
      <w:r>
        <w:rPr>
          <w:rFonts w:hint="eastAsia"/>
        </w:rPr>
        <w:t>减少污染物效益</w:t>
      </w:r>
    </w:p>
    <w:p w14:paraId="66C8A11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环境保护的投资，减少了污染物的排放，直接减少了环境保护税的缴纳，同时还取得间接的环境效益。环境保护税费用根据《中华人民共和国环境保护税法》（2018年1月1日起施行）进行估算。应税大气污染物、水污染物的污染当量数，以该污染物的排放量除以该污染物的污染当量值计算。每一个排放口或者没有排放口的应税大气污染物，按照污染当量数从大到小排序，对前三项污染物征收环境保护税。每一排放口的应税水污染物，区别第一类水污染物和其他类水污染物，按照污染当量数从大到小排序，对第一类污染物按照前五项征收环境保护税，对其他类水污染物按照前三项征收环境保护税。</w:t>
      </w:r>
    </w:p>
    <w:p w14:paraId="0ED41A3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项目主要污染物环境经济效益详见表8.2-3。</w:t>
      </w:r>
    </w:p>
    <w:p w14:paraId="0AA9AC5E">
      <w:pPr>
        <w:widowControl/>
        <w:spacing w:line="240" w:lineRule="auto"/>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14:paraId="0D373C67">
      <w:pPr>
        <w:pStyle w:val="11"/>
      </w:pPr>
      <w:r>
        <w:rPr>
          <w:rFonts w:hint="eastAsia"/>
        </w:rPr>
        <w:t xml:space="preserve"> 项目主要污染物综合环境效益当量化表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142"/>
        <w:gridCol w:w="1503"/>
        <w:gridCol w:w="1791"/>
        <w:gridCol w:w="1845"/>
        <w:gridCol w:w="1041"/>
        <w:gridCol w:w="1238"/>
      </w:tblGrid>
      <w:tr w14:paraId="3BFAF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9" w:type="pct"/>
            <w:vAlign w:val="center"/>
          </w:tcPr>
          <w:p w14:paraId="539D940F">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序号</w:t>
            </w:r>
          </w:p>
        </w:tc>
        <w:tc>
          <w:tcPr>
            <w:tcW w:w="618" w:type="pct"/>
            <w:vAlign w:val="center"/>
          </w:tcPr>
          <w:p w14:paraId="5F45F21E">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污染物</w:t>
            </w:r>
          </w:p>
        </w:tc>
        <w:tc>
          <w:tcPr>
            <w:tcW w:w="813" w:type="pct"/>
            <w:vAlign w:val="center"/>
          </w:tcPr>
          <w:p w14:paraId="19664D9B">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削减量（t/a）</w:t>
            </w:r>
          </w:p>
        </w:tc>
        <w:tc>
          <w:tcPr>
            <w:tcW w:w="969" w:type="pct"/>
            <w:vAlign w:val="center"/>
          </w:tcPr>
          <w:p w14:paraId="04BBEB95">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污染物当量值（kg）</w:t>
            </w:r>
          </w:p>
        </w:tc>
        <w:tc>
          <w:tcPr>
            <w:tcW w:w="998" w:type="pct"/>
            <w:vAlign w:val="center"/>
          </w:tcPr>
          <w:p w14:paraId="3849766A">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污染物削减当量数</w:t>
            </w:r>
          </w:p>
        </w:tc>
        <w:tc>
          <w:tcPr>
            <w:tcW w:w="563" w:type="pct"/>
            <w:vAlign w:val="center"/>
          </w:tcPr>
          <w:p w14:paraId="75509EB1">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环保税标准</w:t>
            </w:r>
          </w:p>
        </w:tc>
        <w:tc>
          <w:tcPr>
            <w:tcW w:w="670" w:type="pct"/>
            <w:vAlign w:val="center"/>
          </w:tcPr>
          <w:p w14:paraId="30E4D281">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环境效益</w:t>
            </w:r>
          </w:p>
          <w:p w14:paraId="556C6F69">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（万元）</w:t>
            </w:r>
          </w:p>
        </w:tc>
      </w:tr>
      <w:tr w14:paraId="12FD5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7"/>
            <w:vAlign w:val="center"/>
          </w:tcPr>
          <w:p w14:paraId="254CEBC3">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大气污染物</w:t>
            </w:r>
          </w:p>
        </w:tc>
      </w:tr>
      <w:tr w14:paraId="293BC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9" w:type="pct"/>
            <w:vAlign w:val="center"/>
          </w:tcPr>
          <w:p w14:paraId="52E29DAC">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1</w:t>
            </w:r>
          </w:p>
        </w:tc>
        <w:tc>
          <w:tcPr>
            <w:tcW w:w="618" w:type="pct"/>
            <w:vAlign w:val="center"/>
          </w:tcPr>
          <w:p w14:paraId="5AC7AFFE">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颗粒物</w:t>
            </w:r>
          </w:p>
        </w:tc>
        <w:tc>
          <w:tcPr>
            <w:tcW w:w="813" w:type="pct"/>
            <w:vAlign w:val="center"/>
          </w:tcPr>
          <w:p w14:paraId="39B77B51">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110.64</w:t>
            </w:r>
          </w:p>
        </w:tc>
        <w:tc>
          <w:tcPr>
            <w:tcW w:w="969" w:type="pct"/>
            <w:vAlign w:val="center"/>
          </w:tcPr>
          <w:p w14:paraId="4F02964F">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2.18</w:t>
            </w:r>
          </w:p>
        </w:tc>
        <w:tc>
          <w:tcPr>
            <w:tcW w:w="998" w:type="pct"/>
            <w:vAlign w:val="center"/>
          </w:tcPr>
          <w:p w14:paraId="314D4445">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50752.29</w:t>
            </w:r>
          </w:p>
        </w:tc>
        <w:tc>
          <w:tcPr>
            <w:tcW w:w="563" w:type="pct"/>
            <w:vAlign w:val="center"/>
          </w:tcPr>
          <w:p w14:paraId="7C40D04C">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1.8</w:t>
            </w:r>
          </w:p>
        </w:tc>
        <w:tc>
          <w:tcPr>
            <w:tcW w:w="670" w:type="pct"/>
            <w:vAlign w:val="center"/>
          </w:tcPr>
          <w:p w14:paraId="5D83ED84">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9.14</w:t>
            </w:r>
          </w:p>
        </w:tc>
      </w:tr>
      <w:tr w14:paraId="611C5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9" w:type="pct"/>
            <w:vAlign w:val="center"/>
          </w:tcPr>
          <w:p w14:paraId="5E790428">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2</w:t>
            </w:r>
          </w:p>
        </w:tc>
        <w:tc>
          <w:tcPr>
            <w:tcW w:w="618" w:type="pct"/>
            <w:vAlign w:val="center"/>
          </w:tcPr>
          <w:p w14:paraId="63A16399">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NOx</w:t>
            </w:r>
          </w:p>
        </w:tc>
        <w:tc>
          <w:tcPr>
            <w:tcW w:w="813" w:type="pct"/>
            <w:vAlign w:val="center"/>
          </w:tcPr>
          <w:p w14:paraId="4176C218">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0</w:t>
            </w:r>
          </w:p>
        </w:tc>
        <w:tc>
          <w:tcPr>
            <w:tcW w:w="969" w:type="pct"/>
            <w:vAlign w:val="center"/>
          </w:tcPr>
          <w:p w14:paraId="0400E093">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0.95</w:t>
            </w:r>
          </w:p>
        </w:tc>
        <w:tc>
          <w:tcPr>
            <w:tcW w:w="998" w:type="pct"/>
            <w:vAlign w:val="center"/>
          </w:tcPr>
          <w:p w14:paraId="30B41051">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0</w:t>
            </w:r>
          </w:p>
        </w:tc>
        <w:tc>
          <w:tcPr>
            <w:tcW w:w="563" w:type="pct"/>
            <w:vAlign w:val="center"/>
          </w:tcPr>
          <w:p w14:paraId="06E2ADA6">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1.8</w:t>
            </w:r>
          </w:p>
        </w:tc>
        <w:tc>
          <w:tcPr>
            <w:tcW w:w="670" w:type="pct"/>
            <w:vAlign w:val="center"/>
          </w:tcPr>
          <w:p w14:paraId="412C71F3">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0</w:t>
            </w:r>
          </w:p>
        </w:tc>
      </w:tr>
      <w:tr w14:paraId="7DDA5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9" w:type="pct"/>
            <w:vAlign w:val="center"/>
          </w:tcPr>
          <w:p w14:paraId="4C6B2E32">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3</w:t>
            </w:r>
          </w:p>
        </w:tc>
        <w:tc>
          <w:tcPr>
            <w:tcW w:w="618" w:type="pct"/>
            <w:vAlign w:val="center"/>
          </w:tcPr>
          <w:p w14:paraId="46D7FF3E">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SO</w:t>
            </w:r>
            <w:r>
              <w:rPr>
                <w:rFonts w:hint="eastAsia" w:cs="Times New Roman"/>
                <w:bCs/>
                <w:color w:val="0D0D0D" w:themeColor="text1" w:themeTint="F2"/>
                <w:spacing w:val="12"/>
                <w:sz w:val="21"/>
                <w:szCs w:val="21"/>
                <w:vertAlign w:val="subscript"/>
                <w14:textFill>
                  <w14:solidFill>
                    <w14:schemeClr w14:val="tx1">
                      <w14:lumMod w14:val="95000"/>
                      <w14:lumOff w14:val="5000"/>
                    </w14:schemeClr>
                  </w14:solidFill>
                </w14:textFill>
              </w:rPr>
              <w:t>2</w:t>
            </w:r>
          </w:p>
        </w:tc>
        <w:tc>
          <w:tcPr>
            <w:tcW w:w="813" w:type="pct"/>
            <w:vAlign w:val="center"/>
          </w:tcPr>
          <w:p w14:paraId="6767C783">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0</w:t>
            </w:r>
          </w:p>
        </w:tc>
        <w:tc>
          <w:tcPr>
            <w:tcW w:w="969" w:type="pct"/>
            <w:vAlign w:val="center"/>
          </w:tcPr>
          <w:p w14:paraId="135DCC34">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0.95</w:t>
            </w:r>
          </w:p>
        </w:tc>
        <w:tc>
          <w:tcPr>
            <w:tcW w:w="998" w:type="pct"/>
            <w:vAlign w:val="center"/>
          </w:tcPr>
          <w:p w14:paraId="106F91AE">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0</w:t>
            </w:r>
          </w:p>
        </w:tc>
        <w:tc>
          <w:tcPr>
            <w:tcW w:w="563" w:type="pct"/>
            <w:vAlign w:val="center"/>
          </w:tcPr>
          <w:p w14:paraId="233468D3">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1.8</w:t>
            </w:r>
          </w:p>
        </w:tc>
        <w:tc>
          <w:tcPr>
            <w:tcW w:w="670" w:type="pct"/>
            <w:vAlign w:val="center"/>
          </w:tcPr>
          <w:p w14:paraId="2CA62B5D">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0</w:t>
            </w:r>
          </w:p>
        </w:tc>
      </w:tr>
      <w:tr w14:paraId="13C9F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9" w:type="pct"/>
            <w:vAlign w:val="center"/>
          </w:tcPr>
          <w:p w14:paraId="7EAD83CA">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4</w:t>
            </w:r>
          </w:p>
        </w:tc>
        <w:tc>
          <w:tcPr>
            <w:tcW w:w="618" w:type="pct"/>
            <w:vAlign w:val="center"/>
          </w:tcPr>
          <w:p w14:paraId="61A5DBD6">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甲醇</w:t>
            </w:r>
          </w:p>
        </w:tc>
        <w:tc>
          <w:tcPr>
            <w:tcW w:w="813" w:type="pct"/>
            <w:vAlign w:val="center"/>
          </w:tcPr>
          <w:p w14:paraId="32EF7989">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43.83</w:t>
            </w:r>
          </w:p>
        </w:tc>
        <w:tc>
          <w:tcPr>
            <w:tcW w:w="969" w:type="pct"/>
            <w:vAlign w:val="center"/>
          </w:tcPr>
          <w:p w14:paraId="2816399D">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0.67</w:t>
            </w:r>
          </w:p>
        </w:tc>
        <w:tc>
          <w:tcPr>
            <w:tcW w:w="998" w:type="pct"/>
            <w:vAlign w:val="center"/>
          </w:tcPr>
          <w:p w14:paraId="77AD0264">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65417.91</w:t>
            </w:r>
          </w:p>
        </w:tc>
        <w:tc>
          <w:tcPr>
            <w:tcW w:w="563" w:type="pct"/>
            <w:vAlign w:val="center"/>
          </w:tcPr>
          <w:p w14:paraId="4341A5AC">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1.8</w:t>
            </w:r>
          </w:p>
        </w:tc>
        <w:tc>
          <w:tcPr>
            <w:tcW w:w="670" w:type="pct"/>
            <w:vAlign w:val="center"/>
          </w:tcPr>
          <w:p w14:paraId="487D8E53">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11.78</w:t>
            </w:r>
          </w:p>
        </w:tc>
      </w:tr>
      <w:tr w14:paraId="1CF69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69" w:type="pct"/>
            <w:vAlign w:val="center"/>
          </w:tcPr>
          <w:p w14:paraId="63B12873">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5</w:t>
            </w:r>
          </w:p>
        </w:tc>
        <w:tc>
          <w:tcPr>
            <w:tcW w:w="618" w:type="pct"/>
            <w:vAlign w:val="center"/>
          </w:tcPr>
          <w:p w14:paraId="1E69A017">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非甲烷总烃</w:t>
            </w:r>
          </w:p>
        </w:tc>
        <w:tc>
          <w:tcPr>
            <w:tcW w:w="813" w:type="pct"/>
            <w:vAlign w:val="center"/>
          </w:tcPr>
          <w:p w14:paraId="552F63CD">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79.91</w:t>
            </w:r>
          </w:p>
        </w:tc>
        <w:tc>
          <w:tcPr>
            <w:tcW w:w="969" w:type="pct"/>
            <w:vAlign w:val="center"/>
          </w:tcPr>
          <w:p w14:paraId="16149A53">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0</w:t>
            </w:r>
          </w:p>
        </w:tc>
        <w:tc>
          <w:tcPr>
            <w:tcW w:w="998" w:type="pct"/>
            <w:vAlign w:val="center"/>
          </w:tcPr>
          <w:p w14:paraId="2F711661">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w:t>
            </w:r>
          </w:p>
        </w:tc>
        <w:tc>
          <w:tcPr>
            <w:tcW w:w="563" w:type="pct"/>
            <w:vAlign w:val="center"/>
          </w:tcPr>
          <w:p w14:paraId="207451DE">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1.8</w:t>
            </w:r>
          </w:p>
        </w:tc>
        <w:tc>
          <w:tcPr>
            <w:tcW w:w="670" w:type="pct"/>
            <w:vAlign w:val="center"/>
          </w:tcPr>
          <w:p w14:paraId="29758831">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0</w:t>
            </w:r>
          </w:p>
        </w:tc>
      </w:tr>
      <w:tr w14:paraId="4767F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9" w:type="pct"/>
            <w:vAlign w:val="center"/>
          </w:tcPr>
          <w:p w14:paraId="1D0AF3E6">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6</w:t>
            </w:r>
          </w:p>
        </w:tc>
        <w:tc>
          <w:tcPr>
            <w:tcW w:w="618" w:type="pct"/>
            <w:vAlign w:val="center"/>
          </w:tcPr>
          <w:p w14:paraId="483B7B3F">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NH</w:t>
            </w:r>
            <w:r>
              <w:rPr>
                <w:rFonts w:hint="eastAsia" w:cs="Times New Roman"/>
                <w:bCs/>
                <w:color w:val="0D0D0D" w:themeColor="text1" w:themeTint="F2"/>
                <w:spacing w:val="12"/>
                <w:sz w:val="21"/>
                <w:szCs w:val="21"/>
                <w:vertAlign w:val="subscript"/>
                <w14:textFill>
                  <w14:solidFill>
                    <w14:schemeClr w14:val="tx1">
                      <w14:lumMod w14:val="95000"/>
                      <w14:lumOff w14:val="5000"/>
                    </w14:schemeClr>
                  </w14:solidFill>
                </w14:textFill>
              </w:rPr>
              <w:t>3</w:t>
            </w:r>
          </w:p>
        </w:tc>
        <w:tc>
          <w:tcPr>
            <w:tcW w:w="813" w:type="pct"/>
            <w:vAlign w:val="center"/>
          </w:tcPr>
          <w:p w14:paraId="2CF3FEAC">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0</w:t>
            </w:r>
          </w:p>
        </w:tc>
        <w:tc>
          <w:tcPr>
            <w:tcW w:w="969" w:type="pct"/>
            <w:vAlign w:val="center"/>
          </w:tcPr>
          <w:p w14:paraId="277DDDB5">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9.09</w:t>
            </w:r>
          </w:p>
        </w:tc>
        <w:tc>
          <w:tcPr>
            <w:tcW w:w="998" w:type="pct"/>
            <w:vAlign w:val="center"/>
          </w:tcPr>
          <w:p w14:paraId="22AF3EB3">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w:t>
            </w:r>
          </w:p>
        </w:tc>
        <w:tc>
          <w:tcPr>
            <w:tcW w:w="563" w:type="pct"/>
            <w:vAlign w:val="center"/>
          </w:tcPr>
          <w:p w14:paraId="3805199E">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1.8</w:t>
            </w:r>
          </w:p>
        </w:tc>
        <w:tc>
          <w:tcPr>
            <w:tcW w:w="670" w:type="pct"/>
            <w:vAlign w:val="center"/>
          </w:tcPr>
          <w:p w14:paraId="36B48BE7">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0</w:t>
            </w:r>
          </w:p>
        </w:tc>
      </w:tr>
      <w:tr w14:paraId="2212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9" w:type="pct"/>
            <w:vAlign w:val="center"/>
          </w:tcPr>
          <w:p w14:paraId="7B89159A">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7</w:t>
            </w:r>
          </w:p>
        </w:tc>
        <w:tc>
          <w:tcPr>
            <w:tcW w:w="618" w:type="pct"/>
            <w:vAlign w:val="center"/>
          </w:tcPr>
          <w:p w14:paraId="550EA496">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H</w:t>
            </w:r>
            <w:r>
              <w:rPr>
                <w:rFonts w:hint="eastAsia" w:cs="Times New Roman"/>
                <w:bCs/>
                <w:color w:val="0D0D0D" w:themeColor="text1" w:themeTint="F2"/>
                <w:spacing w:val="12"/>
                <w:sz w:val="21"/>
                <w:szCs w:val="21"/>
                <w:vertAlign w:val="subscript"/>
                <w14:textFill>
                  <w14:solidFill>
                    <w14:schemeClr w14:val="tx1">
                      <w14:lumMod w14:val="95000"/>
                      <w14:lumOff w14:val="5000"/>
                    </w14:schemeClr>
                  </w14:solidFill>
                </w14:textFill>
              </w:rPr>
              <w:t>2</w:t>
            </w: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S</w:t>
            </w:r>
          </w:p>
        </w:tc>
        <w:tc>
          <w:tcPr>
            <w:tcW w:w="813" w:type="pct"/>
            <w:vAlign w:val="center"/>
          </w:tcPr>
          <w:p w14:paraId="2DCD0135">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0.01</w:t>
            </w:r>
          </w:p>
        </w:tc>
        <w:tc>
          <w:tcPr>
            <w:tcW w:w="969" w:type="pct"/>
            <w:vAlign w:val="center"/>
          </w:tcPr>
          <w:p w14:paraId="2CB42B9E">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0.29</w:t>
            </w:r>
          </w:p>
        </w:tc>
        <w:tc>
          <w:tcPr>
            <w:tcW w:w="998" w:type="pct"/>
            <w:vAlign w:val="center"/>
          </w:tcPr>
          <w:p w14:paraId="16FA0C51">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48.28</w:t>
            </w:r>
          </w:p>
        </w:tc>
        <w:tc>
          <w:tcPr>
            <w:tcW w:w="563" w:type="pct"/>
            <w:vAlign w:val="center"/>
          </w:tcPr>
          <w:p w14:paraId="11B73095">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1.8</w:t>
            </w:r>
          </w:p>
        </w:tc>
        <w:tc>
          <w:tcPr>
            <w:tcW w:w="670" w:type="pct"/>
            <w:vAlign w:val="center"/>
          </w:tcPr>
          <w:p w14:paraId="3BCF7D99">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0</w:t>
            </w:r>
          </w:p>
        </w:tc>
      </w:tr>
      <w:tr w14:paraId="7745B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7"/>
            <w:vAlign w:val="center"/>
          </w:tcPr>
          <w:p w14:paraId="30ACFBD4">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水污染物</w:t>
            </w:r>
          </w:p>
        </w:tc>
      </w:tr>
      <w:tr w14:paraId="7EF61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9" w:type="pct"/>
            <w:vAlign w:val="center"/>
          </w:tcPr>
          <w:p w14:paraId="48F79EC3">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1</w:t>
            </w:r>
          </w:p>
        </w:tc>
        <w:tc>
          <w:tcPr>
            <w:tcW w:w="618" w:type="pct"/>
            <w:vAlign w:val="center"/>
          </w:tcPr>
          <w:p w14:paraId="5E926C17">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COD</w:t>
            </w:r>
          </w:p>
        </w:tc>
        <w:tc>
          <w:tcPr>
            <w:tcW w:w="813" w:type="pct"/>
            <w:vAlign w:val="center"/>
          </w:tcPr>
          <w:p w14:paraId="3249929C">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573.37</w:t>
            </w:r>
          </w:p>
        </w:tc>
        <w:tc>
          <w:tcPr>
            <w:tcW w:w="969" w:type="pct"/>
            <w:vAlign w:val="center"/>
          </w:tcPr>
          <w:p w14:paraId="4B8A45DC">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1</w:t>
            </w:r>
          </w:p>
        </w:tc>
        <w:tc>
          <w:tcPr>
            <w:tcW w:w="998" w:type="pct"/>
            <w:vAlign w:val="center"/>
          </w:tcPr>
          <w:p w14:paraId="12A6E4F0">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573370</w:t>
            </w:r>
          </w:p>
        </w:tc>
        <w:tc>
          <w:tcPr>
            <w:tcW w:w="563" w:type="pct"/>
            <w:vAlign w:val="center"/>
          </w:tcPr>
          <w:p w14:paraId="27A980C3">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2.8</w:t>
            </w:r>
          </w:p>
        </w:tc>
        <w:tc>
          <w:tcPr>
            <w:tcW w:w="670" w:type="pct"/>
            <w:vAlign w:val="center"/>
          </w:tcPr>
          <w:p w14:paraId="2CBD8DCF">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160.54</w:t>
            </w:r>
          </w:p>
        </w:tc>
      </w:tr>
      <w:tr w14:paraId="08F15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9" w:type="pct"/>
            <w:vAlign w:val="center"/>
          </w:tcPr>
          <w:p w14:paraId="41E84A99">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2</w:t>
            </w:r>
          </w:p>
        </w:tc>
        <w:tc>
          <w:tcPr>
            <w:tcW w:w="618" w:type="pct"/>
            <w:vAlign w:val="center"/>
          </w:tcPr>
          <w:p w14:paraId="0782ABD3">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BOD</w:t>
            </w:r>
            <w:r>
              <w:rPr>
                <w:rFonts w:hint="eastAsia" w:cs="Times New Roman"/>
                <w:bCs/>
                <w:color w:val="0D0D0D" w:themeColor="text1" w:themeTint="F2"/>
                <w:spacing w:val="12"/>
                <w:sz w:val="21"/>
                <w:szCs w:val="21"/>
                <w:vertAlign w:val="subscript"/>
                <w14:textFill>
                  <w14:solidFill>
                    <w14:schemeClr w14:val="tx1">
                      <w14:lumMod w14:val="95000"/>
                      <w14:lumOff w14:val="5000"/>
                    </w14:schemeClr>
                  </w14:solidFill>
                </w14:textFill>
              </w:rPr>
              <w:t>5</w:t>
            </w:r>
          </w:p>
        </w:tc>
        <w:tc>
          <w:tcPr>
            <w:tcW w:w="813" w:type="pct"/>
            <w:vAlign w:val="center"/>
          </w:tcPr>
          <w:p w14:paraId="3B0661C5">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205.22</w:t>
            </w:r>
          </w:p>
        </w:tc>
        <w:tc>
          <w:tcPr>
            <w:tcW w:w="969" w:type="pct"/>
            <w:vAlign w:val="center"/>
          </w:tcPr>
          <w:p w14:paraId="7EE18B2B">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0.5</w:t>
            </w:r>
          </w:p>
        </w:tc>
        <w:tc>
          <w:tcPr>
            <w:tcW w:w="998" w:type="pct"/>
            <w:vAlign w:val="center"/>
          </w:tcPr>
          <w:p w14:paraId="2DA4F133">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410440</w:t>
            </w:r>
          </w:p>
        </w:tc>
        <w:tc>
          <w:tcPr>
            <w:tcW w:w="563" w:type="pct"/>
            <w:vAlign w:val="center"/>
          </w:tcPr>
          <w:p w14:paraId="2BC5FFAE">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2.8</w:t>
            </w:r>
          </w:p>
        </w:tc>
        <w:tc>
          <w:tcPr>
            <w:tcW w:w="670" w:type="pct"/>
            <w:vAlign w:val="center"/>
          </w:tcPr>
          <w:p w14:paraId="65EE7AFE">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114.92</w:t>
            </w:r>
          </w:p>
        </w:tc>
      </w:tr>
      <w:tr w14:paraId="696FA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9" w:type="pct"/>
            <w:vAlign w:val="center"/>
          </w:tcPr>
          <w:p w14:paraId="2DE604CE">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3</w:t>
            </w:r>
          </w:p>
        </w:tc>
        <w:tc>
          <w:tcPr>
            <w:tcW w:w="618" w:type="pct"/>
            <w:vAlign w:val="center"/>
          </w:tcPr>
          <w:p w14:paraId="6C532AE0">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NH</w:t>
            </w:r>
            <w:r>
              <w:rPr>
                <w:rFonts w:hint="eastAsia" w:cs="Times New Roman"/>
                <w:bCs/>
                <w:color w:val="0D0D0D" w:themeColor="text1" w:themeTint="F2"/>
                <w:spacing w:val="12"/>
                <w:sz w:val="21"/>
                <w:szCs w:val="21"/>
                <w:vertAlign w:val="subscript"/>
                <w14:textFill>
                  <w14:solidFill>
                    <w14:schemeClr w14:val="tx1">
                      <w14:lumMod w14:val="95000"/>
                      <w14:lumOff w14:val="5000"/>
                    </w14:schemeClr>
                  </w14:solidFill>
                </w14:textFill>
              </w:rPr>
              <w:t>3</w:t>
            </w: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-N</w:t>
            </w:r>
          </w:p>
        </w:tc>
        <w:tc>
          <w:tcPr>
            <w:tcW w:w="813" w:type="pct"/>
            <w:vAlign w:val="center"/>
          </w:tcPr>
          <w:p w14:paraId="4DA0BD9F">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16.77</w:t>
            </w:r>
          </w:p>
        </w:tc>
        <w:tc>
          <w:tcPr>
            <w:tcW w:w="969" w:type="pct"/>
            <w:vAlign w:val="center"/>
          </w:tcPr>
          <w:p w14:paraId="2A976C7B">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0.8</w:t>
            </w:r>
          </w:p>
        </w:tc>
        <w:tc>
          <w:tcPr>
            <w:tcW w:w="998" w:type="pct"/>
            <w:vAlign w:val="center"/>
          </w:tcPr>
          <w:p w14:paraId="0E297DDB">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20962.5</w:t>
            </w:r>
          </w:p>
        </w:tc>
        <w:tc>
          <w:tcPr>
            <w:tcW w:w="563" w:type="pct"/>
            <w:vAlign w:val="center"/>
          </w:tcPr>
          <w:p w14:paraId="68CE05DC">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2.8</w:t>
            </w:r>
          </w:p>
        </w:tc>
        <w:tc>
          <w:tcPr>
            <w:tcW w:w="670" w:type="pct"/>
            <w:vAlign w:val="center"/>
          </w:tcPr>
          <w:p w14:paraId="42C3B7D1">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5.87</w:t>
            </w:r>
          </w:p>
        </w:tc>
      </w:tr>
      <w:tr w14:paraId="7ED9B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9" w:type="pct"/>
            <w:vAlign w:val="center"/>
          </w:tcPr>
          <w:p w14:paraId="7A608A41">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4</w:t>
            </w:r>
          </w:p>
        </w:tc>
        <w:tc>
          <w:tcPr>
            <w:tcW w:w="618" w:type="pct"/>
            <w:vAlign w:val="center"/>
          </w:tcPr>
          <w:p w14:paraId="64A4CA62">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SS</w:t>
            </w:r>
          </w:p>
        </w:tc>
        <w:tc>
          <w:tcPr>
            <w:tcW w:w="813" w:type="pct"/>
            <w:vAlign w:val="center"/>
          </w:tcPr>
          <w:p w14:paraId="20F50BA9">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29.15</w:t>
            </w:r>
          </w:p>
        </w:tc>
        <w:tc>
          <w:tcPr>
            <w:tcW w:w="969" w:type="pct"/>
            <w:vAlign w:val="center"/>
          </w:tcPr>
          <w:p w14:paraId="73CD281C">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4</w:t>
            </w:r>
          </w:p>
        </w:tc>
        <w:tc>
          <w:tcPr>
            <w:tcW w:w="998" w:type="pct"/>
            <w:vAlign w:val="center"/>
          </w:tcPr>
          <w:p w14:paraId="2088B295">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7287.5</w:t>
            </w:r>
          </w:p>
        </w:tc>
        <w:tc>
          <w:tcPr>
            <w:tcW w:w="563" w:type="pct"/>
            <w:vAlign w:val="center"/>
          </w:tcPr>
          <w:p w14:paraId="3737D413">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2.8</w:t>
            </w:r>
          </w:p>
        </w:tc>
        <w:tc>
          <w:tcPr>
            <w:tcW w:w="670" w:type="pct"/>
            <w:vAlign w:val="center"/>
          </w:tcPr>
          <w:p w14:paraId="73CF9D7D">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2.04</w:t>
            </w:r>
          </w:p>
        </w:tc>
      </w:tr>
      <w:tr w14:paraId="5652C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0" w:type="pct"/>
            <w:gridSpan w:val="6"/>
            <w:vAlign w:val="center"/>
          </w:tcPr>
          <w:p w14:paraId="1632619D">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合计</w:t>
            </w:r>
          </w:p>
        </w:tc>
        <w:tc>
          <w:tcPr>
            <w:tcW w:w="670" w:type="pct"/>
            <w:vAlign w:val="center"/>
          </w:tcPr>
          <w:p w14:paraId="25D7793C">
            <w:pPr>
              <w:spacing w:line="240" w:lineRule="auto"/>
              <w:jc w:val="center"/>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181.46</w:t>
            </w:r>
          </w:p>
        </w:tc>
      </w:tr>
      <w:tr w14:paraId="59951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7"/>
            <w:vAlign w:val="center"/>
          </w:tcPr>
          <w:p w14:paraId="414D9D37">
            <w:pPr>
              <w:spacing w:line="240" w:lineRule="auto"/>
              <w:rPr>
                <w:rFonts w:cs="Times New Roman"/>
                <w:bCs/>
                <w:color w:val="0D0D0D" w:themeColor="text1" w:themeTint="F2"/>
                <w:spacing w:val="12"/>
                <w:sz w:val="21"/>
                <w:szCs w:val="21"/>
                <w14:textFill>
                  <w14:solidFill>
                    <w14:schemeClr w14:val="tx1">
                      <w14:lumMod w14:val="95000"/>
                      <w14:lumOff w14:val="5000"/>
                    </w14:schemeClr>
                  </w14:solidFill>
                </w14:textFill>
              </w:rPr>
            </w:pPr>
            <w:r>
              <w:rPr>
                <w:rFonts w:hint="eastAsia" w:cs="Times New Roman"/>
                <w:bCs/>
                <w:color w:val="0D0D0D" w:themeColor="text1" w:themeTint="F2"/>
                <w:spacing w:val="12"/>
                <w:sz w:val="21"/>
                <w:szCs w:val="21"/>
                <w14:textFill>
                  <w14:solidFill>
                    <w14:schemeClr w14:val="tx1">
                      <w14:lumMod w14:val="95000"/>
                      <w14:lumOff w14:val="5000"/>
                    </w14:schemeClr>
                  </w14:solidFill>
                </w14:textFill>
              </w:rPr>
              <w:t>注：同一排放口中的化学需氧量、生化需氧量只征收一项；每一排放口的应税水污染物，按照本法所附《应税污染物和当量值表》，区分第一类水污染物和其他类水污染物，按照污染当量数从大到小排序，对第一类水污染物按照前五项征收环境保护税，对其他类水污染物按照前三项征收环境保护税。</w:t>
            </w:r>
          </w:p>
        </w:tc>
      </w:tr>
    </w:tbl>
    <w:p w14:paraId="0D51568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由上表可知，综合资源减少污染物效益，环保投资挽回经济损失181.46万元/年。</w:t>
      </w:r>
    </w:p>
    <w:p w14:paraId="6E744BF4">
      <w:pPr>
        <w:pStyle w:val="8"/>
      </w:pPr>
      <w:bookmarkStart w:id="233" w:name="_Toc204062689"/>
      <w:r>
        <w:rPr>
          <w:rFonts w:hint="eastAsia"/>
        </w:rPr>
        <w:t>环境经济损益分析</w:t>
      </w:r>
      <w:bookmarkEnd w:id="233"/>
    </w:p>
    <w:p w14:paraId="57662DD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建设项目环保治理措施的实施，不仅可以有效地控制污染，而且通过对废物的综合利用还能带来一定的经济效益和环境效益。</w:t>
      </w:r>
    </w:p>
    <w:p w14:paraId="742930E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通过对项目生产工艺的分析，项目因环保治理能带来的直接的经济效益和间接的环境效益。直接的经济效益一方面来自污染治理而减少的排污收费，另一方面来自废物综合利用所得的经济效益。</w:t>
      </w:r>
    </w:p>
    <w:p w14:paraId="64DDEC6A">
      <w:pPr>
        <w:pStyle w:val="9"/>
        <w:numPr>
          <w:ilvl w:val="2"/>
          <w:numId w:val="63"/>
        </w:numPr>
      </w:pPr>
      <w:bookmarkStart w:id="234" w:name="_Toc204062690"/>
      <w:r>
        <w:rPr>
          <w:rFonts w:hint="eastAsia"/>
        </w:rPr>
        <w:t>环保费用的经济效益分析</w:t>
      </w:r>
      <w:bookmarkEnd w:id="234"/>
    </w:p>
    <w:p w14:paraId="0CBBB943">
      <w:pPr>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年环保费用的经济效益，可用因有效的环保治理措施而挽回的经济损失与保证这—效益而每年投入的环保费用之比来确定，年环保费用的经济效益按下式计算：</w:t>
      </w:r>
    </w:p>
    <w:p w14:paraId="18BF0374">
      <w:pPr>
        <w:jc w:val="center"/>
        <w:rPr>
          <w:rFonts w:cs="Times New Roman"/>
          <w:color w:val="0D0D0D" w:themeColor="text1" w:themeTint="F2"/>
          <w14:textFill>
            <w14:solidFill>
              <w14:schemeClr w14:val="tx1">
                <w14:lumMod w14:val="95000"/>
                <w14:lumOff w14:val="5000"/>
              </w14:schemeClr>
            </w14:solidFill>
          </w14:textFill>
        </w:rPr>
      </w:pPr>
      <w:r>
        <w:rPr>
          <w:rFonts w:cs="Times New Roman"/>
          <w:color w:val="0D0D0D" w:themeColor="text1" w:themeTint="F2"/>
          <w14:textFill>
            <w14:solidFill>
              <w14:schemeClr w14:val="tx1">
                <w14:lumMod w14:val="95000"/>
                <w14:lumOff w14:val="5000"/>
              </w14:schemeClr>
            </w14:solidFill>
          </w14:textFill>
        </w:rPr>
        <w:t>Z=S</w:t>
      </w:r>
      <w:r>
        <w:rPr>
          <w:rFonts w:cs="Times New Roman"/>
          <w:color w:val="0D0D0D" w:themeColor="text1" w:themeTint="F2"/>
          <w:vertAlign w:val="subscript"/>
          <w14:textFill>
            <w14:solidFill>
              <w14:schemeClr w14:val="tx1">
                <w14:lumMod w14:val="95000"/>
                <w14:lumOff w14:val="5000"/>
              </w14:schemeClr>
            </w14:solidFill>
          </w14:textFill>
        </w:rPr>
        <w:t>i</w:t>
      </w:r>
      <w:r>
        <w:rPr>
          <w:rFonts w:cs="Times New Roman"/>
          <w:color w:val="0D0D0D" w:themeColor="text1" w:themeTint="F2"/>
          <w14:textFill>
            <w14:solidFill>
              <w14:schemeClr w14:val="tx1">
                <w14:lumMod w14:val="95000"/>
                <w14:lumOff w14:val="5000"/>
              </w14:schemeClr>
            </w14:solidFill>
          </w14:textFill>
        </w:rPr>
        <w:t>/H</w:t>
      </w:r>
      <w:r>
        <w:rPr>
          <w:rFonts w:cs="Times New Roman"/>
          <w:color w:val="0D0D0D" w:themeColor="text1" w:themeTint="F2"/>
          <w:vertAlign w:val="subscript"/>
          <w14:textFill>
            <w14:solidFill>
              <w14:schemeClr w14:val="tx1">
                <w14:lumMod w14:val="95000"/>
                <w14:lumOff w14:val="5000"/>
              </w14:schemeClr>
            </w14:solidFill>
          </w14:textFill>
        </w:rPr>
        <w:t>f</w:t>
      </w:r>
    </w:p>
    <w:p w14:paraId="72F430E2">
      <w:pPr>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式中：</w:t>
      </w:r>
    </w:p>
    <w:p w14:paraId="1D0453B3">
      <w:pPr>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Z——年环保费用的经济效益；</w:t>
      </w:r>
    </w:p>
    <w:p w14:paraId="4A0BCEC5">
      <w:pPr>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S</w:t>
      </w:r>
      <w:r>
        <w:rPr>
          <w:rFonts w:hint="eastAsia" w:cs="Times New Roman"/>
          <w:color w:val="0D0D0D" w:themeColor="text1" w:themeTint="F2"/>
          <w:vertAlign w:val="subscript"/>
          <w14:textFill>
            <w14:solidFill>
              <w14:schemeClr w14:val="tx1">
                <w14:lumMod w14:val="95000"/>
                <w14:lumOff w14:val="5000"/>
              </w14:schemeClr>
            </w14:solidFill>
          </w14:textFill>
        </w:rPr>
        <w:t>i</w:t>
      </w:r>
      <w:r>
        <w:rPr>
          <w:rFonts w:hint="eastAsia" w:cs="Times New Roman"/>
          <w:color w:val="0D0D0D" w:themeColor="text1" w:themeTint="F2"/>
          <w14:textFill>
            <w14:solidFill>
              <w14:schemeClr w14:val="tx1">
                <w14:lumMod w14:val="95000"/>
                <w14:lumOff w14:val="5000"/>
              </w14:schemeClr>
            </w14:solidFill>
          </w14:textFill>
        </w:rPr>
        <w:t>——采取环保措施后每年挽回的经济损失；</w:t>
      </w:r>
    </w:p>
    <w:p w14:paraId="4208461D">
      <w:pPr>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H</w:t>
      </w:r>
      <w:r>
        <w:rPr>
          <w:rFonts w:hint="eastAsia" w:cs="Times New Roman"/>
          <w:color w:val="0D0D0D" w:themeColor="text1" w:themeTint="F2"/>
          <w:vertAlign w:val="subscript"/>
          <w14:textFill>
            <w14:solidFill>
              <w14:schemeClr w14:val="tx1">
                <w14:lumMod w14:val="95000"/>
                <w14:lumOff w14:val="5000"/>
              </w14:schemeClr>
            </w14:solidFill>
          </w14:textFill>
        </w:rPr>
        <w:t>f</w:t>
      </w:r>
      <w:r>
        <w:rPr>
          <w:rFonts w:hint="eastAsia" w:cs="Times New Roman"/>
          <w:color w:val="0D0D0D" w:themeColor="text1" w:themeTint="F2"/>
          <w14:textFill>
            <w14:solidFill>
              <w14:schemeClr w14:val="tx1">
                <w14:lumMod w14:val="95000"/>
                <w14:lumOff w14:val="5000"/>
              </w14:schemeClr>
            </w14:solidFill>
          </w14:textFill>
        </w:rPr>
        <w:t>——每年投入的环保费用。</w:t>
      </w:r>
    </w:p>
    <w:p w14:paraId="5276AB9D">
      <w:pPr>
        <w:ind w:firstLine="480" w:firstLineChars="20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根据上述的环境经济效益分析，全年的S</w:t>
      </w:r>
      <w:r>
        <w:rPr>
          <w:rFonts w:hint="eastAsia" w:cs="Times New Roman"/>
          <w:color w:val="0D0D0D" w:themeColor="text1" w:themeTint="F2"/>
          <w:vertAlign w:val="subscript"/>
          <w14:textFill>
            <w14:solidFill>
              <w14:schemeClr w14:val="tx1">
                <w14:lumMod w14:val="95000"/>
                <w14:lumOff w14:val="5000"/>
              </w14:schemeClr>
            </w14:solidFill>
          </w14:textFill>
        </w:rPr>
        <w:t>i</w:t>
      </w:r>
      <w:r>
        <w:rPr>
          <w:rFonts w:hint="eastAsia" w:cs="Times New Roman"/>
          <w:color w:val="0D0D0D" w:themeColor="text1" w:themeTint="F2"/>
          <w14:textFill>
            <w14:solidFill>
              <w14:schemeClr w14:val="tx1">
                <w14:lumMod w14:val="95000"/>
                <w14:lumOff w14:val="5000"/>
              </w14:schemeClr>
            </w14:solidFill>
          </w14:textFill>
        </w:rPr>
        <w:t>为181.46万元，H</w:t>
      </w:r>
      <w:r>
        <w:rPr>
          <w:rFonts w:hint="eastAsia" w:cs="Times New Roman"/>
          <w:color w:val="0D0D0D" w:themeColor="text1" w:themeTint="F2"/>
          <w:vertAlign w:val="subscript"/>
          <w14:textFill>
            <w14:solidFill>
              <w14:schemeClr w14:val="tx1">
                <w14:lumMod w14:val="95000"/>
                <w14:lumOff w14:val="5000"/>
              </w14:schemeClr>
            </w14:solidFill>
          </w14:textFill>
        </w:rPr>
        <w:t>f</w:t>
      </w:r>
      <w:r>
        <w:rPr>
          <w:rFonts w:hint="eastAsia" w:cs="Times New Roman"/>
          <w:color w:val="0D0D0D" w:themeColor="text1" w:themeTint="F2"/>
          <w14:textFill>
            <w14:solidFill>
              <w14:schemeClr w14:val="tx1">
                <w14:lumMod w14:val="95000"/>
                <w14:lumOff w14:val="5000"/>
              </w14:schemeClr>
            </w14:solidFill>
          </w14:textFill>
        </w:rPr>
        <w:t>为61.5万元，则项目环保费用经济效益Z为2.95，以上分析说明，环保投资与环保费用的经济效益是良好的。</w:t>
      </w:r>
    </w:p>
    <w:p w14:paraId="57C70AAA">
      <w:pPr>
        <w:pStyle w:val="8"/>
      </w:pPr>
      <w:bookmarkStart w:id="235" w:name="_Toc204062691"/>
      <w:r>
        <w:rPr>
          <w:rFonts w:hint="eastAsia"/>
        </w:rPr>
        <w:t>小结</w:t>
      </w:r>
      <w:bookmarkEnd w:id="235"/>
    </w:p>
    <w:p w14:paraId="7D8ECEC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综上所述，项目年环保费用的经济效益为2.95，说明项目环境经济投入、环境经济效益比较合理，具有良好的社会效益和经济效益。虽然对当地环境产生一定影响，但污染经治理后影响不大。这符合我国环境保护工作一贯坚持的经济效益、社会效益和环境三者统一的原则，同时也符合经济与环境协调持续发展的基本原则。项目在保证环保投资及环保设施运行效果的情况下，环保投资将产生间接的环境效益，具有良好的环境效益、经济效益及社会效益，从环境经济损益分析是可行的。</w:t>
      </w:r>
    </w:p>
    <w:p w14:paraId="07790F80">
      <w:pPr>
        <w:widowControl/>
        <w:spacing w:line="240" w:lineRule="auto"/>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14:paraId="37B8D703">
      <w:pPr>
        <w:pStyle w:val="7"/>
      </w:pPr>
      <w:bookmarkStart w:id="236" w:name="_Toc204062692"/>
      <w:r>
        <w:rPr>
          <w:rFonts w:hint="eastAsia"/>
        </w:rPr>
        <w:t>环境管理与监测计划</w:t>
      </w:r>
      <w:bookmarkEnd w:id="236"/>
    </w:p>
    <w:p w14:paraId="6E6EBAC8">
      <w:pPr>
        <w:pStyle w:val="8"/>
        <w:numPr>
          <w:ilvl w:val="1"/>
          <w:numId w:val="64"/>
        </w:numPr>
      </w:pPr>
      <w:bookmarkStart w:id="237" w:name="_Toc204062693"/>
      <w:r>
        <w:rPr>
          <w:rFonts w:hint="eastAsia"/>
        </w:rPr>
        <w:t>环境管理</w:t>
      </w:r>
      <w:bookmarkEnd w:id="237"/>
    </w:p>
    <w:p w14:paraId="012A4DDE">
      <w:pPr>
        <w:pStyle w:val="9"/>
        <w:numPr>
          <w:ilvl w:val="2"/>
          <w:numId w:val="65"/>
        </w:numPr>
      </w:pPr>
      <w:bookmarkStart w:id="238" w:name="_Toc204062694"/>
      <w:r>
        <w:rPr>
          <w:rFonts w:hint="eastAsia"/>
        </w:rPr>
        <w:t>环境管理机构设置</w:t>
      </w:r>
      <w:bookmarkEnd w:id="238"/>
    </w:p>
    <w:p w14:paraId="07BB800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根据《建设项目环境保护设计规定》，新建、扩建企业应设置环境保护管理机构，负责组织、落实、监督本企业环保工作，因此，建设单位需建成相应的管理机构，以落实和实施环境管理制度。</w:t>
      </w:r>
    </w:p>
    <w:p w14:paraId="3F2B533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环境管理体系是企业生产管理体系的重要内容之一，其目的在于发展生产的同时节约能源、降低原材料的消耗，控制污染物总量排放，减少对环境的影响，有利于清洁生产促进法的实施。环境管理的实施能够帮助企业及早发现问题，降低生产成本，为企业创造更好的经济效益和环境效益，树立良好的社会形象。结合项目实际情况，建议企业设置专职负责环境管理工作的部门，直接归属厂长领导，统一进行环境管理和安全生产管理。</w:t>
      </w:r>
    </w:p>
    <w:p w14:paraId="68A9D00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环保管理人员应具备生产管理经验和环保基础知识和清洁生产知识，熟悉企业生产特点，由责任心、组织能力强的人员担任；同时培训若干有经验、责任心强的技术人员担任环保管理人员，以随时掌握企业生产状况和各项环保设施的运行情况，同时也有利于环保措施的落实。</w:t>
      </w:r>
    </w:p>
    <w:p w14:paraId="5467ED3C">
      <w:pPr>
        <w:pStyle w:val="9"/>
      </w:pPr>
      <w:bookmarkStart w:id="239" w:name="_Toc204062695"/>
      <w:r>
        <w:rPr>
          <w:rFonts w:hint="eastAsia"/>
        </w:rPr>
        <w:t>环境管理制度</w:t>
      </w:r>
      <w:bookmarkEnd w:id="239"/>
    </w:p>
    <w:p w14:paraId="4708D2D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（1）报告制度</w:t>
      </w:r>
    </w:p>
    <w:p w14:paraId="4AA1913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要定期向当地生态环境部门报告污染治理设施运行情况、污染物排放情况以及污染事故、污染纠纷等情况。</w:t>
      </w:r>
    </w:p>
    <w:p w14:paraId="659B24D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若企业排污发生重大变化、污染治理设施改变或企业改、扩建等都必须向当地生态环境部门申报，改、扩建项目必须按《建设项目环境保护管理条例》《关于加强建设项目环境保护管理的若干规定》等要求，报请有审批权限的环保部门审批。</w:t>
      </w:r>
    </w:p>
    <w:p w14:paraId="0BE053E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（2）污染治理设施的管理、监控制度</w:t>
      </w:r>
    </w:p>
    <w:p w14:paraId="397A1B3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建成后，必须确保污染治理设施长期、稳定、有效地运行，不得擅自拆除或者废气和废水处理设备，不得故意不正常使用污染治理设施。污染治理设施的管理必须与公司的生产经营活动一起纳入到公司日常管理工作的范畴，落实责任人、操作人员、维修人员、运行经费、设备的备品备件和</w:t>
      </w:r>
      <w:r>
        <w:rPr>
          <w:rFonts w:hint="eastAsia"/>
          <w:color w:val="0D0D0D" w:themeColor="text1" w:themeTint="F2"/>
          <w:lang w:eastAsia="zh-CN"/>
          <w14:textFill>
            <w14:solidFill>
              <w14:schemeClr w14:val="tx1">
                <w14:lumMod w14:val="95000"/>
                <w14:lumOff w14:val="5000"/>
              </w14:schemeClr>
            </w14:solidFill>
          </w14:textFill>
        </w:rPr>
        <w:t>其他</w:t>
      </w:r>
      <w:r>
        <w:rPr>
          <w:rFonts w:hint="eastAsia"/>
          <w:color w:val="0D0D0D" w:themeColor="text1" w:themeTint="F2"/>
          <w14:textFill>
            <w14:solidFill>
              <w14:schemeClr w14:val="tx1">
                <w14:lumMod w14:val="95000"/>
                <w14:lumOff w14:val="5000"/>
              </w14:schemeClr>
            </w14:solidFill>
          </w14:textFill>
        </w:rPr>
        <w:t>原辅材料。同时要建立健全岗位责任制，制定正确的操作规程、建立污染治理设施的管理台帐。</w:t>
      </w:r>
    </w:p>
    <w:p w14:paraId="1C73B5B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 xml:space="preserve">（3）环保奖惩制度 </w:t>
      </w:r>
    </w:p>
    <w:p w14:paraId="41E1923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各级管理人员都应树立保护环境的思想，企业也应设置环境保护奖惩条例。对爱护废水处理和废气处理设施等环保治理设施、节省原料、改善生产车间的工作环境者实行奖励；对于环保观念淡薄，不按环保要求管理，造成环保设施损坏、环境污染及原材料消耗者予以重罚。</w:t>
      </w:r>
    </w:p>
    <w:p w14:paraId="38816DE0">
      <w:pPr>
        <w:pStyle w:val="9"/>
      </w:pPr>
      <w:bookmarkStart w:id="240" w:name="_Toc204062696"/>
      <w:r>
        <w:rPr>
          <w:rFonts w:hint="eastAsia"/>
        </w:rPr>
        <w:t>环境管理机构职责</w:t>
      </w:r>
      <w:bookmarkEnd w:id="240"/>
    </w:p>
    <w:p w14:paraId="0DD0552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（1）对项目的环境保护工作实行统一监督管理，贯彻执行国家和地方有关环境保护法规。</w:t>
      </w:r>
    </w:p>
    <w:p w14:paraId="0C60054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（2）建立各种管理制度，并经常检查督促。</w:t>
      </w:r>
    </w:p>
    <w:p w14:paraId="5AB7202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（3）编制环境保护规划和计划，并组织实施。</w:t>
      </w:r>
    </w:p>
    <w:p w14:paraId="3E5A3EB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（4）领导和组织工程的环境监测工作，建立监控档案。</w:t>
      </w:r>
    </w:p>
    <w:p w14:paraId="27246FD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（5）搞好环境教育和技术培训，提高居民的环保意识和环保工作人员的素质。</w:t>
      </w:r>
    </w:p>
    <w:p w14:paraId="3BE4170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（6）做好污染物达标排放，维护环保设施正常运转，一旦发生事故，组织污染源调查及控制工作，并及时总结经验教训。</w:t>
      </w:r>
    </w:p>
    <w:p w14:paraId="3855162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（7）协同环保局解答和处理与工程环境保护有关公众提出的意见问题。</w:t>
      </w:r>
    </w:p>
    <w:p w14:paraId="3340AEF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（8）与政府环境保护机构密切配合，接受各级政府环境保护机构检查和指导。</w:t>
      </w:r>
    </w:p>
    <w:p w14:paraId="66AF49F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（9）监督建设单位执行“三同时”规定的情况，使环境保护工程措施与主体工程同时设计、同时施工、同时投产，以保证有效</w:t>
      </w:r>
      <w:r>
        <w:rPr>
          <w:rFonts w:hint="eastAsia"/>
          <w:color w:val="0D0D0D" w:themeColor="text1" w:themeTint="F2"/>
          <w:lang w:eastAsia="zh-CN"/>
          <w14:textFill>
            <w14:solidFill>
              <w14:schemeClr w14:val="tx1">
                <w14:lumMod w14:val="95000"/>
                <w14:lumOff w14:val="5000"/>
              </w14:schemeClr>
            </w14:solidFill>
          </w14:textFill>
        </w:rPr>
        <w:t>地</w:t>
      </w:r>
      <w:r>
        <w:rPr>
          <w:rFonts w:hint="eastAsia"/>
          <w:color w:val="0D0D0D" w:themeColor="text1" w:themeTint="F2"/>
          <w14:textFill>
            <w14:solidFill>
              <w14:schemeClr w14:val="tx1">
                <w14:lumMod w14:val="95000"/>
                <w14:lumOff w14:val="5000"/>
              </w14:schemeClr>
            </w14:solidFill>
          </w14:textFill>
        </w:rPr>
        <w:t>控制污染。</w:t>
      </w:r>
    </w:p>
    <w:p w14:paraId="2D304C78">
      <w:pPr>
        <w:pStyle w:val="9"/>
      </w:pPr>
      <w:bookmarkStart w:id="241" w:name="_Toc204062697"/>
      <w:r>
        <w:rPr>
          <w:rFonts w:hint="eastAsia"/>
        </w:rPr>
        <w:t>环境管理监督计划</w:t>
      </w:r>
      <w:bookmarkEnd w:id="241"/>
    </w:p>
    <w:p w14:paraId="2732D45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环境管理机构根据《中华人民共和国环境影响评价法》、《建设项目环境保护管理条例》（国务院令第682号）、《广西壮族自治区建设项目环境监察办法（试行）》（桂环发〔2010〕106号）等有关法律法规规章的规定，各级环境保护行政主管部门和监察机构对项目各阶段进行环境管理监督监察。</w:t>
      </w:r>
    </w:p>
    <w:p w14:paraId="5629A64B">
      <w:pPr>
        <w:pStyle w:val="9"/>
      </w:pPr>
      <w:bookmarkStart w:id="242" w:name="_Toc204062698"/>
      <w:r>
        <w:rPr>
          <w:rFonts w:hint="eastAsia"/>
        </w:rPr>
        <w:t>环境管理台账</w:t>
      </w:r>
      <w:bookmarkEnd w:id="242"/>
    </w:p>
    <w:p w14:paraId="69F6B79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环境管理台账内容主要包括基本信息、生产设施运行管理信息、污染治理设施运行管理信息、监测记录信息及其他环境管理信息。根据项目实际情况，项目环境管理台账记录内容具体如下：</w:t>
      </w:r>
    </w:p>
    <w:p w14:paraId="422AB8BF">
      <w:pPr>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（1）基本信息管理台账</w:t>
      </w:r>
    </w:p>
    <w:p w14:paraId="7BFE4948">
      <w:pPr>
        <w:pStyle w:val="11"/>
        <w:numPr>
          <w:ilvl w:val="4"/>
          <w:numId w:val="66"/>
        </w:numPr>
      </w:pPr>
      <w:bookmarkStart w:id="243" w:name="_Toc29527"/>
      <w:r>
        <w:rPr>
          <w:rFonts w:hint="eastAsia"/>
        </w:rPr>
        <w:t xml:space="preserve"> </w:t>
      </w:r>
      <w:r>
        <w:t>排污单位基本信息表</w:t>
      </w:r>
      <w:bookmarkEnd w:id="243"/>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1158"/>
        <w:gridCol w:w="847"/>
        <w:gridCol w:w="847"/>
        <w:gridCol w:w="1128"/>
        <w:gridCol w:w="847"/>
        <w:gridCol w:w="847"/>
        <w:gridCol w:w="797"/>
        <w:gridCol w:w="924"/>
        <w:gridCol w:w="924"/>
      </w:tblGrid>
      <w:tr w14:paraId="16A43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Align w:val="center"/>
          </w:tcPr>
          <w:p w14:paraId="654E3D73">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单位</w:t>
            </w:r>
          </w:p>
          <w:p w14:paraId="05984D02">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名称</w:t>
            </w:r>
          </w:p>
        </w:tc>
        <w:tc>
          <w:tcPr>
            <w:tcW w:w="627" w:type="pct"/>
            <w:vAlign w:val="center"/>
          </w:tcPr>
          <w:p w14:paraId="3ECEEC3D">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生产经营场所地址</w:t>
            </w:r>
          </w:p>
        </w:tc>
        <w:tc>
          <w:tcPr>
            <w:tcW w:w="458" w:type="pct"/>
            <w:vAlign w:val="center"/>
          </w:tcPr>
          <w:p w14:paraId="2349C7F0">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行业</w:t>
            </w:r>
          </w:p>
          <w:p w14:paraId="60880B9E">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类别</w:t>
            </w:r>
          </w:p>
        </w:tc>
        <w:tc>
          <w:tcPr>
            <w:tcW w:w="458" w:type="pct"/>
            <w:vAlign w:val="center"/>
          </w:tcPr>
          <w:p w14:paraId="5E328689">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法定</w:t>
            </w:r>
          </w:p>
          <w:p w14:paraId="53602350">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代表人</w:t>
            </w:r>
          </w:p>
        </w:tc>
        <w:tc>
          <w:tcPr>
            <w:tcW w:w="610" w:type="pct"/>
            <w:vAlign w:val="center"/>
          </w:tcPr>
          <w:p w14:paraId="2A37A355">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统一社会信用代码</w:t>
            </w:r>
          </w:p>
        </w:tc>
        <w:tc>
          <w:tcPr>
            <w:tcW w:w="458" w:type="pct"/>
            <w:vAlign w:val="center"/>
          </w:tcPr>
          <w:p w14:paraId="3381C39B">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产品</w:t>
            </w:r>
          </w:p>
          <w:p w14:paraId="1439CEFA">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名称</w:t>
            </w:r>
          </w:p>
        </w:tc>
        <w:tc>
          <w:tcPr>
            <w:tcW w:w="458" w:type="pct"/>
            <w:vAlign w:val="center"/>
          </w:tcPr>
          <w:p w14:paraId="08C6131B">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生产</w:t>
            </w:r>
          </w:p>
          <w:p w14:paraId="31D7B4D2">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工艺</w:t>
            </w:r>
          </w:p>
        </w:tc>
        <w:tc>
          <w:tcPr>
            <w:tcW w:w="431" w:type="pct"/>
            <w:vAlign w:val="center"/>
          </w:tcPr>
          <w:p w14:paraId="3B40B71A">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生产</w:t>
            </w:r>
          </w:p>
          <w:p w14:paraId="3CBD3FFB">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规模</w:t>
            </w:r>
          </w:p>
        </w:tc>
        <w:tc>
          <w:tcPr>
            <w:tcW w:w="500" w:type="pct"/>
            <w:vAlign w:val="center"/>
          </w:tcPr>
          <w:p w14:paraId="434C4A5D">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环保</w:t>
            </w:r>
          </w:p>
          <w:p w14:paraId="60CDA4E1">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投资</w:t>
            </w:r>
          </w:p>
        </w:tc>
        <w:tc>
          <w:tcPr>
            <w:tcW w:w="500" w:type="pct"/>
            <w:vAlign w:val="center"/>
          </w:tcPr>
          <w:p w14:paraId="4C3B3670">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环评批复文号</w:t>
            </w:r>
          </w:p>
        </w:tc>
      </w:tr>
      <w:tr w14:paraId="0183D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Align w:val="center"/>
          </w:tcPr>
          <w:p w14:paraId="3452637A">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627" w:type="pct"/>
            <w:vAlign w:val="center"/>
          </w:tcPr>
          <w:p w14:paraId="57BF151D">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458" w:type="pct"/>
            <w:vAlign w:val="center"/>
          </w:tcPr>
          <w:p w14:paraId="5899D28C">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458" w:type="pct"/>
            <w:vAlign w:val="center"/>
          </w:tcPr>
          <w:p w14:paraId="202F3CF9">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610" w:type="pct"/>
            <w:vAlign w:val="center"/>
          </w:tcPr>
          <w:p w14:paraId="4F42D673">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458" w:type="pct"/>
            <w:vAlign w:val="center"/>
          </w:tcPr>
          <w:p w14:paraId="5229EA3E">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458" w:type="pct"/>
            <w:vAlign w:val="center"/>
          </w:tcPr>
          <w:p w14:paraId="2D0C3F04">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431" w:type="pct"/>
            <w:vAlign w:val="center"/>
          </w:tcPr>
          <w:p w14:paraId="49DA44E9">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500" w:type="pct"/>
            <w:vAlign w:val="center"/>
          </w:tcPr>
          <w:p w14:paraId="55926AEC">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500" w:type="pct"/>
            <w:vAlign w:val="center"/>
          </w:tcPr>
          <w:p w14:paraId="6D1CB620">
            <w:pPr>
              <w:spacing w:line="240" w:lineRule="auto"/>
              <w:jc w:val="center"/>
              <w:rPr>
                <w:bCs/>
                <w:color w:val="0D0D0D" w:themeColor="text1" w:themeTint="F2"/>
                <w:sz w:val="21"/>
                <w14:textFill>
                  <w14:solidFill>
                    <w14:schemeClr w14:val="tx1">
                      <w14:lumMod w14:val="95000"/>
                      <w14:lumOff w14:val="5000"/>
                    </w14:schemeClr>
                  </w14:solidFill>
                </w14:textFill>
              </w:rPr>
            </w:pPr>
          </w:p>
        </w:tc>
      </w:tr>
    </w:tbl>
    <w:p w14:paraId="3969C152">
      <w:pPr>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（2）生产设施运行管理信息台账</w:t>
      </w:r>
    </w:p>
    <w:p w14:paraId="292A4A26">
      <w:pPr>
        <w:pStyle w:val="11"/>
      </w:pPr>
      <w:bookmarkStart w:id="244" w:name="_Toc9668"/>
      <w:r>
        <w:rPr>
          <w:rFonts w:hint="eastAsia"/>
        </w:rPr>
        <w:t xml:space="preserve"> </w:t>
      </w:r>
      <w:r>
        <w:t>生产设施运行管理信息表</w:t>
      </w:r>
      <w:bookmarkEnd w:id="244"/>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52"/>
        <w:gridCol w:w="602"/>
        <w:gridCol w:w="603"/>
        <w:gridCol w:w="603"/>
        <w:gridCol w:w="969"/>
        <w:gridCol w:w="525"/>
        <w:gridCol w:w="460"/>
        <w:gridCol w:w="453"/>
        <w:gridCol w:w="453"/>
        <w:gridCol w:w="453"/>
        <w:gridCol w:w="601"/>
        <w:gridCol w:w="477"/>
        <w:gridCol w:w="383"/>
        <w:gridCol w:w="344"/>
        <w:gridCol w:w="301"/>
        <w:gridCol w:w="847"/>
      </w:tblGrid>
      <w:tr w14:paraId="3C390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vMerge w:val="restart"/>
            <w:vAlign w:val="center"/>
          </w:tcPr>
          <w:p w14:paraId="566B4D33">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生产设施名称</w:t>
            </w:r>
          </w:p>
        </w:tc>
        <w:tc>
          <w:tcPr>
            <w:tcW w:w="245" w:type="pct"/>
            <w:vMerge w:val="restart"/>
            <w:vAlign w:val="center"/>
          </w:tcPr>
          <w:p w14:paraId="6D7D7C9C">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编码</w:t>
            </w:r>
          </w:p>
        </w:tc>
        <w:tc>
          <w:tcPr>
            <w:tcW w:w="326" w:type="pct"/>
            <w:vMerge w:val="restart"/>
            <w:vAlign w:val="center"/>
          </w:tcPr>
          <w:p w14:paraId="022259C6">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生产设施型号</w:t>
            </w:r>
          </w:p>
        </w:tc>
        <w:tc>
          <w:tcPr>
            <w:tcW w:w="1176" w:type="pct"/>
            <w:gridSpan w:val="3"/>
            <w:vAlign w:val="center"/>
          </w:tcPr>
          <w:p w14:paraId="7ADAA006">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主要生产设施</w:t>
            </w:r>
          </w:p>
          <w:p w14:paraId="3039EEA2">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规格参数</w:t>
            </w:r>
          </w:p>
        </w:tc>
        <w:tc>
          <w:tcPr>
            <w:tcW w:w="533" w:type="pct"/>
            <w:gridSpan w:val="2"/>
            <w:vAlign w:val="center"/>
          </w:tcPr>
          <w:p w14:paraId="39848F59">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设计生产能力</w:t>
            </w:r>
          </w:p>
        </w:tc>
        <w:tc>
          <w:tcPr>
            <w:tcW w:w="734" w:type="pct"/>
            <w:gridSpan w:val="3"/>
            <w:vAlign w:val="center"/>
          </w:tcPr>
          <w:p w14:paraId="2D7C22A6">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运行状态</w:t>
            </w:r>
          </w:p>
        </w:tc>
        <w:tc>
          <w:tcPr>
            <w:tcW w:w="325" w:type="pct"/>
            <w:vAlign w:val="center"/>
          </w:tcPr>
          <w:p w14:paraId="0E4A0191">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生产负荷</w:t>
            </w:r>
          </w:p>
        </w:tc>
        <w:tc>
          <w:tcPr>
            <w:tcW w:w="814" w:type="pct"/>
            <w:gridSpan w:val="4"/>
            <w:vAlign w:val="center"/>
          </w:tcPr>
          <w:p w14:paraId="482AC130">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产品产量</w:t>
            </w:r>
          </w:p>
        </w:tc>
        <w:tc>
          <w:tcPr>
            <w:tcW w:w="458" w:type="pct"/>
            <w:vAlign w:val="center"/>
          </w:tcPr>
          <w:p w14:paraId="2B421A0B">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原辅</w:t>
            </w:r>
          </w:p>
          <w:p w14:paraId="21EDD60A">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材料</w:t>
            </w:r>
          </w:p>
        </w:tc>
      </w:tr>
      <w:tr w14:paraId="6BC98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vMerge w:val="continue"/>
            <w:vAlign w:val="center"/>
          </w:tcPr>
          <w:p w14:paraId="71D0F675">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45" w:type="pct"/>
            <w:vMerge w:val="continue"/>
            <w:vAlign w:val="center"/>
          </w:tcPr>
          <w:p w14:paraId="788BE98D">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26" w:type="pct"/>
            <w:vMerge w:val="continue"/>
            <w:vAlign w:val="center"/>
          </w:tcPr>
          <w:p w14:paraId="2A8BBA97">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26" w:type="pct"/>
            <w:vAlign w:val="center"/>
          </w:tcPr>
          <w:p w14:paraId="4D81E9C7">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参数名称</w:t>
            </w:r>
          </w:p>
        </w:tc>
        <w:tc>
          <w:tcPr>
            <w:tcW w:w="326" w:type="pct"/>
            <w:vAlign w:val="center"/>
          </w:tcPr>
          <w:p w14:paraId="0BF2569B">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设计值</w:t>
            </w:r>
          </w:p>
        </w:tc>
        <w:tc>
          <w:tcPr>
            <w:tcW w:w="524" w:type="pct"/>
            <w:vAlign w:val="center"/>
          </w:tcPr>
          <w:p w14:paraId="6AF12D95">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单位</w:t>
            </w:r>
          </w:p>
        </w:tc>
        <w:tc>
          <w:tcPr>
            <w:tcW w:w="284" w:type="pct"/>
            <w:vAlign w:val="center"/>
          </w:tcPr>
          <w:p w14:paraId="416E8C96">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生产能力</w:t>
            </w:r>
          </w:p>
        </w:tc>
        <w:tc>
          <w:tcPr>
            <w:tcW w:w="249" w:type="pct"/>
            <w:vAlign w:val="center"/>
          </w:tcPr>
          <w:p w14:paraId="49144037">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单位</w:t>
            </w:r>
          </w:p>
        </w:tc>
        <w:tc>
          <w:tcPr>
            <w:tcW w:w="245" w:type="pct"/>
            <w:vAlign w:val="center"/>
          </w:tcPr>
          <w:p w14:paraId="28F06323">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开始时间</w:t>
            </w:r>
          </w:p>
        </w:tc>
        <w:tc>
          <w:tcPr>
            <w:tcW w:w="245" w:type="pct"/>
            <w:vAlign w:val="center"/>
          </w:tcPr>
          <w:p w14:paraId="2917F16F">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结束时间</w:t>
            </w:r>
          </w:p>
        </w:tc>
        <w:tc>
          <w:tcPr>
            <w:tcW w:w="245" w:type="pct"/>
            <w:vAlign w:val="center"/>
          </w:tcPr>
          <w:p w14:paraId="16960040">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是否正常</w:t>
            </w:r>
          </w:p>
        </w:tc>
        <w:tc>
          <w:tcPr>
            <w:tcW w:w="325" w:type="pct"/>
            <w:vAlign w:val="center"/>
          </w:tcPr>
          <w:p w14:paraId="13945153">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58" w:type="pct"/>
            <w:vAlign w:val="center"/>
          </w:tcPr>
          <w:p w14:paraId="3C0087DD">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07" w:type="pct"/>
            <w:vAlign w:val="center"/>
          </w:tcPr>
          <w:p w14:paraId="7B68F14A">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186" w:type="pct"/>
            <w:vAlign w:val="center"/>
          </w:tcPr>
          <w:p w14:paraId="03FD9315">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163" w:type="pct"/>
            <w:vAlign w:val="center"/>
          </w:tcPr>
          <w:p w14:paraId="32002F06">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458" w:type="pct"/>
            <w:vAlign w:val="center"/>
          </w:tcPr>
          <w:p w14:paraId="4C18BAF7">
            <w:pPr>
              <w:spacing w:line="240" w:lineRule="auto"/>
              <w:jc w:val="center"/>
              <w:rPr>
                <w:bCs/>
                <w:color w:val="0D0D0D" w:themeColor="text1" w:themeTint="F2"/>
                <w:sz w:val="21"/>
                <w14:textFill>
                  <w14:solidFill>
                    <w14:schemeClr w14:val="tx1">
                      <w14:lumMod w14:val="95000"/>
                      <w14:lumOff w14:val="5000"/>
                    </w14:schemeClr>
                  </w14:solidFill>
                </w14:textFill>
              </w:rPr>
            </w:pPr>
          </w:p>
        </w:tc>
      </w:tr>
      <w:tr w14:paraId="58295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vAlign w:val="center"/>
          </w:tcPr>
          <w:p w14:paraId="2C8D25E6">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45" w:type="pct"/>
            <w:vAlign w:val="center"/>
          </w:tcPr>
          <w:p w14:paraId="3DF3B19C">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26" w:type="pct"/>
            <w:vAlign w:val="center"/>
          </w:tcPr>
          <w:p w14:paraId="48F18B55">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26" w:type="pct"/>
            <w:vAlign w:val="center"/>
          </w:tcPr>
          <w:p w14:paraId="757B17AA">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26" w:type="pct"/>
            <w:vAlign w:val="center"/>
          </w:tcPr>
          <w:p w14:paraId="0E47C228">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524" w:type="pct"/>
            <w:vAlign w:val="center"/>
          </w:tcPr>
          <w:p w14:paraId="71F0337F">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84" w:type="pct"/>
            <w:vAlign w:val="center"/>
          </w:tcPr>
          <w:p w14:paraId="26F48D78">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49" w:type="pct"/>
            <w:vAlign w:val="center"/>
          </w:tcPr>
          <w:p w14:paraId="0EE3F1AA">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45" w:type="pct"/>
            <w:vAlign w:val="center"/>
          </w:tcPr>
          <w:p w14:paraId="59BABBA8">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45" w:type="pct"/>
            <w:vAlign w:val="center"/>
          </w:tcPr>
          <w:p w14:paraId="6BBDFF02">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45" w:type="pct"/>
            <w:vAlign w:val="center"/>
          </w:tcPr>
          <w:p w14:paraId="72ECEDE7">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25" w:type="pct"/>
            <w:vAlign w:val="center"/>
          </w:tcPr>
          <w:p w14:paraId="066FB2A1">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58" w:type="pct"/>
            <w:vAlign w:val="center"/>
          </w:tcPr>
          <w:p w14:paraId="062479C6">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07" w:type="pct"/>
            <w:vAlign w:val="center"/>
          </w:tcPr>
          <w:p w14:paraId="406045A5">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186" w:type="pct"/>
            <w:vAlign w:val="center"/>
          </w:tcPr>
          <w:p w14:paraId="485CA4EE">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163" w:type="pct"/>
            <w:vAlign w:val="center"/>
          </w:tcPr>
          <w:p w14:paraId="25301E12">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458" w:type="pct"/>
            <w:vAlign w:val="center"/>
          </w:tcPr>
          <w:p w14:paraId="41FE69B0">
            <w:pPr>
              <w:spacing w:line="240" w:lineRule="auto"/>
              <w:jc w:val="center"/>
              <w:rPr>
                <w:bCs/>
                <w:color w:val="0D0D0D" w:themeColor="text1" w:themeTint="F2"/>
                <w:sz w:val="21"/>
                <w14:textFill>
                  <w14:solidFill>
                    <w14:schemeClr w14:val="tx1">
                      <w14:lumMod w14:val="95000"/>
                      <w14:lumOff w14:val="5000"/>
                    </w14:schemeClr>
                  </w14:solidFill>
                </w14:textFill>
              </w:rPr>
            </w:pPr>
          </w:p>
        </w:tc>
      </w:tr>
    </w:tbl>
    <w:p w14:paraId="4484FCB8">
      <w:pPr>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（3）污染治理设施运行管理信息</w:t>
      </w:r>
    </w:p>
    <w:p w14:paraId="7D14F59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①废气处理设施运行记录台账</w:t>
      </w:r>
    </w:p>
    <w:p w14:paraId="2BDCE901">
      <w:pPr>
        <w:pStyle w:val="11"/>
      </w:pPr>
      <w:r>
        <w:rPr>
          <w:rFonts w:hint="eastAsia"/>
        </w:rPr>
        <w:t xml:space="preserve"> </w:t>
      </w:r>
      <w:r>
        <w:t>废</w:t>
      </w:r>
      <w:r>
        <w:rPr>
          <w:rFonts w:hint="eastAsia"/>
        </w:rPr>
        <w:t>气</w:t>
      </w:r>
      <w:r>
        <w:t>处理设施运行记录台账表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1"/>
        <w:gridCol w:w="473"/>
        <w:gridCol w:w="623"/>
        <w:gridCol w:w="549"/>
        <w:gridCol w:w="510"/>
        <w:gridCol w:w="473"/>
        <w:gridCol w:w="549"/>
        <w:gridCol w:w="549"/>
        <w:gridCol w:w="549"/>
        <w:gridCol w:w="510"/>
        <w:gridCol w:w="549"/>
        <w:gridCol w:w="549"/>
        <w:gridCol w:w="549"/>
        <w:gridCol w:w="586"/>
        <w:gridCol w:w="586"/>
        <w:gridCol w:w="473"/>
        <w:gridCol w:w="544"/>
      </w:tblGrid>
      <w:tr w14:paraId="0133C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36" w:type="pct"/>
            <w:vMerge w:val="restart"/>
            <w:vAlign w:val="center"/>
          </w:tcPr>
          <w:p w14:paraId="54E3A786">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治理设施名称</w:t>
            </w:r>
          </w:p>
        </w:tc>
        <w:tc>
          <w:tcPr>
            <w:tcW w:w="256" w:type="pct"/>
            <w:vMerge w:val="restart"/>
            <w:vAlign w:val="center"/>
          </w:tcPr>
          <w:p w14:paraId="3C9EA98E">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编码</w:t>
            </w:r>
          </w:p>
        </w:tc>
        <w:tc>
          <w:tcPr>
            <w:tcW w:w="337" w:type="pct"/>
            <w:vMerge w:val="restart"/>
            <w:vAlign w:val="center"/>
          </w:tcPr>
          <w:p w14:paraId="2DDB7950">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治理设施类型</w:t>
            </w:r>
          </w:p>
        </w:tc>
        <w:tc>
          <w:tcPr>
            <w:tcW w:w="829" w:type="pct"/>
            <w:gridSpan w:val="3"/>
            <w:vAlign w:val="center"/>
          </w:tcPr>
          <w:p w14:paraId="57C9CBE7">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主要治理设施规格参数</w:t>
            </w:r>
          </w:p>
        </w:tc>
        <w:tc>
          <w:tcPr>
            <w:tcW w:w="890" w:type="pct"/>
            <w:gridSpan w:val="3"/>
            <w:vAlign w:val="center"/>
          </w:tcPr>
          <w:p w14:paraId="73A02E96">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运行状态</w:t>
            </w:r>
          </w:p>
        </w:tc>
        <w:tc>
          <w:tcPr>
            <w:tcW w:w="1166" w:type="pct"/>
            <w:gridSpan w:val="4"/>
            <w:vAlign w:val="center"/>
          </w:tcPr>
          <w:p w14:paraId="6328303E">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污染物排放情况</w:t>
            </w:r>
          </w:p>
        </w:tc>
        <w:tc>
          <w:tcPr>
            <w:tcW w:w="317" w:type="pct"/>
            <w:vMerge w:val="restart"/>
            <w:vAlign w:val="center"/>
          </w:tcPr>
          <w:p w14:paraId="17CFAF31">
            <w:pPr>
              <w:spacing w:line="240" w:lineRule="auto"/>
              <w:jc w:val="center"/>
              <w:rPr>
                <w:bCs/>
                <w:color w:val="0D0D0D" w:themeColor="text1" w:themeTint="F2"/>
                <w:sz w:val="21"/>
                <w14:textFill>
                  <w14:solidFill>
                    <w14:schemeClr w14:val="tx1">
                      <w14:lumMod w14:val="95000"/>
                      <w14:lumOff w14:val="5000"/>
                    </w14:schemeClr>
                  </w14:solidFill>
                </w14:textFill>
              </w:rPr>
            </w:pPr>
            <w:r>
              <w:rPr>
                <w:rFonts w:hint="eastAsia"/>
                <w:bCs/>
                <w:color w:val="0D0D0D" w:themeColor="text1" w:themeTint="F2"/>
                <w:sz w:val="21"/>
                <w14:textFill>
                  <w14:solidFill>
                    <w14:schemeClr w14:val="tx1">
                      <w14:lumMod w14:val="95000"/>
                      <w14:lumOff w14:val="5000"/>
                    </w14:schemeClr>
                  </w14:solidFill>
                </w14:textFill>
              </w:rPr>
              <w:t>排气筒高度</w:t>
            </w:r>
          </w:p>
        </w:tc>
        <w:tc>
          <w:tcPr>
            <w:tcW w:w="317" w:type="pct"/>
            <w:vMerge w:val="restart"/>
            <w:vAlign w:val="center"/>
          </w:tcPr>
          <w:p w14:paraId="15809729">
            <w:pPr>
              <w:spacing w:line="240" w:lineRule="auto"/>
              <w:jc w:val="center"/>
              <w:rPr>
                <w:bCs/>
                <w:color w:val="0D0D0D" w:themeColor="text1" w:themeTint="F2"/>
                <w:sz w:val="21"/>
                <w14:textFill>
                  <w14:solidFill>
                    <w14:schemeClr w14:val="tx1">
                      <w14:lumMod w14:val="95000"/>
                      <w14:lumOff w14:val="5000"/>
                    </w14:schemeClr>
                  </w14:solidFill>
                </w14:textFill>
              </w:rPr>
            </w:pPr>
            <w:r>
              <w:rPr>
                <w:rFonts w:hint="eastAsia"/>
                <w:bCs/>
                <w:color w:val="0D0D0D" w:themeColor="text1" w:themeTint="F2"/>
                <w:sz w:val="21"/>
                <w14:textFill>
                  <w14:solidFill>
                    <w14:schemeClr w14:val="tx1">
                      <w14:lumMod w14:val="95000"/>
                      <w14:lumOff w14:val="5000"/>
                    </w14:schemeClr>
                  </w14:solidFill>
                </w14:textFill>
              </w:rPr>
              <w:t>排气筒温度</w:t>
            </w:r>
          </w:p>
        </w:tc>
        <w:tc>
          <w:tcPr>
            <w:tcW w:w="256" w:type="pct"/>
            <w:vMerge w:val="restart"/>
            <w:vAlign w:val="center"/>
          </w:tcPr>
          <w:p w14:paraId="1D4761F7">
            <w:pPr>
              <w:spacing w:line="240" w:lineRule="auto"/>
              <w:jc w:val="center"/>
              <w:rPr>
                <w:bCs/>
                <w:color w:val="0D0D0D" w:themeColor="text1" w:themeTint="F2"/>
                <w:sz w:val="21"/>
                <w14:textFill>
                  <w14:solidFill>
                    <w14:schemeClr w14:val="tx1">
                      <w14:lumMod w14:val="95000"/>
                      <w14:lumOff w14:val="5000"/>
                    </w14:schemeClr>
                  </w14:solidFill>
                </w14:textFill>
              </w:rPr>
            </w:pPr>
            <w:r>
              <w:rPr>
                <w:rFonts w:hint="eastAsia"/>
                <w:bCs/>
                <w:color w:val="0D0D0D" w:themeColor="text1" w:themeTint="F2"/>
                <w:sz w:val="21"/>
                <w14:textFill>
                  <w14:solidFill>
                    <w14:schemeClr w14:val="tx1">
                      <w14:lumMod w14:val="95000"/>
                      <w14:lumOff w14:val="5000"/>
                    </w14:schemeClr>
                  </w14:solidFill>
                </w14:textFill>
              </w:rPr>
              <w:t>压力</w:t>
            </w:r>
          </w:p>
        </w:tc>
        <w:tc>
          <w:tcPr>
            <w:tcW w:w="297" w:type="pct"/>
            <w:vMerge w:val="restart"/>
            <w:vAlign w:val="center"/>
          </w:tcPr>
          <w:p w14:paraId="7B01457F">
            <w:pPr>
              <w:spacing w:line="240" w:lineRule="auto"/>
              <w:jc w:val="center"/>
              <w:rPr>
                <w:bCs/>
                <w:color w:val="0D0D0D" w:themeColor="text1" w:themeTint="F2"/>
                <w:sz w:val="21"/>
                <w14:textFill>
                  <w14:solidFill>
                    <w14:schemeClr w14:val="tx1">
                      <w14:lumMod w14:val="95000"/>
                      <w14:lumOff w14:val="5000"/>
                    </w14:schemeClr>
                  </w14:solidFill>
                </w14:textFill>
              </w:rPr>
            </w:pPr>
            <w:r>
              <w:rPr>
                <w:rFonts w:hint="eastAsia"/>
                <w:bCs/>
                <w:color w:val="0D0D0D" w:themeColor="text1" w:themeTint="F2"/>
                <w:sz w:val="21"/>
                <w14:textFill>
                  <w14:solidFill>
                    <w14:schemeClr w14:val="tx1">
                      <w14:lumMod w14:val="95000"/>
                      <w14:lumOff w14:val="5000"/>
                    </w14:schemeClr>
                  </w14:solidFill>
                </w14:textFill>
              </w:rPr>
              <w:t>排放时间</w:t>
            </w:r>
          </w:p>
        </w:tc>
      </w:tr>
      <w:tr w14:paraId="726CF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vMerge w:val="continue"/>
            <w:vAlign w:val="center"/>
          </w:tcPr>
          <w:p w14:paraId="3A82F202">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56" w:type="pct"/>
            <w:vMerge w:val="continue"/>
            <w:vAlign w:val="center"/>
          </w:tcPr>
          <w:p w14:paraId="4C8B07BA">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37" w:type="pct"/>
            <w:vMerge w:val="continue"/>
            <w:vAlign w:val="center"/>
          </w:tcPr>
          <w:p w14:paraId="0CB43713">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97" w:type="pct"/>
            <w:vAlign w:val="center"/>
          </w:tcPr>
          <w:p w14:paraId="78B198D5">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参数名称</w:t>
            </w:r>
          </w:p>
        </w:tc>
        <w:tc>
          <w:tcPr>
            <w:tcW w:w="276" w:type="pct"/>
            <w:vAlign w:val="center"/>
          </w:tcPr>
          <w:p w14:paraId="504127C7">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设计值</w:t>
            </w:r>
          </w:p>
        </w:tc>
        <w:tc>
          <w:tcPr>
            <w:tcW w:w="256" w:type="pct"/>
            <w:vAlign w:val="center"/>
          </w:tcPr>
          <w:p w14:paraId="6E9FD5A2">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单位</w:t>
            </w:r>
          </w:p>
        </w:tc>
        <w:tc>
          <w:tcPr>
            <w:tcW w:w="297" w:type="pct"/>
            <w:vAlign w:val="center"/>
          </w:tcPr>
          <w:p w14:paraId="04D3879D">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开始时间</w:t>
            </w:r>
          </w:p>
        </w:tc>
        <w:tc>
          <w:tcPr>
            <w:tcW w:w="297" w:type="pct"/>
            <w:vAlign w:val="center"/>
          </w:tcPr>
          <w:p w14:paraId="42064AE8">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结束时间</w:t>
            </w:r>
          </w:p>
        </w:tc>
        <w:tc>
          <w:tcPr>
            <w:tcW w:w="297" w:type="pct"/>
            <w:vAlign w:val="center"/>
          </w:tcPr>
          <w:p w14:paraId="06747AF4">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是否正常</w:t>
            </w:r>
          </w:p>
        </w:tc>
        <w:tc>
          <w:tcPr>
            <w:tcW w:w="276" w:type="pct"/>
            <w:vAlign w:val="center"/>
          </w:tcPr>
          <w:p w14:paraId="3D9D9FDC">
            <w:pPr>
              <w:spacing w:line="240" w:lineRule="auto"/>
              <w:jc w:val="center"/>
              <w:rPr>
                <w:bCs/>
                <w:color w:val="0D0D0D" w:themeColor="text1" w:themeTint="F2"/>
                <w:sz w:val="21"/>
                <w14:textFill>
                  <w14:solidFill>
                    <w14:schemeClr w14:val="tx1">
                      <w14:lumMod w14:val="95000"/>
                      <w14:lumOff w14:val="5000"/>
                    </w14:schemeClr>
                  </w14:solidFill>
                </w14:textFill>
              </w:rPr>
            </w:pPr>
            <w:r>
              <w:rPr>
                <w:rFonts w:hint="eastAsia"/>
                <w:bCs/>
                <w:color w:val="0D0D0D" w:themeColor="text1" w:themeTint="F2"/>
                <w:sz w:val="21"/>
                <w14:textFill>
                  <w14:solidFill>
                    <w14:schemeClr w14:val="tx1">
                      <w14:lumMod w14:val="95000"/>
                      <w14:lumOff w14:val="5000"/>
                    </w14:schemeClr>
                  </w14:solidFill>
                </w14:textFill>
              </w:rPr>
              <w:t>烟气量</w:t>
            </w:r>
          </w:p>
        </w:tc>
        <w:tc>
          <w:tcPr>
            <w:tcW w:w="297" w:type="pct"/>
            <w:vAlign w:val="center"/>
          </w:tcPr>
          <w:p w14:paraId="630A7DC2">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污染因子</w:t>
            </w:r>
          </w:p>
        </w:tc>
        <w:tc>
          <w:tcPr>
            <w:tcW w:w="297" w:type="pct"/>
            <w:vAlign w:val="center"/>
          </w:tcPr>
          <w:p w14:paraId="24875637">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治理效率</w:t>
            </w:r>
          </w:p>
        </w:tc>
        <w:tc>
          <w:tcPr>
            <w:tcW w:w="297" w:type="pct"/>
            <w:vAlign w:val="center"/>
          </w:tcPr>
          <w:p w14:paraId="55CF4D29">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数据来源</w:t>
            </w:r>
          </w:p>
        </w:tc>
        <w:tc>
          <w:tcPr>
            <w:tcW w:w="317" w:type="pct"/>
            <w:vMerge w:val="continue"/>
            <w:vAlign w:val="center"/>
          </w:tcPr>
          <w:p w14:paraId="0CCFF0B2">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17" w:type="pct"/>
            <w:vMerge w:val="continue"/>
            <w:vAlign w:val="center"/>
          </w:tcPr>
          <w:p w14:paraId="20518521">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56" w:type="pct"/>
            <w:vMerge w:val="continue"/>
            <w:vAlign w:val="center"/>
          </w:tcPr>
          <w:p w14:paraId="6FF898C1">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97" w:type="pct"/>
            <w:vMerge w:val="continue"/>
            <w:vAlign w:val="center"/>
          </w:tcPr>
          <w:p w14:paraId="33A0EA04">
            <w:pPr>
              <w:spacing w:line="240" w:lineRule="auto"/>
              <w:jc w:val="center"/>
              <w:rPr>
                <w:bCs/>
                <w:color w:val="0D0D0D" w:themeColor="text1" w:themeTint="F2"/>
                <w:sz w:val="21"/>
                <w14:textFill>
                  <w14:solidFill>
                    <w14:schemeClr w14:val="tx1">
                      <w14:lumMod w14:val="95000"/>
                      <w14:lumOff w14:val="5000"/>
                    </w14:schemeClr>
                  </w14:solidFill>
                </w14:textFill>
              </w:rPr>
            </w:pPr>
          </w:p>
        </w:tc>
      </w:tr>
      <w:tr w14:paraId="1D0C1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vAlign w:val="center"/>
          </w:tcPr>
          <w:p w14:paraId="59B67F36">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56" w:type="pct"/>
            <w:vAlign w:val="center"/>
          </w:tcPr>
          <w:p w14:paraId="493B1EA5">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37" w:type="pct"/>
            <w:vAlign w:val="center"/>
          </w:tcPr>
          <w:p w14:paraId="7C138C96">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97" w:type="pct"/>
            <w:vAlign w:val="center"/>
          </w:tcPr>
          <w:p w14:paraId="15053EDF">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76" w:type="pct"/>
            <w:vAlign w:val="center"/>
          </w:tcPr>
          <w:p w14:paraId="0549A58A">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56" w:type="pct"/>
            <w:vAlign w:val="center"/>
          </w:tcPr>
          <w:p w14:paraId="75605F45">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97" w:type="pct"/>
            <w:vAlign w:val="center"/>
          </w:tcPr>
          <w:p w14:paraId="0D33C67E">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97" w:type="pct"/>
            <w:vAlign w:val="center"/>
          </w:tcPr>
          <w:p w14:paraId="16527CF5">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97" w:type="pct"/>
            <w:vAlign w:val="center"/>
          </w:tcPr>
          <w:p w14:paraId="75908AC8">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76" w:type="pct"/>
            <w:vAlign w:val="center"/>
          </w:tcPr>
          <w:p w14:paraId="45291B4F">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97" w:type="pct"/>
            <w:vAlign w:val="center"/>
          </w:tcPr>
          <w:p w14:paraId="55097AE4">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97" w:type="pct"/>
            <w:vAlign w:val="center"/>
          </w:tcPr>
          <w:p w14:paraId="67BC6AD2">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97" w:type="pct"/>
            <w:vAlign w:val="center"/>
          </w:tcPr>
          <w:p w14:paraId="35431CBA">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17" w:type="pct"/>
            <w:vAlign w:val="center"/>
          </w:tcPr>
          <w:p w14:paraId="6AB1CB7B">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17" w:type="pct"/>
            <w:vAlign w:val="center"/>
          </w:tcPr>
          <w:p w14:paraId="41D82B90">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56" w:type="pct"/>
            <w:vAlign w:val="center"/>
          </w:tcPr>
          <w:p w14:paraId="0AAF412D">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97" w:type="pct"/>
            <w:vAlign w:val="center"/>
          </w:tcPr>
          <w:p w14:paraId="568339D2">
            <w:pPr>
              <w:spacing w:line="240" w:lineRule="auto"/>
              <w:jc w:val="center"/>
              <w:rPr>
                <w:bCs/>
                <w:color w:val="0D0D0D" w:themeColor="text1" w:themeTint="F2"/>
                <w:sz w:val="21"/>
                <w14:textFill>
                  <w14:solidFill>
                    <w14:schemeClr w14:val="tx1">
                      <w14:lumMod w14:val="95000"/>
                      <w14:lumOff w14:val="5000"/>
                    </w14:schemeClr>
                  </w14:solidFill>
                </w14:textFill>
              </w:rPr>
            </w:pPr>
          </w:p>
        </w:tc>
      </w:tr>
      <w:tr w14:paraId="1D02C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 w:type="pct"/>
            <w:vAlign w:val="center"/>
          </w:tcPr>
          <w:p w14:paraId="7347587E">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56" w:type="pct"/>
            <w:vAlign w:val="center"/>
          </w:tcPr>
          <w:p w14:paraId="131AC2C0">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37" w:type="pct"/>
            <w:vAlign w:val="center"/>
          </w:tcPr>
          <w:p w14:paraId="04AE05A9">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97" w:type="pct"/>
            <w:vAlign w:val="center"/>
          </w:tcPr>
          <w:p w14:paraId="231BE9EE">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76" w:type="pct"/>
            <w:vAlign w:val="center"/>
          </w:tcPr>
          <w:p w14:paraId="00EA1885">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56" w:type="pct"/>
            <w:vAlign w:val="center"/>
          </w:tcPr>
          <w:p w14:paraId="2FBB5D9D">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97" w:type="pct"/>
            <w:vAlign w:val="center"/>
          </w:tcPr>
          <w:p w14:paraId="42032BD3">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97" w:type="pct"/>
            <w:vAlign w:val="center"/>
          </w:tcPr>
          <w:p w14:paraId="0EB51030">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97" w:type="pct"/>
            <w:vAlign w:val="center"/>
          </w:tcPr>
          <w:p w14:paraId="533ACB04">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76" w:type="pct"/>
            <w:vAlign w:val="center"/>
          </w:tcPr>
          <w:p w14:paraId="118B4088">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97" w:type="pct"/>
            <w:vAlign w:val="center"/>
          </w:tcPr>
          <w:p w14:paraId="26376059">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97" w:type="pct"/>
            <w:vAlign w:val="center"/>
          </w:tcPr>
          <w:p w14:paraId="3577FFFD">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97" w:type="pct"/>
            <w:vAlign w:val="center"/>
          </w:tcPr>
          <w:p w14:paraId="56746309">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17" w:type="pct"/>
            <w:vAlign w:val="center"/>
          </w:tcPr>
          <w:p w14:paraId="4A0840A9">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17" w:type="pct"/>
            <w:vAlign w:val="center"/>
          </w:tcPr>
          <w:p w14:paraId="39A57EEB">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56" w:type="pct"/>
            <w:vAlign w:val="center"/>
          </w:tcPr>
          <w:p w14:paraId="1AE41774">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97" w:type="pct"/>
            <w:vAlign w:val="center"/>
          </w:tcPr>
          <w:p w14:paraId="62439C5E">
            <w:pPr>
              <w:spacing w:line="240" w:lineRule="auto"/>
              <w:jc w:val="center"/>
              <w:rPr>
                <w:bCs/>
                <w:color w:val="0D0D0D" w:themeColor="text1" w:themeTint="F2"/>
                <w:sz w:val="21"/>
                <w14:textFill>
                  <w14:solidFill>
                    <w14:schemeClr w14:val="tx1">
                      <w14:lumMod w14:val="95000"/>
                      <w14:lumOff w14:val="5000"/>
                    </w14:schemeClr>
                  </w14:solidFill>
                </w14:textFill>
              </w:rPr>
            </w:pPr>
          </w:p>
        </w:tc>
      </w:tr>
    </w:tbl>
    <w:p w14:paraId="5A4CE060">
      <w:pPr>
        <w:widowControl/>
        <w:spacing w:line="240" w:lineRule="auto"/>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14:paraId="3CDFE7F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②</w:t>
      </w:r>
      <w:r>
        <w:rPr>
          <w:color w:val="0D0D0D" w:themeColor="text1" w:themeTint="F2"/>
          <w14:textFill>
            <w14:solidFill>
              <w14:schemeClr w14:val="tx1">
                <w14:lumMod w14:val="95000"/>
                <w14:lumOff w14:val="5000"/>
              </w14:schemeClr>
            </w14:solidFill>
          </w14:textFill>
        </w:rPr>
        <w:t>废水处理设施运行记录台账</w:t>
      </w:r>
    </w:p>
    <w:p w14:paraId="74D32015">
      <w:pPr>
        <w:pStyle w:val="11"/>
      </w:pPr>
      <w:bookmarkStart w:id="245" w:name="_Toc13310"/>
      <w:r>
        <w:rPr>
          <w:rFonts w:hint="eastAsia"/>
        </w:rPr>
        <w:t xml:space="preserve"> </w:t>
      </w:r>
      <w:r>
        <w:t>废水处理设施运行记录台账表</w:t>
      </w:r>
      <w:bookmarkEnd w:id="245"/>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426"/>
        <w:gridCol w:w="572"/>
        <w:gridCol w:w="674"/>
        <w:gridCol w:w="701"/>
        <w:gridCol w:w="522"/>
        <w:gridCol w:w="537"/>
        <w:gridCol w:w="537"/>
        <w:gridCol w:w="566"/>
        <w:gridCol w:w="523"/>
        <w:gridCol w:w="564"/>
        <w:gridCol w:w="689"/>
        <w:gridCol w:w="551"/>
        <w:gridCol w:w="675"/>
        <w:gridCol w:w="556"/>
        <w:gridCol w:w="486"/>
      </w:tblGrid>
      <w:tr w14:paraId="28C8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9" w:type="pct"/>
            <w:vMerge w:val="restart"/>
            <w:vAlign w:val="center"/>
          </w:tcPr>
          <w:p w14:paraId="6282C3A8">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治理设施名称</w:t>
            </w:r>
          </w:p>
        </w:tc>
        <w:tc>
          <w:tcPr>
            <w:tcW w:w="227" w:type="pct"/>
            <w:vMerge w:val="restart"/>
            <w:vAlign w:val="center"/>
          </w:tcPr>
          <w:p w14:paraId="4D98F1F3">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编码</w:t>
            </w:r>
          </w:p>
        </w:tc>
        <w:tc>
          <w:tcPr>
            <w:tcW w:w="310" w:type="pct"/>
            <w:vMerge w:val="restart"/>
            <w:vAlign w:val="center"/>
          </w:tcPr>
          <w:p w14:paraId="7F86E305">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治理设施类型</w:t>
            </w:r>
          </w:p>
        </w:tc>
        <w:tc>
          <w:tcPr>
            <w:tcW w:w="1028" w:type="pct"/>
            <w:gridSpan w:val="3"/>
            <w:vAlign w:val="center"/>
          </w:tcPr>
          <w:p w14:paraId="74C03EA9">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主要治理设施规格参数</w:t>
            </w:r>
          </w:p>
        </w:tc>
        <w:tc>
          <w:tcPr>
            <w:tcW w:w="887" w:type="pct"/>
            <w:gridSpan w:val="3"/>
            <w:vAlign w:val="center"/>
          </w:tcPr>
          <w:p w14:paraId="0E30BF60">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运行状态</w:t>
            </w:r>
          </w:p>
        </w:tc>
        <w:tc>
          <w:tcPr>
            <w:tcW w:w="1623" w:type="pct"/>
            <w:gridSpan w:val="5"/>
            <w:vAlign w:val="center"/>
          </w:tcPr>
          <w:p w14:paraId="7F2A8197">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污染物排放情况</w:t>
            </w:r>
          </w:p>
        </w:tc>
        <w:tc>
          <w:tcPr>
            <w:tcW w:w="301" w:type="pct"/>
            <w:vMerge w:val="restart"/>
            <w:vAlign w:val="center"/>
          </w:tcPr>
          <w:p w14:paraId="1CBA7525">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污泥产生量</w:t>
            </w:r>
          </w:p>
        </w:tc>
        <w:tc>
          <w:tcPr>
            <w:tcW w:w="265" w:type="pct"/>
            <w:vMerge w:val="restart"/>
            <w:vAlign w:val="center"/>
          </w:tcPr>
          <w:p w14:paraId="382CC683">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处理方式</w:t>
            </w:r>
          </w:p>
        </w:tc>
      </w:tr>
      <w:tr w14:paraId="7F6FE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9" w:type="pct"/>
            <w:vMerge w:val="continue"/>
            <w:vAlign w:val="center"/>
          </w:tcPr>
          <w:p w14:paraId="2A3121C4">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27" w:type="pct"/>
            <w:vMerge w:val="continue"/>
            <w:vAlign w:val="center"/>
          </w:tcPr>
          <w:p w14:paraId="39E92509">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10" w:type="pct"/>
            <w:vMerge w:val="continue"/>
            <w:vAlign w:val="center"/>
          </w:tcPr>
          <w:p w14:paraId="403E9306">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65" w:type="pct"/>
            <w:vAlign w:val="center"/>
          </w:tcPr>
          <w:p w14:paraId="3B9B3555">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参数名称</w:t>
            </w:r>
          </w:p>
        </w:tc>
        <w:tc>
          <w:tcPr>
            <w:tcW w:w="380" w:type="pct"/>
            <w:vAlign w:val="center"/>
          </w:tcPr>
          <w:p w14:paraId="4C59C3C9">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设计值</w:t>
            </w:r>
          </w:p>
        </w:tc>
        <w:tc>
          <w:tcPr>
            <w:tcW w:w="283" w:type="pct"/>
            <w:vAlign w:val="center"/>
          </w:tcPr>
          <w:p w14:paraId="2AB8E1EB">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单位</w:t>
            </w:r>
          </w:p>
        </w:tc>
        <w:tc>
          <w:tcPr>
            <w:tcW w:w="291" w:type="pct"/>
            <w:vAlign w:val="center"/>
          </w:tcPr>
          <w:p w14:paraId="11BFBD6E">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开始时间</w:t>
            </w:r>
          </w:p>
        </w:tc>
        <w:tc>
          <w:tcPr>
            <w:tcW w:w="291" w:type="pct"/>
            <w:vAlign w:val="center"/>
          </w:tcPr>
          <w:p w14:paraId="03D2DC43">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结束时间</w:t>
            </w:r>
          </w:p>
        </w:tc>
        <w:tc>
          <w:tcPr>
            <w:tcW w:w="306" w:type="pct"/>
            <w:vAlign w:val="center"/>
          </w:tcPr>
          <w:p w14:paraId="4B58ABC3">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是否正常</w:t>
            </w:r>
          </w:p>
        </w:tc>
        <w:tc>
          <w:tcPr>
            <w:tcW w:w="283" w:type="pct"/>
            <w:vAlign w:val="center"/>
          </w:tcPr>
          <w:p w14:paraId="23C2453D">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出口流量</w:t>
            </w:r>
          </w:p>
        </w:tc>
        <w:tc>
          <w:tcPr>
            <w:tcW w:w="305" w:type="pct"/>
            <w:vAlign w:val="center"/>
          </w:tcPr>
          <w:p w14:paraId="6EE6F020">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污染因子</w:t>
            </w:r>
          </w:p>
        </w:tc>
        <w:tc>
          <w:tcPr>
            <w:tcW w:w="373" w:type="pct"/>
            <w:vAlign w:val="center"/>
          </w:tcPr>
          <w:p w14:paraId="2C96F9F5">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治理效率</w:t>
            </w:r>
          </w:p>
        </w:tc>
        <w:tc>
          <w:tcPr>
            <w:tcW w:w="298" w:type="pct"/>
            <w:vAlign w:val="center"/>
          </w:tcPr>
          <w:p w14:paraId="36FFE912">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数据来源</w:t>
            </w:r>
          </w:p>
        </w:tc>
        <w:tc>
          <w:tcPr>
            <w:tcW w:w="365" w:type="pct"/>
            <w:vAlign w:val="center"/>
          </w:tcPr>
          <w:p w14:paraId="129D32CE">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排放去向</w:t>
            </w:r>
          </w:p>
        </w:tc>
        <w:tc>
          <w:tcPr>
            <w:tcW w:w="301" w:type="pct"/>
            <w:vMerge w:val="continue"/>
            <w:vAlign w:val="center"/>
          </w:tcPr>
          <w:p w14:paraId="33B2C574">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65" w:type="pct"/>
            <w:vMerge w:val="continue"/>
            <w:vAlign w:val="center"/>
          </w:tcPr>
          <w:p w14:paraId="6C4DCAF4">
            <w:pPr>
              <w:spacing w:line="240" w:lineRule="auto"/>
              <w:jc w:val="center"/>
              <w:rPr>
                <w:bCs/>
                <w:color w:val="0D0D0D" w:themeColor="text1" w:themeTint="F2"/>
                <w:sz w:val="21"/>
                <w14:textFill>
                  <w14:solidFill>
                    <w14:schemeClr w14:val="tx1">
                      <w14:lumMod w14:val="95000"/>
                      <w14:lumOff w14:val="5000"/>
                    </w14:schemeClr>
                  </w14:solidFill>
                </w14:textFill>
              </w:rPr>
            </w:pPr>
          </w:p>
        </w:tc>
      </w:tr>
      <w:tr w14:paraId="78152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9" w:type="pct"/>
            <w:vAlign w:val="center"/>
          </w:tcPr>
          <w:p w14:paraId="0417A1FB">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27" w:type="pct"/>
            <w:vAlign w:val="center"/>
          </w:tcPr>
          <w:p w14:paraId="19ADBEFA">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10" w:type="pct"/>
            <w:vAlign w:val="center"/>
          </w:tcPr>
          <w:p w14:paraId="3984376A">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65" w:type="pct"/>
            <w:vAlign w:val="center"/>
          </w:tcPr>
          <w:p w14:paraId="204EB8FF">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80" w:type="pct"/>
            <w:vAlign w:val="center"/>
          </w:tcPr>
          <w:p w14:paraId="071BE02A">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83" w:type="pct"/>
            <w:vAlign w:val="center"/>
          </w:tcPr>
          <w:p w14:paraId="53735059">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91" w:type="pct"/>
            <w:vAlign w:val="center"/>
          </w:tcPr>
          <w:p w14:paraId="09DE3CCE">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91" w:type="pct"/>
            <w:vAlign w:val="center"/>
          </w:tcPr>
          <w:p w14:paraId="2DCF4F7A">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06" w:type="pct"/>
            <w:vAlign w:val="center"/>
          </w:tcPr>
          <w:p w14:paraId="0528CE58">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83" w:type="pct"/>
            <w:vAlign w:val="center"/>
          </w:tcPr>
          <w:p w14:paraId="0980C357">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05" w:type="pct"/>
            <w:vAlign w:val="center"/>
          </w:tcPr>
          <w:p w14:paraId="2BD28B04">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73" w:type="pct"/>
            <w:vAlign w:val="center"/>
          </w:tcPr>
          <w:p w14:paraId="472BEAF3">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98" w:type="pct"/>
            <w:vAlign w:val="center"/>
          </w:tcPr>
          <w:p w14:paraId="7AE14597">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65" w:type="pct"/>
            <w:vAlign w:val="center"/>
          </w:tcPr>
          <w:p w14:paraId="2F379F7A">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01" w:type="pct"/>
            <w:vAlign w:val="center"/>
          </w:tcPr>
          <w:p w14:paraId="03EDDB46">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65" w:type="pct"/>
            <w:vAlign w:val="center"/>
          </w:tcPr>
          <w:p w14:paraId="5701B8A3">
            <w:pPr>
              <w:spacing w:line="240" w:lineRule="auto"/>
              <w:jc w:val="center"/>
              <w:rPr>
                <w:bCs/>
                <w:color w:val="0D0D0D" w:themeColor="text1" w:themeTint="F2"/>
                <w:sz w:val="21"/>
                <w14:textFill>
                  <w14:solidFill>
                    <w14:schemeClr w14:val="tx1">
                      <w14:lumMod w14:val="95000"/>
                      <w14:lumOff w14:val="5000"/>
                    </w14:schemeClr>
                  </w14:solidFill>
                </w14:textFill>
              </w:rPr>
            </w:pPr>
          </w:p>
        </w:tc>
      </w:tr>
      <w:tr w14:paraId="5587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9" w:type="pct"/>
            <w:vAlign w:val="center"/>
          </w:tcPr>
          <w:p w14:paraId="5E4C62A2">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27" w:type="pct"/>
            <w:vAlign w:val="center"/>
          </w:tcPr>
          <w:p w14:paraId="3370D777">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10" w:type="pct"/>
            <w:vAlign w:val="center"/>
          </w:tcPr>
          <w:p w14:paraId="0B06B851">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65" w:type="pct"/>
            <w:vAlign w:val="center"/>
          </w:tcPr>
          <w:p w14:paraId="1BD9A4DD">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80" w:type="pct"/>
            <w:vAlign w:val="center"/>
          </w:tcPr>
          <w:p w14:paraId="079676EC">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83" w:type="pct"/>
            <w:vAlign w:val="center"/>
          </w:tcPr>
          <w:p w14:paraId="325CFDE6">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91" w:type="pct"/>
            <w:vAlign w:val="center"/>
          </w:tcPr>
          <w:p w14:paraId="348522F1">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91" w:type="pct"/>
            <w:vAlign w:val="center"/>
          </w:tcPr>
          <w:p w14:paraId="729A4ED7">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06" w:type="pct"/>
            <w:vAlign w:val="center"/>
          </w:tcPr>
          <w:p w14:paraId="24CF7F66">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83" w:type="pct"/>
            <w:vAlign w:val="center"/>
          </w:tcPr>
          <w:p w14:paraId="4757381B">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05" w:type="pct"/>
            <w:vAlign w:val="center"/>
          </w:tcPr>
          <w:p w14:paraId="78104BA8">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73" w:type="pct"/>
            <w:vAlign w:val="center"/>
          </w:tcPr>
          <w:p w14:paraId="243362CB">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98" w:type="pct"/>
            <w:vAlign w:val="center"/>
          </w:tcPr>
          <w:p w14:paraId="6261DBD6">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65" w:type="pct"/>
            <w:vAlign w:val="center"/>
          </w:tcPr>
          <w:p w14:paraId="5F3B95A1">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01" w:type="pct"/>
            <w:vAlign w:val="center"/>
          </w:tcPr>
          <w:p w14:paraId="0BE8291E">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65" w:type="pct"/>
            <w:vAlign w:val="center"/>
          </w:tcPr>
          <w:p w14:paraId="647E1F64">
            <w:pPr>
              <w:spacing w:line="240" w:lineRule="auto"/>
              <w:jc w:val="center"/>
              <w:rPr>
                <w:bCs/>
                <w:color w:val="0D0D0D" w:themeColor="text1" w:themeTint="F2"/>
                <w:sz w:val="21"/>
                <w14:textFill>
                  <w14:solidFill>
                    <w14:schemeClr w14:val="tx1">
                      <w14:lumMod w14:val="95000"/>
                      <w14:lumOff w14:val="5000"/>
                    </w14:schemeClr>
                  </w14:solidFill>
                </w14:textFill>
              </w:rPr>
            </w:pPr>
          </w:p>
        </w:tc>
      </w:tr>
    </w:tbl>
    <w:p w14:paraId="3C25098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③</w:t>
      </w:r>
      <w:r>
        <w:rPr>
          <w:color w:val="0D0D0D" w:themeColor="text1" w:themeTint="F2"/>
          <w14:textFill>
            <w14:solidFill>
              <w14:schemeClr w14:val="tx1">
                <w14:lumMod w14:val="95000"/>
                <w14:lumOff w14:val="5000"/>
              </w14:schemeClr>
            </w14:solidFill>
          </w14:textFill>
        </w:rPr>
        <w:t>一般固体废物暂存点运行记录台账</w:t>
      </w:r>
    </w:p>
    <w:p w14:paraId="73EC362B">
      <w:pPr>
        <w:pStyle w:val="11"/>
      </w:pPr>
      <w:bookmarkStart w:id="246" w:name="_Toc27774"/>
      <w:r>
        <w:rPr>
          <w:rFonts w:hint="eastAsia"/>
        </w:rPr>
        <w:t xml:space="preserve"> </w:t>
      </w:r>
      <w:r>
        <w:t>固体废物暂存点运行记录台账表</w:t>
      </w:r>
      <w:bookmarkEnd w:id="246"/>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917"/>
        <w:gridCol w:w="902"/>
        <w:gridCol w:w="898"/>
        <w:gridCol w:w="1030"/>
        <w:gridCol w:w="917"/>
        <w:gridCol w:w="762"/>
        <w:gridCol w:w="1074"/>
        <w:gridCol w:w="667"/>
        <w:gridCol w:w="723"/>
        <w:gridCol w:w="436"/>
      </w:tblGrid>
      <w:tr w14:paraId="05B36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0" w:type="pct"/>
            <w:gridSpan w:val="3"/>
            <w:vAlign w:val="center"/>
          </w:tcPr>
          <w:p w14:paraId="47E7088E">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固体废物暂存点名称</w:t>
            </w:r>
          </w:p>
        </w:tc>
        <w:tc>
          <w:tcPr>
            <w:tcW w:w="3520" w:type="pct"/>
            <w:gridSpan w:val="8"/>
            <w:vAlign w:val="center"/>
          </w:tcPr>
          <w:p w14:paraId="05401006">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记录内容</w:t>
            </w:r>
          </w:p>
        </w:tc>
      </w:tr>
      <w:tr w14:paraId="6487A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6" w:type="pct"/>
            <w:vAlign w:val="center"/>
          </w:tcPr>
          <w:p w14:paraId="4D98D2D5">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暂存点编号</w:t>
            </w:r>
          </w:p>
        </w:tc>
        <w:tc>
          <w:tcPr>
            <w:tcW w:w="496" w:type="pct"/>
            <w:vAlign w:val="center"/>
          </w:tcPr>
          <w:p w14:paraId="7ADD2492">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暂存点位置</w:t>
            </w:r>
          </w:p>
        </w:tc>
        <w:tc>
          <w:tcPr>
            <w:tcW w:w="487" w:type="pct"/>
            <w:vAlign w:val="center"/>
          </w:tcPr>
          <w:p w14:paraId="10D0E429">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面积（m</w:t>
            </w:r>
            <w:r>
              <w:rPr>
                <w:bCs/>
                <w:color w:val="0D0D0D" w:themeColor="text1" w:themeTint="F2"/>
                <w:sz w:val="21"/>
                <w:vertAlign w:val="superscript"/>
                <w14:textFill>
                  <w14:solidFill>
                    <w14:schemeClr w14:val="tx1">
                      <w14:lumMod w14:val="95000"/>
                      <w14:lumOff w14:val="5000"/>
                    </w14:schemeClr>
                  </w14:solidFill>
                </w14:textFill>
              </w:rPr>
              <w:t>2</w:t>
            </w:r>
            <w:r>
              <w:rPr>
                <w:bCs/>
                <w:color w:val="0D0D0D" w:themeColor="text1" w:themeTint="F2"/>
                <w:sz w:val="21"/>
                <w14:textFill>
                  <w14:solidFill>
                    <w14:schemeClr w14:val="tx1">
                      <w14:lumMod w14:val="95000"/>
                      <w14:lumOff w14:val="5000"/>
                    </w14:schemeClr>
                  </w14:solidFill>
                </w14:textFill>
              </w:rPr>
              <w:t>）</w:t>
            </w:r>
          </w:p>
        </w:tc>
        <w:tc>
          <w:tcPr>
            <w:tcW w:w="486" w:type="pct"/>
            <w:vAlign w:val="center"/>
          </w:tcPr>
          <w:p w14:paraId="38CDBAC2">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固废名称</w:t>
            </w:r>
          </w:p>
        </w:tc>
        <w:tc>
          <w:tcPr>
            <w:tcW w:w="557" w:type="pct"/>
            <w:vAlign w:val="center"/>
          </w:tcPr>
          <w:p w14:paraId="4782715A">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暂存危废量</w:t>
            </w:r>
          </w:p>
        </w:tc>
        <w:tc>
          <w:tcPr>
            <w:tcW w:w="496" w:type="pct"/>
            <w:vAlign w:val="center"/>
          </w:tcPr>
          <w:p w14:paraId="72437178">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暂存入库时间</w:t>
            </w:r>
          </w:p>
        </w:tc>
        <w:tc>
          <w:tcPr>
            <w:tcW w:w="412" w:type="pct"/>
            <w:vAlign w:val="center"/>
          </w:tcPr>
          <w:p w14:paraId="2064F864">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清运量</w:t>
            </w:r>
          </w:p>
        </w:tc>
        <w:tc>
          <w:tcPr>
            <w:tcW w:w="581" w:type="pct"/>
            <w:vAlign w:val="center"/>
          </w:tcPr>
          <w:p w14:paraId="5C99C81A">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清运出库时间</w:t>
            </w:r>
          </w:p>
        </w:tc>
        <w:tc>
          <w:tcPr>
            <w:tcW w:w="361" w:type="pct"/>
            <w:vAlign w:val="center"/>
          </w:tcPr>
          <w:p w14:paraId="129E7AFE">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去向</w:t>
            </w:r>
          </w:p>
        </w:tc>
        <w:tc>
          <w:tcPr>
            <w:tcW w:w="391" w:type="pct"/>
            <w:vAlign w:val="center"/>
          </w:tcPr>
          <w:p w14:paraId="64E12B2D">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记录人</w:t>
            </w:r>
          </w:p>
        </w:tc>
        <w:tc>
          <w:tcPr>
            <w:tcW w:w="236" w:type="pct"/>
            <w:vAlign w:val="center"/>
          </w:tcPr>
          <w:p w14:paraId="2D425370">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备注</w:t>
            </w:r>
          </w:p>
        </w:tc>
      </w:tr>
      <w:tr w14:paraId="0839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6" w:type="pct"/>
            <w:vAlign w:val="center"/>
          </w:tcPr>
          <w:p w14:paraId="44124257">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496" w:type="pct"/>
            <w:vAlign w:val="center"/>
          </w:tcPr>
          <w:p w14:paraId="0B87EBFC">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487" w:type="pct"/>
            <w:vAlign w:val="center"/>
          </w:tcPr>
          <w:p w14:paraId="7874D6FE">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486" w:type="pct"/>
            <w:vAlign w:val="center"/>
          </w:tcPr>
          <w:p w14:paraId="3568D42C">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557" w:type="pct"/>
            <w:vAlign w:val="center"/>
          </w:tcPr>
          <w:p w14:paraId="11A0663E">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496" w:type="pct"/>
            <w:vAlign w:val="center"/>
          </w:tcPr>
          <w:p w14:paraId="517F0C39">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412" w:type="pct"/>
            <w:vAlign w:val="center"/>
          </w:tcPr>
          <w:p w14:paraId="1204CD49">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581" w:type="pct"/>
            <w:vAlign w:val="center"/>
          </w:tcPr>
          <w:p w14:paraId="5D44368B">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61" w:type="pct"/>
            <w:vAlign w:val="center"/>
          </w:tcPr>
          <w:p w14:paraId="1CED6836">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91" w:type="pct"/>
            <w:vAlign w:val="center"/>
          </w:tcPr>
          <w:p w14:paraId="5AC3A0CE">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36" w:type="pct"/>
            <w:vAlign w:val="center"/>
          </w:tcPr>
          <w:p w14:paraId="1DFCD9BA">
            <w:pPr>
              <w:spacing w:line="240" w:lineRule="auto"/>
              <w:jc w:val="center"/>
              <w:rPr>
                <w:bCs/>
                <w:color w:val="0D0D0D" w:themeColor="text1" w:themeTint="F2"/>
                <w:sz w:val="21"/>
                <w14:textFill>
                  <w14:solidFill>
                    <w14:schemeClr w14:val="tx1">
                      <w14:lumMod w14:val="95000"/>
                      <w14:lumOff w14:val="5000"/>
                    </w14:schemeClr>
                  </w14:solidFill>
                </w14:textFill>
              </w:rPr>
            </w:pPr>
          </w:p>
        </w:tc>
      </w:tr>
      <w:tr w14:paraId="639E1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6" w:type="pct"/>
            <w:vAlign w:val="center"/>
          </w:tcPr>
          <w:p w14:paraId="1F3F302D">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496" w:type="pct"/>
            <w:vAlign w:val="center"/>
          </w:tcPr>
          <w:p w14:paraId="562801D1">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487" w:type="pct"/>
            <w:vAlign w:val="center"/>
          </w:tcPr>
          <w:p w14:paraId="57DA961A">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486" w:type="pct"/>
            <w:vAlign w:val="center"/>
          </w:tcPr>
          <w:p w14:paraId="77BD41DA">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557" w:type="pct"/>
            <w:vAlign w:val="center"/>
          </w:tcPr>
          <w:p w14:paraId="3294434E">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496" w:type="pct"/>
            <w:vAlign w:val="center"/>
          </w:tcPr>
          <w:p w14:paraId="7CE6CB98">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412" w:type="pct"/>
            <w:vAlign w:val="center"/>
          </w:tcPr>
          <w:p w14:paraId="3D1D7244">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581" w:type="pct"/>
            <w:vAlign w:val="center"/>
          </w:tcPr>
          <w:p w14:paraId="2DB571D9">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61" w:type="pct"/>
            <w:vAlign w:val="center"/>
          </w:tcPr>
          <w:p w14:paraId="24DD4ED3">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91" w:type="pct"/>
            <w:vAlign w:val="center"/>
          </w:tcPr>
          <w:p w14:paraId="5925C8F2">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236" w:type="pct"/>
            <w:vAlign w:val="center"/>
          </w:tcPr>
          <w:p w14:paraId="199AD305">
            <w:pPr>
              <w:spacing w:line="240" w:lineRule="auto"/>
              <w:jc w:val="center"/>
              <w:rPr>
                <w:bCs/>
                <w:color w:val="0D0D0D" w:themeColor="text1" w:themeTint="F2"/>
                <w:sz w:val="21"/>
                <w14:textFill>
                  <w14:solidFill>
                    <w14:schemeClr w14:val="tx1">
                      <w14:lumMod w14:val="95000"/>
                      <w14:lumOff w14:val="5000"/>
                    </w14:schemeClr>
                  </w14:solidFill>
                </w14:textFill>
              </w:rPr>
            </w:pPr>
          </w:p>
        </w:tc>
      </w:tr>
    </w:tbl>
    <w:p w14:paraId="4307850E">
      <w:pPr>
        <w:ind w:firstLine="48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④</w:t>
      </w:r>
      <w:r>
        <w:rPr>
          <w:color w:val="0D0D0D" w:themeColor="text1" w:themeTint="F2"/>
          <w14:textFill>
            <w14:solidFill>
              <w14:schemeClr w14:val="tx1">
                <w14:lumMod w14:val="95000"/>
                <w14:lumOff w14:val="5000"/>
              </w14:schemeClr>
            </w14:solidFill>
          </w14:textFill>
        </w:rPr>
        <w:t>污染治理设施异常时管理台账</w:t>
      </w:r>
    </w:p>
    <w:p w14:paraId="12885443">
      <w:pPr>
        <w:pStyle w:val="11"/>
      </w:pPr>
      <w:bookmarkStart w:id="247" w:name="_Toc24169"/>
      <w:r>
        <w:rPr>
          <w:rFonts w:hint="eastAsia"/>
        </w:rPr>
        <w:t xml:space="preserve"> </w:t>
      </w:r>
      <w:r>
        <w:t>治理设施异常情况信息表</w:t>
      </w:r>
      <w:bookmarkEnd w:id="247"/>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736"/>
        <w:gridCol w:w="847"/>
        <w:gridCol w:w="1103"/>
        <w:gridCol w:w="872"/>
        <w:gridCol w:w="1063"/>
        <w:gridCol w:w="924"/>
        <w:gridCol w:w="834"/>
        <w:gridCol w:w="704"/>
        <w:gridCol w:w="1233"/>
      </w:tblGrid>
      <w:tr w14:paraId="01259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1" w:type="pct"/>
            <w:vMerge w:val="restart"/>
            <w:vAlign w:val="center"/>
          </w:tcPr>
          <w:p w14:paraId="13155094">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治理设施名称</w:t>
            </w:r>
          </w:p>
        </w:tc>
        <w:tc>
          <w:tcPr>
            <w:tcW w:w="398" w:type="pct"/>
            <w:vMerge w:val="restart"/>
            <w:vAlign w:val="center"/>
          </w:tcPr>
          <w:p w14:paraId="33C1071F">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编号</w:t>
            </w:r>
          </w:p>
        </w:tc>
        <w:tc>
          <w:tcPr>
            <w:tcW w:w="458" w:type="pct"/>
            <w:vMerge w:val="restart"/>
            <w:vAlign w:val="center"/>
          </w:tcPr>
          <w:p w14:paraId="0F3B036F">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非正常时刻</w:t>
            </w:r>
          </w:p>
        </w:tc>
        <w:tc>
          <w:tcPr>
            <w:tcW w:w="597" w:type="pct"/>
            <w:vMerge w:val="restart"/>
            <w:vAlign w:val="center"/>
          </w:tcPr>
          <w:p w14:paraId="65FF84A0">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恢复（启动）时刻</w:t>
            </w:r>
          </w:p>
        </w:tc>
        <w:tc>
          <w:tcPr>
            <w:tcW w:w="1547" w:type="pct"/>
            <w:gridSpan w:val="3"/>
            <w:vAlign w:val="center"/>
          </w:tcPr>
          <w:p w14:paraId="168FDD06">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污染物排放情况</w:t>
            </w:r>
          </w:p>
        </w:tc>
        <w:tc>
          <w:tcPr>
            <w:tcW w:w="451" w:type="pct"/>
            <w:vMerge w:val="restart"/>
            <w:vAlign w:val="center"/>
          </w:tcPr>
          <w:p w14:paraId="281EDC10">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事件</w:t>
            </w:r>
          </w:p>
          <w:p w14:paraId="42ED2415">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原因</w:t>
            </w:r>
          </w:p>
        </w:tc>
        <w:tc>
          <w:tcPr>
            <w:tcW w:w="381" w:type="pct"/>
            <w:vMerge w:val="restart"/>
            <w:vAlign w:val="center"/>
          </w:tcPr>
          <w:p w14:paraId="1E8E2467">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是否</w:t>
            </w:r>
          </w:p>
          <w:p w14:paraId="4E17570A">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报告</w:t>
            </w:r>
          </w:p>
        </w:tc>
        <w:tc>
          <w:tcPr>
            <w:tcW w:w="668" w:type="pct"/>
            <w:vMerge w:val="restart"/>
            <w:vAlign w:val="center"/>
          </w:tcPr>
          <w:p w14:paraId="7072E961">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应对</w:t>
            </w:r>
          </w:p>
          <w:p w14:paraId="03702AC6">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措施</w:t>
            </w:r>
          </w:p>
        </w:tc>
      </w:tr>
      <w:tr w14:paraId="372C1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1" w:type="pct"/>
            <w:vMerge w:val="continue"/>
            <w:vAlign w:val="center"/>
          </w:tcPr>
          <w:p w14:paraId="1B0CEBB3">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98" w:type="pct"/>
            <w:vMerge w:val="continue"/>
            <w:vAlign w:val="center"/>
          </w:tcPr>
          <w:p w14:paraId="59BAE5A7">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458" w:type="pct"/>
            <w:vMerge w:val="continue"/>
            <w:vAlign w:val="center"/>
          </w:tcPr>
          <w:p w14:paraId="720922C6">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597" w:type="pct"/>
            <w:vMerge w:val="continue"/>
            <w:vAlign w:val="center"/>
          </w:tcPr>
          <w:p w14:paraId="63880C0D">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472" w:type="pct"/>
            <w:vAlign w:val="center"/>
          </w:tcPr>
          <w:p w14:paraId="75432DF4">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污染物名称</w:t>
            </w:r>
          </w:p>
        </w:tc>
        <w:tc>
          <w:tcPr>
            <w:tcW w:w="575" w:type="pct"/>
            <w:vAlign w:val="center"/>
          </w:tcPr>
          <w:p w14:paraId="2D46E4AD">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排放</w:t>
            </w:r>
          </w:p>
          <w:p w14:paraId="13BF7E38">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浓度</w:t>
            </w:r>
          </w:p>
        </w:tc>
        <w:tc>
          <w:tcPr>
            <w:tcW w:w="500" w:type="pct"/>
            <w:vAlign w:val="center"/>
          </w:tcPr>
          <w:p w14:paraId="3459D4C1">
            <w:pPr>
              <w:spacing w:line="240" w:lineRule="auto"/>
              <w:jc w:val="center"/>
              <w:rPr>
                <w:bCs/>
                <w:color w:val="0D0D0D" w:themeColor="text1" w:themeTint="F2"/>
                <w:sz w:val="21"/>
                <w14:textFill>
                  <w14:solidFill>
                    <w14:schemeClr w14:val="tx1">
                      <w14:lumMod w14:val="95000"/>
                      <w14:lumOff w14:val="5000"/>
                    </w14:schemeClr>
                  </w14:solidFill>
                </w14:textFill>
              </w:rPr>
            </w:pPr>
            <w:r>
              <w:rPr>
                <w:bCs/>
                <w:color w:val="0D0D0D" w:themeColor="text1" w:themeTint="F2"/>
                <w:sz w:val="21"/>
                <w14:textFill>
                  <w14:solidFill>
                    <w14:schemeClr w14:val="tx1">
                      <w14:lumMod w14:val="95000"/>
                      <w14:lumOff w14:val="5000"/>
                    </w14:schemeClr>
                  </w14:solidFill>
                </w14:textFill>
              </w:rPr>
              <w:t>排放量</w:t>
            </w:r>
          </w:p>
        </w:tc>
        <w:tc>
          <w:tcPr>
            <w:tcW w:w="451" w:type="pct"/>
            <w:vMerge w:val="continue"/>
            <w:vAlign w:val="center"/>
          </w:tcPr>
          <w:p w14:paraId="7543C29B">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81" w:type="pct"/>
            <w:vMerge w:val="continue"/>
            <w:vAlign w:val="center"/>
          </w:tcPr>
          <w:p w14:paraId="438DB3FD">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668" w:type="pct"/>
            <w:vMerge w:val="continue"/>
            <w:vAlign w:val="center"/>
          </w:tcPr>
          <w:p w14:paraId="2E3EB82B">
            <w:pPr>
              <w:spacing w:line="240" w:lineRule="auto"/>
              <w:jc w:val="center"/>
              <w:rPr>
                <w:bCs/>
                <w:color w:val="0D0D0D" w:themeColor="text1" w:themeTint="F2"/>
                <w:sz w:val="21"/>
                <w14:textFill>
                  <w14:solidFill>
                    <w14:schemeClr w14:val="tx1">
                      <w14:lumMod w14:val="95000"/>
                      <w14:lumOff w14:val="5000"/>
                    </w14:schemeClr>
                  </w14:solidFill>
                </w14:textFill>
              </w:rPr>
            </w:pPr>
          </w:p>
        </w:tc>
      </w:tr>
      <w:tr w14:paraId="51F21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1" w:type="pct"/>
            <w:vAlign w:val="center"/>
          </w:tcPr>
          <w:p w14:paraId="31DAE8BE">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98" w:type="pct"/>
            <w:vAlign w:val="center"/>
          </w:tcPr>
          <w:p w14:paraId="361F7F11">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458" w:type="pct"/>
            <w:vAlign w:val="center"/>
          </w:tcPr>
          <w:p w14:paraId="715A71EF">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597" w:type="pct"/>
            <w:vAlign w:val="center"/>
          </w:tcPr>
          <w:p w14:paraId="35D1D7F5">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472" w:type="pct"/>
            <w:vAlign w:val="center"/>
          </w:tcPr>
          <w:p w14:paraId="4E56AED7">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575" w:type="pct"/>
            <w:vAlign w:val="center"/>
          </w:tcPr>
          <w:p w14:paraId="6E7E49F7">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500" w:type="pct"/>
            <w:vAlign w:val="center"/>
          </w:tcPr>
          <w:p w14:paraId="7DE87D17">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451" w:type="pct"/>
            <w:vAlign w:val="center"/>
          </w:tcPr>
          <w:p w14:paraId="5B13DF01">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381" w:type="pct"/>
            <w:vAlign w:val="center"/>
          </w:tcPr>
          <w:p w14:paraId="245F08C0">
            <w:pPr>
              <w:spacing w:line="240" w:lineRule="auto"/>
              <w:jc w:val="center"/>
              <w:rPr>
                <w:bCs/>
                <w:color w:val="0D0D0D" w:themeColor="text1" w:themeTint="F2"/>
                <w:sz w:val="21"/>
                <w14:textFill>
                  <w14:solidFill>
                    <w14:schemeClr w14:val="tx1">
                      <w14:lumMod w14:val="95000"/>
                      <w14:lumOff w14:val="5000"/>
                    </w14:schemeClr>
                  </w14:solidFill>
                </w14:textFill>
              </w:rPr>
            </w:pPr>
          </w:p>
        </w:tc>
        <w:tc>
          <w:tcPr>
            <w:tcW w:w="668" w:type="pct"/>
            <w:vAlign w:val="center"/>
          </w:tcPr>
          <w:p w14:paraId="6CDF69FD">
            <w:pPr>
              <w:spacing w:line="240" w:lineRule="auto"/>
              <w:jc w:val="center"/>
              <w:rPr>
                <w:bCs/>
                <w:color w:val="0D0D0D" w:themeColor="text1" w:themeTint="F2"/>
                <w:sz w:val="21"/>
                <w14:textFill>
                  <w14:solidFill>
                    <w14:schemeClr w14:val="tx1">
                      <w14:lumMod w14:val="95000"/>
                      <w14:lumOff w14:val="5000"/>
                    </w14:schemeClr>
                  </w14:solidFill>
                </w14:textFill>
              </w:rPr>
            </w:pPr>
          </w:p>
        </w:tc>
      </w:tr>
    </w:tbl>
    <w:p w14:paraId="30B0405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⑤</w:t>
      </w:r>
      <w:r>
        <w:rPr>
          <w:color w:val="0D0D0D" w:themeColor="text1" w:themeTint="F2"/>
          <w14:textFill>
            <w14:solidFill>
              <w14:schemeClr w14:val="tx1">
                <w14:lumMod w14:val="95000"/>
                <w14:lumOff w14:val="5000"/>
              </w14:schemeClr>
            </w14:solidFill>
          </w14:textFill>
        </w:rPr>
        <w:t>监测记录管理信息</w:t>
      </w:r>
    </w:p>
    <w:p w14:paraId="74A05E3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按照HJ819及各行业自行监测技术指南规定执行，监测质量控制按照HJ/T373和HJ819等规定执行。</w:t>
      </w:r>
    </w:p>
    <w:p w14:paraId="5CE1ED21">
      <w:pPr>
        <w:pStyle w:val="8"/>
      </w:pPr>
      <w:bookmarkStart w:id="248" w:name="_Toc204062699"/>
      <w:r>
        <w:rPr>
          <w:rFonts w:hint="eastAsia"/>
        </w:rPr>
        <w:t>污染物排放清单与排污管理要求</w:t>
      </w:r>
      <w:bookmarkEnd w:id="248"/>
    </w:p>
    <w:p w14:paraId="0B871BA0">
      <w:pPr>
        <w:pStyle w:val="9"/>
        <w:numPr>
          <w:ilvl w:val="2"/>
          <w:numId w:val="67"/>
        </w:numPr>
      </w:pPr>
      <w:bookmarkStart w:id="249" w:name="_Toc204062700"/>
      <w:r>
        <w:rPr>
          <w:rFonts w:hint="eastAsia"/>
        </w:rPr>
        <w:t>污染物排放清单</w:t>
      </w:r>
      <w:bookmarkEnd w:id="249"/>
    </w:p>
    <w:p w14:paraId="40365DDF">
      <w:pP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项目污染源排放清单详见下表9.2-1。</w:t>
      </w:r>
    </w:p>
    <w:p w14:paraId="54E1E797">
      <w:pPr>
        <w:widowControl/>
        <w:spacing w:line="240" w:lineRule="auto"/>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14:paraId="4AE553A1">
      <w:pPr>
        <w:rPr>
          <w:color w:val="0D0D0D" w:themeColor="text1" w:themeTint="F2"/>
          <w14:textFill>
            <w14:solidFill>
              <w14:schemeClr w14:val="tx1">
                <w14:lumMod w14:val="95000"/>
                <w14:lumOff w14:val="5000"/>
              </w14:schemeClr>
            </w14:solidFill>
          </w14:textFill>
        </w:rPr>
        <w:sectPr>
          <w:pgSz w:w="11906" w:h="16838"/>
          <w:pgMar w:top="1440" w:right="1440" w:bottom="1440" w:left="1440" w:header="851" w:footer="992" w:gutter="0"/>
          <w:cols w:space="425" w:num="1"/>
          <w:docGrid w:type="lines" w:linePitch="312" w:charSpace="0"/>
        </w:sectPr>
      </w:pPr>
    </w:p>
    <w:p w14:paraId="6B1C0357">
      <w:pPr>
        <w:pStyle w:val="11"/>
        <w:numPr>
          <w:ilvl w:val="4"/>
          <w:numId w:val="68"/>
        </w:numPr>
      </w:pPr>
      <w:r>
        <w:rPr>
          <w:rFonts w:hint="eastAsia"/>
        </w:rPr>
        <w:t xml:space="preserve"> 项目污染源排放清单及管理要求</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440"/>
        <w:gridCol w:w="1766"/>
        <w:gridCol w:w="1055"/>
        <w:gridCol w:w="1242"/>
        <w:gridCol w:w="1383"/>
        <w:gridCol w:w="4074"/>
        <w:gridCol w:w="2512"/>
      </w:tblGrid>
      <w:tr w14:paraId="32912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restart"/>
            <w:vAlign w:val="center"/>
          </w:tcPr>
          <w:p w14:paraId="7A8B71D7">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类别</w:t>
            </w:r>
          </w:p>
        </w:tc>
        <w:tc>
          <w:tcPr>
            <w:tcW w:w="508" w:type="pct"/>
            <w:vMerge w:val="restart"/>
            <w:vAlign w:val="center"/>
          </w:tcPr>
          <w:p w14:paraId="529B3FEA">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污染源</w:t>
            </w:r>
          </w:p>
        </w:tc>
        <w:tc>
          <w:tcPr>
            <w:tcW w:w="623" w:type="pct"/>
            <w:vMerge w:val="restart"/>
            <w:vAlign w:val="center"/>
          </w:tcPr>
          <w:p w14:paraId="28EFC2C2">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污染物</w:t>
            </w:r>
          </w:p>
        </w:tc>
        <w:tc>
          <w:tcPr>
            <w:tcW w:w="1298" w:type="pct"/>
            <w:gridSpan w:val="3"/>
            <w:vAlign w:val="center"/>
          </w:tcPr>
          <w:p w14:paraId="110F62A6">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排放情况</w:t>
            </w:r>
          </w:p>
        </w:tc>
        <w:tc>
          <w:tcPr>
            <w:tcW w:w="1437" w:type="pct"/>
            <w:vMerge w:val="restart"/>
            <w:vAlign w:val="center"/>
          </w:tcPr>
          <w:p w14:paraId="16482970">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治理措施</w:t>
            </w:r>
          </w:p>
        </w:tc>
        <w:tc>
          <w:tcPr>
            <w:tcW w:w="886" w:type="pct"/>
            <w:vMerge w:val="restart"/>
            <w:vAlign w:val="center"/>
          </w:tcPr>
          <w:p w14:paraId="696A6AD4">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排放标准</w:t>
            </w:r>
          </w:p>
        </w:tc>
      </w:tr>
      <w:tr w14:paraId="7D9A7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05E834C0">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continue"/>
            <w:vAlign w:val="center"/>
          </w:tcPr>
          <w:p w14:paraId="383C5B94">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23" w:type="pct"/>
            <w:vMerge w:val="continue"/>
            <w:vAlign w:val="center"/>
          </w:tcPr>
          <w:p w14:paraId="7E920E95">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372" w:type="pct"/>
            <w:vAlign w:val="center"/>
          </w:tcPr>
          <w:p w14:paraId="444677D2">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排放量</w:t>
            </w:r>
          </w:p>
          <w:p w14:paraId="5E6F7958">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（t/a）</w:t>
            </w:r>
          </w:p>
        </w:tc>
        <w:tc>
          <w:tcPr>
            <w:tcW w:w="438" w:type="pct"/>
            <w:vAlign w:val="center"/>
          </w:tcPr>
          <w:p w14:paraId="758F1ECD">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排放速率</w:t>
            </w:r>
          </w:p>
          <w:p w14:paraId="0E9D85A7">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（kg/h）</w:t>
            </w:r>
          </w:p>
        </w:tc>
        <w:tc>
          <w:tcPr>
            <w:tcW w:w="488" w:type="pct"/>
            <w:vAlign w:val="center"/>
          </w:tcPr>
          <w:p w14:paraId="4C1D0FCA">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排放浓度</w:t>
            </w:r>
          </w:p>
          <w:p w14:paraId="11F39419">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（mg/m</w:t>
            </w:r>
            <w:r>
              <w:rPr>
                <w:rFonts w:hint="eastAsia" w:cs="Times New Roman"/>
                <w:color w:val="0D0D0D" w:themeColor="text1" w:themeTint="F2"/>
                <w:sz w:val="21"/>
                <w:vertAlign w:val="superscript"/>
                <w14:textFill>
                  <w14:solidFill>
                    <w14:schemeClr w14:val="tx1">
                      <w14:lumMod w14:val="95000"/>
                      <w14:lumOff w14:val="5000"/>
                    </w14:schemeClr>
                  </w14:solidFill>
                </w14:textFill>
              </w:rPr>
              <w:t>3</w:t>
            </w:r>
            <w:r>
              <w:rPr>
                <w:rFonts w:hint="eastAsia" w:cs="Times New Roman"/>
                <w:color w:val="0D0D0D" w:themeColor="text1" w:themeTint="F2"/>
                <w:sz w:val="21"/>
                <w14:textFill>
                  <w14:solidFill>
                    <w14:schemeClr w14:val="tx1">
                      <w14:lumMod w14:val="95000"/>
                      <w14:lumOff w14:val="5000"/>
                    </w14:schemeClr>
                  </w14:solidFill>
                </w14:textFill>
              </w:rPr>
              <w:t>）</w:t>
            </w:r>
          </w:p>
        </w:tc>
        <w:tc>
          <w:tcPr>
            <w:tcW w:w="1437" w:type="pct"/>
            <w:vMerge w:val="continue"/>
            <w:vAlign w:val="center"/>
          </w:tcPr>
          <w:p w14:paraId="48854325">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886" w:type="pct"/>
            <w:vMerge w:val="continue"/>
            <w:vAlign w:val="center"/>
          </w:tcPr>
          <w:p w14:paraId="3B6DC7E5">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r>
      <w:tr w14:paraId="2CFDC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restart"/>
            <w:vAlign w:val="center"/>
          </w:tcPr>
          <w:p w14:paraId="2940B07A">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废气</w:t>
            </w:r>
          </w:p>
        </w:tc>
        <w:tc>
          <w:tcPr>
            <w:tcW w:w="508" w:type="pct"/>
            <w:vMerge w:val="restart"/>
            <w:vAlign w:val="center"/>
          </w:tcPr>
          <w:p w14:paraId="31BEF9A9">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有组织废气</w:t>
            </w:r>
          </w:p>
        </w:tc>
        <w:tc>
          <w:tcPr>
            <w:tcW w:w="623" w:type="pct"/>
            <w:vAlign w:val="center"/>
          </w:tcPr>
          <w:p w14:paraId="067C8ADC">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颗粒物</w:t>
            </w:r>
          </w:p>
        </w:tc>
        <w:tc>
          <w:tcPr>
            <w:tcW w:w="372" w:type="pct"/>
            <w:vAlign w:val="center"/>
          </w:tcPr>
          <w:p w14:paraId="72E7D1D1">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438" w:type="pct"/>
            <w:vAlign w:val="center"/>
          </w:tcPr>
          <w:p w14:paraId="42692C19">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488" w:type="pct"/>
            <w:vAlign w:val="center"/>
          </w:tcPr>
          <w:p w14:paraId="57CD8795">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1437" w:type="pct"/>
            <w:vMerge w:val="restart"/>
            <w:vAlign w:val="center"/>
          </w:tcPr>
          <w:p w14:paraId="02D74A6E">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导热油炉燃烧废气经各自配套的“旋风除尘器+布袋除尘器”处理后，通过40m高排气筒（DA002）排放</w:t>
            </w:r>
          </w:p>
        </w:tc>
        <w:tc>
          <w:tcPr>
            <w:tcW w:w="886" w:type="pct"/>
            <w:vMerge w:val="restart"/>
            <w:vAlign w:val="center"/>
          </w:tcPr>
          <w:p w14:paraId="184F15A3">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《锅炉大气污染物排放标准》（GB13271-2014）</w:t>
            </w:r>
          </w:p>
        </w:tc>
      </w:tr>
      <w:tr w14:paraId="01974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3D8E52AB">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continue"/>
            <w:vAlign w:val="center"/>
          </w:tcPr>
          <w:p w14:paraId="1806386D">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23" w:type="pct"/>
            <w:vAlign w:val="center"/>
          </w:tcPr>
          <w:p w14:paraId="41AF59F5">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氮氧化物</w:t>
            </w:r>
          </w:p>
        </w:tc>
        <w:tc>
          <w:tcPr>
            <w:tcW w:w="372" w:type="pct"/>
            <w:vAlign w:val="center"/>
          </w:tcPr>
          <w:p w14:paraId="7F1AD3DB">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438" w:type="pct"/>
            <w:vAlign w:val="center"/>
          </w:tcPr>
          <w:p w14:paraId="433E802E">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488" w:type="pct"/>
            <w:vAlign w:val="center"/>
          </w:tcPr>
          <w:p w14:paraId="4FC835DC">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1437" w:type="pct"/>
            <w:vMerge w:val="continue"/>
            <w:vAlign w:val="center"/>
          </w:tcPr>
          <w:p w14:paraId="4EC707E5">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p>
        </w:tc>
        <w:tc>
          <w:tcPr>
            <w:tcW w:w="886" w:type="pct"/>
            <w:vMerge w:val="continue"/>
            <w:vAlign w:val="center"/>
          </w:tcPr>
          <w:p w14:paraId="4486C744">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p>
        </w:tc>
      </w:tr>
      <w:tr w14:paraId="26749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27E32C22">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continue"/>
            <w:vAlign w:val="center"/>
          </w:tcPr>
          <w:p w14:paraId="5120EABE">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23" w:type="pct"/>
            <w:vAlign w:val="center"/>
          </w:tcPr>
          <w:p w14:paraId="76DA656B">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二氧化硫</w:t>
            </w:r>
          </w:p>
        </w:tc>
        <w:tc>
          <w:tcPr>
            <w:tcW w:w="372" w:type="pct"/>
            <w:vAlign w:val="center"/>
          </w:tcPr>
          <w:p w14:paraId="3371B761">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438" w:type="pct"/>
            <w:vAlign w:val="center"/>
          </w:tcPr>
          <w:p w14:paraId="2C94C14E">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488" w:type="pct"/>
            <w:vAlign w:val="center"/>
          </w:tcPr>
          <w:p w14:paraId="61C8A899">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1437" w:type="pct"/>
            <w:vMerge w:val="continue"/>
            <w:vAlign w:val="center"/>
          </w:tcPr>
          <w:p w14:paraId="69F8D88F">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p>
        </w:tc>
        <w:tc>
          <w:tcPr>
            <w:tcW w:w="886" w:type="pct"/>
            <w:vMerge w:val="continue"/>
            <w:vAlign w:val="center"/>
          </w:tcPr>
          <w:p w14:paraId="0A98E422">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p>
        </w:tc>
      </w:tr>
      <w:tr w14:paraId="6E6F6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24712ABC">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continue"/>
            <w:vAlign w:val="center"/>
          </w:tcPr>
          <w:p w14:paraId="24812E96">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23" w:type="pct"/>
            <w:vAlign w:val="center"/>
          </w:tcPr>
          <w:p w14:paraId="0AE5047E">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甲醇</w:t>
            </w:r>
          </w:p>
        </w:tc>
        <w:tc>
          <w:tcPr>
            <w:tcW w:w="372" w:type="pct"/>
            <w:vAlign w:val="center"/>
          </w:tcPr>
          <w:p w14:paraId="0EE9FAA4">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438" w:type="pct"/>
            <w:vAlign w:val="center"/>
          </w:tcPr>
          <w:p w14:paraId="41412724">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488" w:type="pct"/>
            <w:vAlign w:val="center"/>
          </w:tcPr>
          <w:p w14:paraId="7B876771">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1437" w:type="pct"/>
            <w:vMerge w:val="restart"/>
            <w:vAlign w:val="center"/>
          </w:tcPr>
          <w:p w14:paraId="14985250">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生产线工艺废气和储罐大小呼吸废气经RCO催化燃烧装置处理后，通过30m高排气筒（DA001）排放</w:t>
            </w:r>
          </w:p>
        </w:tc>
        <w:tc>
          <w:tcPr>
            <w:tcW w:w="886" w:type="pct"/>
            <w:vMerge w:val="restart"/>
            <w:vAlign w:val="center"/>
          </w:tcPr>
          <w:p w14:paraId="329A8F12">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《石油炼制工业污染物排放标准》（GB31570-2015）</w:t>
            </w:r>
          </w:p>
        </w:tc>
      </w:tr>
      <w:tr w14:paraId="26340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67A76321">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continue"/>
            <w:vAlign w:val="center"/>
          </w:tcPr>
          <w:p w14:paraId="1B92CF31">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23" w:type="pct"/>
            <w:vAlign w:val="center"/>
          </w:tcPr>
          <w:p w14:paraId="6A235B59">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非甲烷总烃</w:t>
            </w:r>
          </w:p>
        </w:tc>
        <w:tc>
          <w:tcPr>
            <w:tcW w:w="372" w:type="pct"/>
            <w:vAlign w:val="center"/>
          </w:tcPr>
          <w:p w14:paraId="69744949">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438" w:type="pct"/>
            <w:vAlign w:val="center"/>
          </w:tcPr>
          <w:p w14:paraId="2D2C5B33">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488" w:type="pct"/>
            <w:vAlign w:val="center"/>
          </w:tcPr>
          <w:p w14:paraId="19B379AA">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1437" w:type="pct"/>
            <w:vMerge w:val="continue"/>
            <w:vAlign w:val="center"/>
          </w:tcPr>
          <w:p w14:paraId="154F22D6">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p>
        </w:tc>
        <w:tc>
          <w:tcPr>
            <w:tcW w:w="886" w:type="pct"/>
            <w:vMerge w:val="continue"/>
            <w:vAlign w:val="center"/>
          </w:tcPr>
          <w:p w14:paraId="17F82870">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p>
        </w:tc>
      </w:tr>
      <w:tr w14:paraId="6534C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2958A676">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continue"/>
            <w:vAlign w:val="center"/>
          </w:tcPr>
          <w:p w14:paraId="48F6B86F">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23" w:type="pct"/>
            <w:vAlign w:val="center"/>
          </w:tcPr>
          <w:p w14:paraId="3C0E63AD">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NH</w:t>
            </w:r>
            <w:r>
              <w:rPr>
                <w:rFonts w:hint="eastAsia" w:cs="Times New Roman"/>
                <w:color w:val="0D0D0D" w:themeColor="text1" w:themeTint="F2"/>
                <w:sz w:val="21"/>
                <w:vertAlign w:val="subscript"/>
                <w14:textFill>
                  <w14:solidFill>
                    <w14:schemeClr w14:val="tx1">
                      <w14:lumMod w14:val="95000"/>
                      <w14:lumOff w14:val="5000"/>
                    </w14:schemeClr>
                  </w14:solidFill>
                </w14:textFill>
              </w:rPr>
              <w:t>3</w:t>
            </w:r>
          </w:p>
        </w:tc>
        <w:tc>
          <w:tcPr>
            <w:tcW w:w="372" w:type="pct"/>
            <w:vAlign w:val="center"/>
          </w:tcPr>
          <w:p w14:paraId="0F12A62A">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438" w:type="pct"/>
            <w:vAlign w:val="center"/>
          </w:tcPr>
          <w:p w14:paraId="597D4337">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488" w:type="pct"/>
            <w:vAlign w:val="center"/>
          </w:tcPr>
          <w:p w14:paraId="35888A65">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1437" w:type="pct"/>
            <w:vMerge w:val="restart"/>
            <w:vAlign w:val="center"/>
          </w:tcPr>
          <w:p w14:paraId="5232105E">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污水处理站废气经“二级碱液喷淋+除雾器”预处理后排入RCO催化燃烧装置处理，最后通过30m高排气筒（DA001）排放</w:t>
            </w:r>
          </w:p>
        </w:tc>
        <w:tc>
          <w:tcPr>
            <w:tcW w:w="886" w:type="pct"/>
            <w:vMerge w:val="restart"/>
            <w:vAlign w:val="center"/>
          </w:tcPr>
          <w:p w14:paraId="65AAD185">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《恶臭污染物排放标准》（GB14554-1993）</w:t>
            </w:r>
          </w:p>
        </w:tc>
      </w:tr>
      <w:tr w14:paraId="5210A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33C2DDEF">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continue"/>
            <w:vAlign w:val="center"/>
          </w:tcPr>
          <w:p w14:paraId="55C8F2FD">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23" w:type="pct"/>
            <w:vAlign w:val="center"/>
          </w:tcPr>
          <w:p w14:paraId="191EB399">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H</w:t>
            </w:r>
            <w:r>
              <w:rPr>
                <w:rFonts w:hint="eastAsia" w:cs="Times New Roman"/>
                <w:color w:val="0D0D0D" w:themeColor="text1" w:themeTint="F2"/>
                <w:sz w:val="21"/>
                <w:vertAlign w:val="subscript"/>
                <w14:textFill>
                  <w14:solidFill>
                    <w14:schemeClr w14:val="tx1">
                      <w14:lumMod w14:val="95000"/>
                      <w14:lumOff w14:val="5000"/>
                    </w14:schemeClr>
                  </w14:solidFill>
                </w14:textFill>
              </w:rPr>
              <w:t>2</w:t>
            </w:r>
            <w:r>
              <w:rPr>
                <w:rFonts w:hint="eastAsia" w:cs="Times New Roman"/>
                <w:color w:val="0D0D0D" w:themeColor="text1" w:themeTint="F2"/>
                <w:sz w:val="21"/>
                <w14:textFill>
                  <w14:solidFill>
                    <w14:schemeClr w14:val="tx1">
                      <w14:lumMod w14:val="95000"/>
                      <w14:lumOff w14:val="5000"/>
                    </w14:schemeClr>
                  </w14:solidFill>
                </w14:textFill>
              </w:rPr>
              <w:t>S</w:t>
            </w:r>
          </w:p>
        </w:tc>
        <w:tc>
          <w:tcPr>
            <w:tcW w:w="372" w:type="pct"/>
            <w:vAlign w:val="center"/>
          </w:tcPr>
          <w:p w14:paraId="49DCA656">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438" w:type="pct"/>
            <w:vAlign w:val="center"/>
          </w:tcPr>
          <w:p w14:paraId="30E5FC19">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488" w:type="pct"/>
            <w:vAlign w:val="center"/>
          </w:tcPr>
          <w:p w14:paraId="0205102C">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1437" w:type="pct"/>
            <w:vMerge w:val="continue"/>
            <w:vAlign w:val="center"/>
          </w:tcPr>
          <w:p w14:paraId="174A073B">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886" w:type="pct"/>
            <w:vMerge w:val="continue"/>
            <w:vAlign w:val="center"/>
          </w:tcPr>
          <w:p w14:paraId="0E043276">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p>
        </w:tc>
      </w:tr>
      <w:tr w14:paraId="63E24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783EB71E">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restart"/>
            <w:vAlign w:val="center"/>
          </w:tcPr>
          <w:p w14:paraId="19040438">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无组织废气</w:t>
            </w:r>
          </w:p>
        </w:tc>
        <w:tc>
          <w:tcPr>
            <w:tcW w:w="623" w:type="pct"/>
            <w:vAlign w:val="center"/>
          </w:tcPr>
          <w:p w14:paraId="4A2297CF">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颗粒物</w:t>
            </w:r>
          </w:p>
        </w:tc>
        <w:tc>
          <w:tcPr>
            <w:tcW w:w="372" w:type="pct"/>
            <w:vAlign w:val="center"/>
          </w:tcPr>
          <w:p w14:paraId="2C26B445">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438" w:type="pct"/>
            <w:vAlign w:val="center"/>
          </w:tcPr>
          <w:p w14:paraId="63DE8D43">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488" w:type="pct"/>
            <w:vAlign w:val="center"/>
          </w:tcPr>
          <w:p w14:paraId="6BDE2724">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1437" w:type="pct"/>
            <w:vMerge w:val="restart"/>
            <w:vAlign w:val="center"/>
          </w:tcPr>
          <w:p w14:paraId="44908E2F">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886" w:type="pct"/>
            <w:vMerge w:val="restart"/>
            <w:vAlign w:val="center"/>
          </w:tcPr>
          <w:p w14:paraId="78AB6F85">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《石油炼制工业污染物排放标准》（GB31570-2015）</w:t>
            </w:r>
          </w:p>
        </w:tc>
      </w:tr>
      <w:tr w14:paraId="56248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10637966">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continue"/>
            <w:vAlign w:val="center"/>
          </w:tcPr>
          <w:p w14:paraId="5334F0B5">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23" w:type="pct"/>
            <w:vAlign w:val="center"/>
          </w:tcPr>
          <w:p w14:paraId="31032180">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甲醇</w:t>
            </w:r>
          </w:p>
        </w:tc>
        <w:tc>
          <w:tcPr>
            <w:tcW w:w="372" w:type="pct"/>
            <w:vAlign w:val="center"/>
          </w:tcPr>
          <w:p w14:paraId="60290BDB">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438" w:type="pct"/>
            <w:vAlign w:val="center"/>
          </w:tcPr>
          <w:p w14:paraId="21B8C107">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488" w:type="pct"/>
            <w:vAlign w:val="center"/>
          </w:tcPr>
          <w:p w14:paraId="47D1F5AC">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1437" w:type="pct"/>
            <w:vMerge w:val="continue"/>
            <w:vAlign w:val="center"/>
          </w:tcPr>
          <w:p w14:paraId="5CCA8FF0">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886" w:type="pct"/>
            <w:vMerge w:val="continue"/>
            <w:vAlign w:val="center"/>
          </w:tcPr>
          <w:p w14:paraId="6200DCD3">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p>
        </w:tc>
      </w:tr>
      <w:tr w14:paraId="12FF0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02EC9AE8">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continue"/>
            <w:vAlign w:val="center"/>
          </w:tcPr>
          <w:p w14:paraId="49FF64A9">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23" w:type="pct"/>
            <w:vAlign w:val="center"/>
          </w:tcPr>
          <w:p w14:paraId="65C591F1">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非甲烷总烃</w:t>
            </w:r>
          </w:p>
        </w:tc>
        <w:tc>
          <w:tcPr>
            <w:tcW w:w="372" w:type="pct"/>
            <w:vAlign w:val="center"/>
          </w:tcPr>
          <w:p w14:paraId="677CC6A1">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438" w:type="pct"/>
            <w:vAlign w:val="center"/>
          </w:tcPr>
          <w:p w14:paraId="38DD06E6">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488" w:type="pct"/>
            <w:vAlign w:val="center"/>
          </w:tcPr>
          <w:p w14:paraId="125E7B6D">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1437" w:type="pct"/>
            <w:vMerge w:val="continue"/>
            <w:vAlign w:val="center"/>
          </w:tcPr>
          <w:p w14:paraId="4DB1BE38">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886" w:type="pct"/>
            <w:vMerge w:val="continue"/>
            <w:vAlign w:val="center"/>
          </w:tcPr>
          <w:p w14:paraId="36DB37F8">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p>
        </w:tc>
      </w:tr>
      <w:tr w14:paraId="2EDC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634BD674">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continue"/>
            <w:vAlign w:val="center"/>
          </w:tcPr>
          <w:p w14:paraId="6F6F0AD6">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23" w:type="pct"/>
            <w:vAlign w:val="center"/>
          </w:tcPr>
          <w:p w14:paraId="11FFA6C3">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NH</w:t>
            </w:r>
            <w:r>
              <w:rPr>
                <w:rFonts w:hint="eastAsia" w:cs="Times New Roman"/>
                <w:color w:val="0D0D0D" w:themeColor="text1" w:themeTint="F2"/>
                <w:sz w:val="21"/>
                <w:vertAlign w:val="subscript"/>
                <w14:textFill>
                  <w14:solidFill>
                    <w14:schemeClr w14:val="tx1">
                      <w14:lumMod w14:val="95000"/>
                      <w14:lumOff w14:val="5000"/>
                    </w14:schemeClr>
                  </w14:solidFill>
                </w14:textFill>
              </w:rPr>
              <w:t>3</w:t>
            </w:r>
          </w:p>
        </w:tc>
        <w:tc>
          <w:tcPr>
            <w:tcW w:w="372" w:type="pct"/>
            <w:vAlign w:val="center"/>
          </w:tcPr>
          <w:p w14:paraId="17AD336D">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438" w:type="pct"/>
            <w:vAlign w:val="center"/>
          </w:tcPr>
          <w:p w14:paraId="6A9A92FE">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488" w:type="pct"/>
            <w:vAlign w:val="center"/>
          </w:tcPr>
          <w:p w14:paraId="47061588">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1437" w:type="pct"/>
            <w:vMerge w:val="continue"/>
            <w:vAlign w:val="center"/>
          </w:tcPr>
          <w:p w14:paraId="4F74D487">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886" w:type="pct"/>
            <w:vMerge w:val="restart"/>
            <w:vAlign w:val="center"/>
          </w:tcPr>
          <w:p w14:paraId="500A1BE1">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《恶臭污染物排放标准》（GB14554-1993）</w:t>
            </w:r>
          </w:p>
        </w:tc>
      </w:tr>
      <w:tr w14:paraId="2C2EA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57BF7BF2">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continue"/>
            <w:vAlign w:val="center"/>
          </w:tcPr>
          <w:p w14:paraId="6802D01F">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23" w:type="pct"/>
            <w:vAlign w:val="center"/>
          </w:tcPr>
          <w:p w14:paraId="4EF733F7">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H</w:t>
            </w:r>
            <w:r>
              <w:rPr>
                <w:rFonts w:hint="eastAsia" w:cs="Times New Roman"/>
                <w:color w:val="0D0D0D" w:themeColor="text1" w:themeTint="F2"/>
                <w:sz w:val="21"/>
                <w:vertAlign w:val="subscript"/>
                <w14:textFill>
                  <w14:solidFill>
                    <w14:schemeClr w14:val="tx1">
                      <w14:lumMod w14:val="95000"/>
                      <w14:lumOff w14:val="5000"/>
                    </w14:schemeClr>
                  </w14:solidFill>
                </w14:textFill>
              </w:rPr>
              <w:t>2</w:t>
            </w:r>
            <w:r>
              <w:rPr>
                <w:rFonts w:hint="eastAsia" w:cs="Times New Roman"/>
                <w:color w:val="0D0D0D" w:themeColor="text1" w:themeTint="F2"/>
                <w:sz w:val="21"/>
                <w14:textFill>
                  <w14:solidFill>
                    <w14:schemeClr w14:val="tx1">
                      <w14:lumMod w14:val="95000"/>
                      <w14:lumOff w14:val="5000"/>
                    </w14:schemeClr>
                  </w14:solidFill>
                </w14:textFill>
              </w:rPr>
              <w:t>S</w:t>
            </w:r>
          </w:p>
        </w:tc>
        <w:tc>
          <w:tcPr>
            <w:tcW w:w="372" w:type="pct"/>
            <w:vAlign w:val="center"/>
          </w:tcPr>
          <w:p w14:paraId="7C916A7C">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438" w:type="pct"/>
            <w:vAlign w:val="center"/>
          </w:tcPr>
          <w:p w14:paraId="71AF1C7E">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488" w:type="pct"/>
            <w:vAlign w:val="center"/>
          </w:tcPr>
          <w:p w14:paraId="65E4FAF1">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1437" w:type="pct"/>
            <w:vMerge w:val="continue"/>
            <w:vAlign w:val="center"/>
          </w:tcPr>
          <w:p w14:paraId="1C7BE26B">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886" w:type="pct"/>
            <w:vMerge w:val="continue"/>
            <w:vAlign w:val="center"/>
          </w:tcPr>
          <w:p w14:paraId="57A9E7CE">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p>
        </w:tc>
      </w:tr>
      <w:tr w14:paraId="5539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restart"/>
            <w:vAlign w:val="center"/>
          </w:tcPr>
          <w:p w14:paraId="14EAEE48">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废水</w:t>
            </w:r>
          </w:p>
        </w:tc>
        <w:tc>
          <w:tcPr>
            <w:tcW w:w="508" w:type="pct"/>
            <w:vMerge w:val="restart"/>
            <w:vAlign w:val="center"/>
          </w:tcPr>
          <w:p w14:paraId="13C3F296">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生活污水</w:t>
            </w:r>
          </w:p>
        </w:tc>
        <w:tc>
          <w:tcPr>
            <w:tcW w:w="623" w:type="pct"/>
            <w:vAlign w:val="center"/>
          </w:tcPr>
          <w:p w14:paraId="5F3E2155">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废水量</w:t>
            </w:r>
          </w:p>
        </w:tc>
        <w:tc>
          <w:tcPr>
            <w:tcW w:w="1298" w:type="pct"/>
            <w:gridSpan w:val="3"/>
            <w:vAlign w:val="center"/>
          </w:tcPr>
          <w:p w14:paraId="6D91A699">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2160m</w:t>
            </w:r>
            <w:r>
              <w:rPr>
                <w:rFonts w:hint="eastAsia" w:cs="Times New Roman"/>
                <w:color w:val="0D0D0D" w:themeColor="text1" w:themeTint="F2"/>
                <w:sz w:val="21"/>
                <w:vertAlign w:val="superscript"/>
                <w14:textFill>
                  <w14:solidFill>
                    <w14:schemeClr w14:val="tx1">
                      <w14:lumMod w14:val="95000"/>
                      <w14:lumOff w14:val="5000"/>
                    </w14:schemeClr>
                  </w14:solidFill>
                </w14:textFill>
              </w:rPr>
              <w:t>3</w:t>
            </w:r>
            <w:r>
              <w:rPr>
                <w:rFonts w:hint="eastAsia" w:cs="Times New Roman"/>
                <w:color w:val="0D0D0D" w:themeColor="text1" w:themeTint="F2"/>
                <w:sz w:val="21"/>
                <w14:textFill>
                  <w14:solidFill>
                    <w14:schemeClr w14:val="tx1">
                      <w14:lumMod w14:val="95000"/>
                      <w14:lumOff w14:val="5000"/>
                    </w14:schemeClr>
                  </w14:solidFill>
                </w14:textFill>
              </w:rPr>
              <w:t>/a</w:t>
            </w:r>
          </w:p>
        </w:tc>
        <w:tc>
          <w:tcPr>
            <w:tcW w:w="1437" w:type="pct"/>
            <w:vMerge w:val="restart"/>
            <w:vAlign w:val="center"/>
          </w:tcPr>
          <w:p w14:paraId="07B12AEE">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三级化粪池</w:t>
            </w:r>
          </w:p>
        </w:tc>
        <w:tc>
          <w:tcPr>
            <w:tcW w:w="886" w:type="pct"/>
            <w:vMerge w:val="restart"/>
            <w:vAlign w:val="center"/>
          </w:tcPr>
          <w:p w14:paraId="32C89CF1">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《石油炼制工业污染物排放标准》（GB31570-2015）和钦州胜科水务有限公司污水处理厂进水水质要求限值较严值</w:t>
            </w:r>
          </w:p>
        </w:tc>
      </w:tr>
      <w:tr w14:paraId="0737C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1C7DC4B0">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continue"/>
            <w:vAlign w:val="center"/>
          </w:tcPr>
          <w:p w14:paraId="1FEF532E">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23" w:type="pct"/>
            <w:vAlign w:val="center"/>
          </w:tcPr>
          <w:p w14:paraId="3B56CAE0">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COD</w:t>
            </w:r>
          </w:p>
        </w:tc>
        <w:tc>
          <w:tcPr>
            <w:tcW w:w="372" w:type="pct"/>
            <w:vAlign w:val="center"/>
          </w:tcPr>
          <w:p w14:paraId="0BB1D1F0">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0.086</w:t>
            </w:r>
          </w:p>
        </w:tc>
        <w:tc>
          <w:tcPr>
            <w:tcW w:w="438" w:type="pct"/>
            <w:vAlign w:val="center"/>
          </w:tcPr>
          <w:p w14:paraId="3FCFA081">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488" w:type="pct"/>
            <w:vAlign w:val="center"/>
          </w:tcPr>
          <w:p w14:paraId="1B4D572C">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180mg/L</w:t>
            </w:r>
          </w:p>
        </w:tc>
        <w:tc>
          <w:tcPr>
            <w:tcW w:w="1437" w:type="pct"/>
            <w:vMerge w:val="continue"/>
            <w:vAlign w:val="center"/>
          </w:tcPr>
          <w:p w14:paraId="0115F274">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886" w:type="pct"/>
            <w:vMerge w:val="continue"/>
            <w:vAlign w:val="center"/>
          </w:tcPr>
          <w:p w14:paraId="4202F9D9">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p>
        </w:tc>
      </w:tr>
      <w:tr w14:paraId="1806E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029B17D1">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continue"/>
            <w:vAlign w:val="center"/>
          </w:tcPr>
          <w:p w14:paraId="12ED564A">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23" w:type="pct"/>
            <w:vAlign w:val="center"/>
          </w:tcPr>
          <w:p w14:paraId="3614128D">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BOD</w:t>
            </w:r>
            <w:r>
              <w:rPr>
                <w:rFonts w:hint="eastAsia" w:cs="Times New Roman"/>
                <w:color w:val="0D0D0D" w:themeColor="text1" w:themeTint="F2"/>
                <w:sz w:val="21"/>
                <w:vertAlign w:val="subscript"/>
                <w14:textFill>
                  <w14:solidFill>
                    <w14:schemeClr w14:val="tx1">
                      <w14:lumMod w14:val="95000"/>
                      <w14:lumOff w14:val="5000"/>
                    </w14:schemeClr>
                  </w14:solidFill>
                </w14:textFill>
              </w:rPr>
              <w:t>5</w:t>
            </w:r>
          </w:p>
        </w:tc>
        <w:tc>
          <w:tcPr>
            <w:tcW w:w="372" w:type="pct"/>
            <w:vAlign w:val="center"/>
          </w:tcPr>
          <w:p w14:paraId="3B188882">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0.065</w:t>
            </w:r>
          </w:p>
        </w:tc>
        <w:tc>
          <w:tcPr>
            <w:tcW w:w="438" w:type="pct"/>
            <w:vAlign w:val="center"/>
          </w:tcPr>
          <w:p w14:paraId="3739C289">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488" w:type="pct"/>
          </w:tcPr>
          <w:p w14:paraId="3DE8DD68">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140mg/L</w:t>
            </w:r>
          </w:p>
        </w:tc>
        <w:tc>
          <w:tcPr>
            <w:tcW w:w="1437" w:type="pct"/>
            <w:vMerge w:val="continue"/>
            <w:vAlign w:val="center"/>
          </w:tcPr>
          <w:p w14:paraId="2982BE3E">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886" w:type="pct"/>
            <w:vMerge w:val="continue"/>
            <w:vAlign w:val="center"/>
          </w:tcPr>
          <w:p w14:paraId="17C913BD">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p>
        </w:tc>
      </w:tr>
      <w:tr w14:paraId="7500F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5C5F8DE9">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continue"/>
            <w:vAlign w:val="center"/>
          </w:tcPr>
          <w:p w14:paraId="58D41A2E">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23" w:type="pct"/>
            <w:vAlign w:val="center"/>
          </w:tcPr>
          <w:p w14:paraId="5BFD3E2F">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SS</w:t>
            </w:r>
          </w:p>
        </w:tc>
        <w:tc>
          <w:tcPr>
            <w:tcW w:w="372" w:type="pct"/>
            <w:vAlign w:val="center"/>
          </w:tcPr>
          <w:p w14:paraId="1D478B5C">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0.13</w:t>
            </w:r>
          </w:p>
        </w:tc>
        <w:tc>
          <w:tcPr>
            <w:tcW w:w="438" w:type="pct"/>
            <w:vAlign w:val="center"/>
          </w:tcPr>
          <w:p w14:paraId="5CBA0CAE">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488" w:type="pct"/>
          </w:tcPr>
          <w:p w14:paraId="68855B41">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80mg/L</w:t>
            </w:r>
          </w:p>
        </w:tc>
        <w:tc>
          <w:tcPr>
            <w:tcW w:w="1437" w:type="pct"/>
            <w:vMerge w:val="continue"/>
            <w:vAlign w:val="center"/>
          </w:tcPr>
          <w:p w14:paraId="5F0AC9F7">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886" w:type="pct"/>
            <w:vMerge w:val="continue"/>
            <w:vAlign w:val="center"/>
          </w:tcPr>
          <w:p w14:paraId="3BF30483">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p>
        </w:tc>
      </w:tr>
      <w:tr w14:paraId="58FEA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40559BFA">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continue"/>
            <w:vAlign w:val="center"/>
          </w:tcPr>
          <w:p w14:paraId="2F4DA475">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23" w:type="pct"/>
            <w:vAlign w:val="center"/>
          </w:tcPr>
          <w:p w14:paraId="50AADFCA">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NH</w:t>
            </w:r>
            <w:r>
              <w:rPr>
                <w:rFonts w:hint="eastAsia" w:cs="Times New Roman"/>
                <w:color w:val="0D0D0D" w:themeColor="text1" w:themeTint="F2"/>
                <w:sz w:val="21"/>
                <w:vertAlign w:val="subscript"/>
                <w14:textFill>
                  <w14:solidFill>
                    <w14:schemeClr w14:val="tx1">
                      <w14:lumMod w14:val="95000"/>
                      <w14:lumOff w14:val="5000"/>
                    </w14:schemeClr>
                  </w14:solidFill>
                </w14:textFill>
              </w:rPr>
              <w:t>3</w:t>
            </w:r>
            <w:r>
              <w:rPr>
                <w:rFonts w:hint="eastAsia" w:cs="Times New Roman"/>
                <w:color w:val="0D0D0D" w:themeColor="text1" w:themeTint="F2"/>
                <w:sz w:val="21"/>
                <w14:textFill>
                  <w14:solidFill>
                    <w14:schemeClr w14:val="tx1">
                      <w14:lumMod w14:val="95000"/>
                      <w14:lumOff w14:val="5000"/>
                    </w14:schemeClr>
                  </w14:solidFill>
                </w14:textFill>
              </w:rPr>
              <w:t>-N</w:t>
            </w:r>
          </w:p>
        </w:tc>
        <w:tc>
          <w:tcPr>
            <w:tcW w:w="372" w:type="pct"/>
            <w:vAlign w:val="center"/>
          </w:tcPr>
          <w:p w14:paraId="46582691">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0.07</w:t>
            </w:r>
          </w:p>
        </w:tc>
        <w:tc>
          <w:tcPr>
            <w:tcW w:w="438" w:type="pct"/>
            <w:vAlign w:val="center"/>
          </w:tcPr>
          <w:p w14:paraId="3ECC6EE1">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488" w:type="pct"/>
          </w:tcPr>
          <w:p w14:paraId="43C67E49">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30mg/L</w:t>
            </w:r>
          </w:p>
        </w:tc>
        <w:tc>
          <w:tcPr>
            <w:tcW w:w="1437" w:type="pct"/>
            <w:vMerge w:val="continue"/>
            <w:vAlign w:val="center"/>
          </w:tcPr>
          <w:p w14:paraId="30E79A7A">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886" w:type="pct"/>
            <w:vMerge w:val="continue"/>
            <w:vAlign w:val="center"/>
          </w:tcPr>
          <w:p w14:paraId="401DF9A3">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p>
        </w:tc>
      </w:tr>
      <w:tr w14:paraId="0AD08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4E29B343">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restart"/>
            <w:vAlign w:val="center"/>
          </w:tcPr>
          <w:p w14:paraId="30CEF55F">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综合废水</w:t>
            </w:r>
          </w:p>
        </w:tc>
        <w:tc>
          <w:tcPr>
            <w:tcW w:w="623" w:type="pct"/>
            <w:vAlign w:val="center"/>
          </w:tcPr>
          <w:p w14:paraId="0EA803CC">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废水量</w:t>
            </w:r>
          </w:p>
        </w:tc>
        <w:tc>
          <w:tcPr>
            <w:tcW w:w="1298" w:type="pct"/>
            <w:gridSpan w:val="3"/>
            <w:vAlign w:val="center"/>
          </w:tcPr>
          <w:p w14:paraId="0C143B70">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38156.44m</w:t>
            </w:r>
            <w:r>
              <w:rPr>
                <w:rFonts w:hint="eastAsia" w:cs="Times New Roman"/>
                <w:color w:val="0D0D0D" w:themeColor="text1" w:themeTint="F2"/>
                <w:sz w:val="21"/>
                <w:vertAlign w:val="superscript"/>
                <w14:textFill>
                  <w14:solidFill>
                    <w14:schemeClr w14:val="tx1">
                      <w14:lumMod w14:val="95000"/>
                      <w14:lumOff w14:val="5000"/>
                    </w14:schemeClr>
                  </w14:solidFill>
                </w14:textFill>
              </w:rPr>
              <w:t>3</w:t>
            </w:r>
            <w:r>
              <w:rPr>
                <w:rFonts w:hint="eastAsia" w:cs="Times New Roman"/>
                <w:color w:val="0D0D0D" w:themeColor="text1" w:themeTint="F2"/>
                <w:sz w:val="21"/>
                <w14:textFill>
                  <w14:solidFill>
                    <w14:schemeClr w14:val="tx1">
                      <w14:lumMod w14:val="95000"/>
                      <w14:lumOff w14:val="5000"/>
                    </w14:schemeClr>
                  </w14:solidFill>
                </w14:textFill>
              </w:rPr>
              <w:t>/a</w:t>
            </w:r>
          </w:p>
        </w:tc>
        <w:tc>
          <w:tcPr>
            <w:tcW w:w="1437" w:type="pct"/>
            <w:vMerge w:val="restart"/>
            <w:vAlign w:val="center"/>
          </w:tcPr>
          <w:p w14:paraId="7F3901DD">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隔油+气浮+混凝沉淀+调节+UASB厌氧反应器+MBR膜生物反应器</w:t>
            </w:r>
          </w:p>
        </w:tc>
        <w:tc>
          <w:tcPr>
            <w:tcW w:w="886" w:type="pct"/>
            <w:vMerge w:val="continue"/>
            <w:vAlign w:val="center"/>
          </w:tcPr>
          <w:p w14:paraId="490974BE">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p>
        </w:tc>
      </w:tr>
      <w:tr w14:paraId="04251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114F6C59">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continue"/>
            <w:vAlign w:val="center"/>
          </w:tcPr>
          <w:p w14:paraId="2EFC4B47">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23" w:type="pct"/>
            <w:vAlign w:val="center"/>
          </w:tcPr>
          <w:p w14:paraId="1FE0BE6F">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COD</w:t>
            </w:r>
          </w:p>
        </w:tc>
        <w:tc>
          <w:tcPr>
            <w:tcW w:w="372" w:type="pct"/>
            <w:vAlign w:val="center"/>
          </w:tcPr>
          <w:p w14:paraId="0BF6616C">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438" w:type="pct"/>
            <w:vAlign w:val="center"/>
          </w:tcPr>
          <w:p w14:paraId="06042F73">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488" w:type="pct"/>
            <w:vAlign w:val="center"/>
          </w:tcPr>
          <w:p w14:paraId="699CFFA1">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437" w:type="pct"/>
            <w:vMerge w:val="continue"/>
            <w:vAlign w:val="center"/>
          </w:tcPr>
          <w:p w14:paraId="4707ADD0">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886" w:type="pct"/>
            <w:vMerge w:val="continue"/>
            <w:vAlign w:val="center"/>
          </w:tcPr>
          <w:p w14:paraId="0CA3D4BD">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p>
        </w:tc>
      </w:tr>
      <w:tr w14:paraId="7F940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0680E14A">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continue"/>
            <w:vAlign w:val="center"/>
          </w:tcPr>
          <w:p w14:paraId="194F76A7">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23" w:type="pct"/>
            <w:vAlign w:val="center"/>
          </w:tcPr>
          <w:p w14:paraId="1887A2F0">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BOD</w:t>
            </w:r>
            <w:r>
              <w:rPr>
                <w:rFonts w:hint="eastAsia" w:cs="Times New Roman"/>
                <w:color w:val="0D0D0D" w:themeColor="text1" w:themeTint="F2"/>
                <w:sz w:val="21"/>
                <w:vertAlign w:val="subscript"/>
                <w14:textFill>
                  <w14:solidFill>
                    <w14:schemeClr w14:val="tx1">
                      <w14:lumMod w14:val="95000"/>
                      <w14:lumOff w14:val="5000"/>
                    </w14:schemeClr>
                  </w14:solidFill>
                </w14:textFill>
              </w:rPr>
              <w:t>5</w:t>
            </w:r>
          </w:p>
        </w:tc>
        <w:tc>
          <w:tcPr>
            <w:tcW w:w="372" w:type="pct"/>
            <w:vAlign w:val="center"/>
          </w:tcPr>
          <w:p w14:paraId="2682827E">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438" w:type="pct"/>
            <w:vAlign w:val="center"/>
          </w:tcPr>
          <w:p w14:paraId="77D4E32D">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488" w:type="pct"/>
          </w:tcPr>
          <w:p w14:paraId="3D1C3986">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437" w:type="pct"/>
            <w:vMerge w:val="continue"/>
            <w:vAlign w:val="center"/>
          </w:tcPr>
          <w:p w14:paraId="7ED78D09">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886" w:type="pct"/>
            <w:vMerge w:val="continue"/>
            <w:vAlign w:val="center"/>
          </w:tcPr>
          <w:p w14:paraId="2E4A9DCA">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p>
        </w:tc>
      </w:tr>
      <w:tr w14:paraId="3451B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5054CC34">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continue"/>
            <w:vAlign w:val="center"/>
          </w:tcPr>
          <w:p w14:paraId="602AC6B9">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23" w:type="pct"/>
            <w:vAlign w:val="center"/>
          </w:tcPr>
          <w:p w14:paraId="64168D42">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SS</w:t>
            </w:r>
          </w:p>
        </w:tc>
        <w:tc>
          <w:tcPr>
            <w:tcW w:w="372" w:type="pct"/>
            <w:vAlign w:val="center"/>
          </w:tcPr>
          <w:p w14:paraId="503605F3">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438" w:type="pct"/>
            <w:vAlign w:val="center"/>
          </w:tcPr>
          <w:p w14:paraId="438F2779">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488" w:type="pct"/>
          </w:tcPr>
          <w:p w14:paraId="65EA31E2">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437" w:type="pct"/>
            <w:vMerge w:val="continue"/>
            <w:vAlign w:val="center"/>
          </w:tcPr>
          <w:p w14:paraId="64889EA4">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886" w:type="pct"/>
            <w:vMerge w:val="continue"/>
            <w:vAlign w:val="center"/>
          </w:tcPr>
          <w:p w14:paraId="683AD6DD">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p>
        </w:tc>
      </w:tr>
      <w:tr w14:paraId="73CEE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3B42044D">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continue"/>
            <w:vAlign w:val="center"/>
          </w:tcPr>
          <w:p w14:paraId="6EABC527">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23" w:type="pct"/>
            <w:vAlign w:val="center"/>
          </w:tcPr>
          <w:p w14:paraId="4EB75870">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NH</w:t>
            </w:r>
            <w:r>
              <w:rPr>
                <w:rFonts w:hint="eastAsia" w:cs="Times New Roman"/>
                <w:color w:val="0D0D0D" w:themeColor="text1" w:themeTint="F2"/>
                <w:sz w:val="21"/>
                <w:vertAlign w:val="subscript"/>
                <w14:textFill>
                  <w14:solidFill>
                    <w14:schemeClr w14:val="tx1">
                      <w14:lumMod w14:val="95000"/>
                      <w14:lumOff w14:val="5000"/>
                    </w14:schemeClr>
                  </w14:solidFill>
                </w14:textFill>
              </w:rPr>
              <w:t>3</w:t>
            </w:r>
            <w:r>
              <w:rPr>
                <w:rFonts w:hint="eastAsia" w:cs="Times New Roman"/>
                <w:color w:val="0D0D0D" w:themeColor="text1" w:themeTint="F2"/>
                <w:sz w:val="21"/>
                <w14:textFill>
                  <w14:solidFill>
                    <w14:schemeClr w14:val="tx1">
                      <w14:lumMod w14:val="95000"/>
                      <w14:lumOff w14:val="5000"/>
                    </w14:schemeClr>
                  </w14:solidFill>
                </w14:textFill>
              </w:rPr>
              <w:t>-N</w:t>
            </w:r>
          </w:p>
        </w:tc>
        <w:tc>
          <w:tcPr>
            <w:tcW w:w="372" w:type="pct"/>
            <w:vAlign w:val="center"/>
          </w:tcPr>
          <w:p w14:paraId="6AC8907C">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438" w:type="pct"/>
            <w:vAlign w:val="center"/>
          </w:tcPr>
          <w:p w14:paraId="2B5BD00C">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488" w:type="pct"/>
          </w:tcPr>
          <w:p w14:paraId="7C491E85">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437" w:type="pct"/>
            <w:vMerge w:val="continue"/>
            <w:vAlign w:val="center"/>
          </w:tcPr>
          <w:p w14:paraId="1C24BD12">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886" w:type="pct"/>
            <w:vMerge w:val="continue"/>
            <w:vAlign w:val="center"/>
          </w:tcPr>
          <w:p w14:paraId="48760C9E">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p>
        </w:tc>
      </w:tr>
      <w:tr w14:paraId="6E782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55D9DA2F">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continue"/>
            <w:vAlign w:val="center"/>
          </w:tcPr>
          <w:p w14:paraId="219412DF">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23" w:type="pct"/>
            <w:vAlign w:val="center"/>
          </w:tcPr>
          <w:p w14:paraId="48A4A7AA">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动植物油</w:t>
            </w:r>
          </w:p>
        </w:tc>
        <w:tc>
          <w:tcPr>
            <w:tcW w:w="372" w:type="pct"/>
            <w:vAlign w:val="center"/>
          </w:tcPr>
          <w:p w14:paraId="6FC0F681">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438" w:type="pct"/>
            <w:vAlign w:val="center"/>
          </w:tcPr>
          <w:p w14:paraId="58BD9338">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488" w:type="pct"/>
            <w:vAlign w:val="center"/>
          </w:tcPr>
          <w:p w14:paraId="7BC5BBF5">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437" w:type="pct"/>
            <w:vMerge w:val="continue"/>
            <w:vAlign w:val="center"/>
          </w:tcPr>
          <w:p w14:paraId="6BC8A66E">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886" w:type="pct"/>
            <w:vMerge w:val="continue"/>
            <w:vAlign w:val="center"/>
          </w:tcPr>
          <w:p w14:paraId="0BA5B0B1">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p>
        </w:tc>
      </w:tr>
      <w:tr w14:paraId="46289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Align w:val="center"/>
          </w:tcPr>
          <w:p w14:paraId="34207EE9">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噪声</w:t>
            </w:r>
          </w:p>
        </w:tc>
        <w:tc>
          <w:tcPr>
            <w:tcW w:w="508" w:type="pct"/>
            <w:vAlign w:val="center"/>
          </w:tcPr>
          <w:p w14:paraId="5DB18D54">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生产设备</w:t>
            </w:r>
          </w:p>
        </w:tc>
        <w:tc>
          <w:tcPr>
            <w:tcW w:w="623" w:type="pct"/>
            <w:vAlign w:val="center"/>
          </w:tcPr>
          <w:p w14:paraId="7F87C3CD">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运行噪声</w:t>
            </w:r>
          </w:p>
        </w:tc>
        <w:tc>
          <w:tcPr>
            <w:tcW w:w="1298" w:type="pct"/>
            <w:gridSpan w:val="3"/>
            <w:vAlign w:val="center"/>
          </w:tcPr>
          <w:p w14:paraId="166F8C15">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70～85dB(A）</w:t>
            </w:r>
          </w:p>
        </w:tc>
        <w:tc>
          <w:tcPr>
            <w:tcW w:w="1437" w:type="pct"/>
            <w:vAlign w:val="center"/>
          </w:tcPr>
          <w:p w14:paraId="505DB7CD">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基础减振、墙体阻隔等</w:t>
            </w:r>
          </w:p>
        </w:tc>
        <w:tc>
          <w:tcPr>
            <w:tcW w:w="886" w:type="pct"/>
            <w:vAlign w:val="center"/>
          </w:tcPr>
          <w:p w14:paraId="366119D3">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《工业企业厂界环境噪声排放标准》（GB12348-2008）3类标准</w:t>
            </w:r>
          </w:p>
        </w:tc>
      </w:tr>
      <w:tr w14:paraId="7413C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restart"/>
            <w:vAlign w:val="center"/>
          </w:tcPr>
          <w:p w14:paraId="1D7B246E">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固体废物</w:t>
            </w:r>
          </w:p>
        </w:tc>
        <w:tc>
          <w:tcPr>
            <w:tcW w:w="508" w:type="pct"/>
            <w:vMerge w:val="restart"/>
            <w:vAlign w:val="center"/>
          </w:tcPr>
          <w:p w14:paraId="18315007">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一般固废</w:t>
            </w:r>
          </w:p>
        </w:tc>
        <w:tc>
          <w:tcPr>
            <w:tcW w:w="623" w:type="pct"/>
            <w:vAlign w:val="center"/>
          </w:tcPr>
          <w:p w14:paraId="36D7DBA2">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废包装物</w:t>
            </w:r>
          </w:p>
        </w:tc>
        <w:tc>
          <w:tcPr>
            <w:tcW w:w="372" w:type="pct"/>
            <w:vAlign w:val="center"/>
          </w:tcPr>
          <w:p w14:paraId="1211AD72">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w:t>
            </w:r>
          </w:p>
        </w:tc>
        <w:tc>
          <w:tcPr>
            <w:tcW w:w="438" w:type="pct"/>
            <w:vAlign w:val="center"/>
          </w:tcPr>
          <w:p w14:paraId="4B37AEDA">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488" w:type="pct"/>
            <w:vAlign w:val="center"/>
          </w:tcPr>
          <w:p w14:paraId="323BC321">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1437" w:type="pct"/>
            <w:vMerge w:val="restart"/>
            <w:vAlign w:val="center"/>
          </w:tcPr>
          <w:p w14:paraId="39B98BFA">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外售第三方单位</w:t>
            </w:r>
          </w:p>
        </w:tc>
        <w:tc>
          <w:tcPr>
            <w:tcW w:w="886" w:type="pct"/>
            <w:vMerge w:val="restart"/>
            <w:vAlign w:val="center"/>
          </w:tcPr>
          <w:p w14:paraId="1E3BB822">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r>
      <w:tr w14:paraId="22339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420B993C">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continue"/>
            <w:vAlign w:val="center"/>
          </w:tcPr>
          <w:p w14:paraId="520262E5">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23" w:type="pct"/>
            <w:vAlign w:val="center"/>
          </w:tcPr>
          <w:p w14:paraId="4098CBB3">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废白土</w:t>
            </w:r>
          </w:p>
        </w:tc>
        <w:tc>
          <w:tcPr>
            <w:tcW w:w="372" w:type="pct"/>
            <w:vAlign w:val="center"/>
          </w:tcPr>
          <w:p w14:paraId="40CB6A12">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w:t>
            </w:r>
          </w:p>
        </w:tc>
        <w:tc>
          <w:tcPr>
            <w:tcW w:w="438" w:type="pct"/>
            <w:vAlign w:val="center"/>
          </w:tcPr>
          <w:p w14:paraId="56B0F86C">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488" w:type="pct"/>
            <w:vAlign w:val="center"/>
          </w:tcPr>
          <w:p w14:paraId="5E3736CD">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437" w:type="pct"/>
            <w:vMerge w:val="continue"/>
            <w:vAlign w:val="center"/>
          </w:tcPr>
          <w:p w14:paraId="073E4213">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886" w:type="pct"/>
            <w:vMerge w:val="continue"/>
            <w:vAlign w:val="center"/>
          </w:tcPr>
          <w:p w14:paraId="7A798015">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p>
        </w:tc>
      </w:tr>
      <w:tr w14:paraId="5AB56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34D37BE6">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continue"/>
            <w:vAlign w:val="center"/>
          </w:tcPr>
          <w:p w14:paraId="3044F24F">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23" w:type="pct"/>
            <w:vAlign w:val="center"/>
          </w:tcPr>
          <w:p w14:paraId="60108CAD">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废渣</w:t>
            </w:r>
          </w:p>
        </w:tc>
        <w:tc>
          <w:tcPr>
            <w:tcW w:w="372" w:type="pct"/>
            <w:vAlign w:val="center"/>
          </w:tcPr>
          <w:p w14:paraId="75F1A9BA">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w:t>
            </w:r>
          </w:p>
        </w:tc>
        <w:tc>
          <w:tcPr>
            <w:tcW w:w="438" w:type="pct"/>
            <w:vAlign w:val="center"/>
          </w:tcPr>
          <w:p w14:paraId="53093F74">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488" w:type="pct"/>
            <w:vAlign w:val="center"/>
          </w:tcPr>
          <w:p w14:paraId="24D41AC9">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1437" w:type="pct"/>
            <w:vMerge w:val="continue"/>
            <w:vAlign w:val="center"/>
          </w:tcPr>
          <w:p w14:paraId="78145C18">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886" w:type="pct"/>
            <w:vMerge w:val="continue"/>
            <w:vAlign w:val="center"/>
          </w:tcPr>
          <w:p w14:paraId="401E0512">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r>
      <w:tr w14:paraId="35169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7BAC59D2">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continue"/>
            <w:vAlign w:val="center"/>
          </w:tcPr>
          <w:p w14:paraId="1DFEBE82">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23" w:type="pct"/>
            <w:vAlign w:val="center"/>
          </w:tcPr>
          <w:p w14:paraId="50DF4662">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污泥</w:t>
            </w:r>
          </w:p>
        </w:tc>
        <w:tc>
          <w:tcPr>
            <w:tcW w:w="372" w:type="pct"/>
            <w:vAlign w:val="center"/>
          </w:tcPr>
          <w:p w14:paraId="209C108B">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w:t>
            </w:r>
          </w:p>
        </w:tc>
        <w:tc>
          <w:tcPr>
            <w:tcW w:w="438" w:type="pct"/>
            <w:vAlign w:val="center"/>
          </w:tcPr>
          <w:p w14:paraId="1E337067">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488" w:type="pct"/>
            <w:vAlign w:val="center"/>
          </w:tcPr>
          <w:p w14:paraId="366BD2F8">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1437" w:type="pct"/>
            <w:vAlign w:val="center"/>
          </w:tcPr>
          <w:p w14:paraId="61894CBB">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污泥处置单位处置</w:t>
            </w:r>
          </w:p>
        </w:tc>
        <w:tc>
          <w:tcPr>
            <w:tcW w:w="886" w:type="pct"/>
            <w:vMerge w:val="continue"/>
            <w:vAlign w:val="center"/>
          </w:tcPr>
          <w:p w14:paraId="6B519D90">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r>
      <w:tr w14:paraId="0228E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5BDEEDEC">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continue"/>
            <w:vAlign w:val="center"/>
          </w:tcPr>
          <w:p w14:paraId="125A52E6">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23" w:type="pct"/>
            <w:vAlign w:val="center"/>
          </w:tcPr>
          <w:p w14:paraId="2E2B0511">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废MBR膜</w:t>
            </w:r>
          </w:p>
        </w:tc>
        <w:tc>
          <w:tcPr>
            <w:tcW w:w="372" w:type="pct"/>
            <w:vAlign w:val="center"/>
          </w:tcPr>
          <w:p w14:paraId="436E29E7">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w:t>
            </w:r>
          </w:p>
        </w:tc>
        <w:tc>
          <w:tcPr>
            <w:tcW w:w="438" w:type="pct"/>
            <w:vAlign w:val="center"/>
          </w:tcPr>
          <w:p w14:paraId="744A5CC1">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488" w:type="pct"/>
            <w:vAlign w:val="center"/>
          </w:tcPr>
          <w:p w14:paraId="63D55026">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437" w:type="pct"/>
            <w:vAlign w:val="center"/>
          </w:tcPr>
          <w:p w14:paraId="09709B59">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厂家回收</w:t>
            </w:r>
          </w:p>
        </w:tc>
        <w:tc>
          <w:tcPr>
            <w:tcW w:w="886" w:type="pct"/>
            <w:vMerge w:val="continue"/>
            <w:vAlign w:val="center"/>
          </w:tcPr>
          <w:p w14:paraId="40045B22">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r>
      <w:tr w14:paraId="5CBE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6CD7A33B">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continue"/>
            <w:vAlign w:val="center"/>
          </w:tcPr>
          <w:p w14:paraId="279DF0BE">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23" w:type="pct"/>
            <w:vAlign w:val="center"/>
          </w:tcPr>
          <w:p w14:paraId="7129687C">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除尘器收集粉尘</w:t>
            </w:r>
          </w:p>
        </w:tc>
        <w:tc>
          <w:tcPr>
            <w:tcW w:w="372" w:type="pct"/>
            <w:vAlign w:val="center"/>
          </w:tcPr>
          <w:p w14:paraId="5C9A577A">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w:t>
            </w:r>
          </w:p>
        </w:tc>
        <w:tc>
          <w:tcPr>
            <w:tcW w:w="438" w:type="pct"/>
            <w:vAlign w:val="center"/>
          </w:tcPr>
          <w:p w14:paraId="281ADC08">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488" w:type="pct"/>
            <w:vAlign w:val="center"/>
          </w:tcPr>
          <w:p w14:paraId="2977EA49">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1437" w:type="pct"/>
            <w:vMerge w:val="restart"/>
            <w:vAlign w:val="center"/>
          </w:tcPr>
          <w:p w14:paraId="7863C204">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外售第三方单位</w:t>
            </w:r>
          </w:p>
        </w:tc>
        <w:tc>
          <w:tcPr>
            <w:tcW w:w="886" w:type="pct"/>
            <w:vMerge w:val="continue"/>
            <w:vAlign w:val="center"/>
          </w:tcPr>
          <w:p w14:paraId="261708F1">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r>
      <w:tr w14:paraId="46FBC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55362C2B">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continue"/>
            <w:vAlign w:val="center"/>
          </w:tcPr>
          <w:p w14:paraId="1A495B05">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23" w:type="pct"/>
            <w:vAlign w:val="center"/>
          </w:tcPr>
          <w:p w14:paraId="0B3589CA">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炉渣</w:t>
            </w:r>
          </w:p>
        </w:tc>
        <w:tc>
          <w:tcPr>
            <w:tcW w:w="372" w:type="pct"/>
            <w:vAlign w:val="center"/>
          </w:tcPr>
          <w:p w14:paraId="1FF3BBFD">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w:t>
            </w:r>
          </w:p>
        </w:tc>
        <w:tc>
          <w:tcPr>
            <w:tcW w:w="438" w:type="pct"/>
            <w:vAlign w:val="center"/>
          </w:tcPr>
          <w:p w14:paraId="647F95D3">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488" w:type="pct"/>
            <w:vAlign w:val="center"/>
          </w:tcPr>
          <w:p w14:paraId="0DA3B358">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1437" w:type="pct"/>
            <w:vMerge w:val="continue"/>
            <w:vAlign w:val="center"/>
          </w:tcPr>
          <w:p w14:paraId="5C23FBD4">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886" w:type="pct"/>
            <w:vMerge w:val="continue"/>
            <w:vAlign w:val="center"/>
          </w:tcPr>
          <w:p w14:paraId="6B80CB14">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r>
      <w:tr w14:paraId="2C7D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4CBE666B">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continue"/>
            <w:vAlign w:val="center"/>
          </w:tcPr>
          <w:p w14:paraId="3F6BE8FE">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23" w:type="pct"/>
            <w:vAlign w:val="center"/>
          </w:tcPr>
          <w:p w14:paraId="29D6351C">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废离子交换树脂</w:t>
            </w:r>
          </w:p>
        </w:tc>
        <w:tc>
          <w:tcPr>
            <w:tcW w:w="372" w:type="pct"/>
            <w:vAlign w:val="center"/>
          </w:tcPr>
          <w:p w14:paraId="19C04F09">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w:t>
            </w:r>
          </w:p>
        </w:tc>
        <w:tc>
          <w:tcPr>
            <w:tcW w:w="438" w:type="pct"/>
            <w:vAlign w:val="center"/>
          </w:tcPr>
          <w:p w14:paraId="01A4DA46">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488" w:type="pct"/>
            <w:vAlign w:val="center"/>
          </w:tcPr>
          <w:p w14:paraId="2C566647">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1437" w:type="pct"/>
            <w:vAlign w:val="center"/>
          </w:tcPr>
          <w:p w14:paraId="099E8A23">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厂家回收</w:t>
            </w:r>
          </w:p>
        </w:tc>
        <w:tc>
          <w:tcPr>
            <w:tcW w:w="886" w:type="pct"/>
            <w:vMerge w:val="continue"/>
            <w:vAlign w:val="center"/>
          </w:tcPr>
          <w:p w14:paraId="2226259D">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r>
      <w:tr w14:paraId="56B4B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204B7AFA">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restart"/>
            <w:vAlign w:val="center"/>
          </w:tcPr>
          <w:p w14:paraId="0AB981EC">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危险废物</w:t>
            </w:r>
          </w:p>
        </w:tc>
        <w:tc>
          <w:tcPr>
            <w:tcW w:w="623" w:type="pct"/>
            <w:vAlign w:val="center"/>
          </w:tcPr>
          <w:p w14:paraId="09B9E316">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废导热油</w:t>
            </w:r>
          </w:p>
        </w:tc>
        <w:tc>
          <w:tcPr>
            <w:tcW w:w="372" w:type="pct"/>
            <w:vAlign w:val="center"/>
          </w:tcPr>
          <w:p w14:paraId="3B49827F">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w:t>
            </w:r>
          </w:p>
        </w:tc>
        <w:tc>
          <w:tcPr>
            <w:tcW w:w="438" w:type="pct"/>
            <w:vAlign w:val="center"/>
          </w:tcPr>
          <w:p w14:paraId="0E200683">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488" w:type="pct"/>
            <w:vAlign w:val="center"/>
          </w:tcPr>
          <w:p w14:paraId="7DA68C94">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1437" w:type="pct"/>
            <w:vAlign w:val="center"/>
          </w:tcPr>
          <w:p w14:paraId="796C046C">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委托有资质单位清运处置</w:t>
            </w:r>
          </w:p>
        </w:tc>
        <w:tc>
          <w:tcPr>
            <w:tcW w:w="886" w:type="pct"/>
            <w:vMerge w:val="restart"/>
            <w:vAlign w:val="center"/>
          </w:tcPr>
          <w:p w14:paraId="3FF28A69">
            <w:pPr>
              <w:autoSpaceDE w:val="0"/>
              <w:autoSpaceDN w:val="0"/>
              <w:adjustRightInd w:val="0"/>
              <w:spacing w:line="240" w:lineRule="auto"/>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《危险废物贮存污染控制标准》（GB18597-2023）</w:t>
            </w:r>
          </w:p>
        </w:tc>
      </w:tr>
      <w:tr w14:paraId="3373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7671E9BE">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continue"/>
            <w:vAlign w:val="center"/>
          </w:tcPr>
          <w:p w14:paraId="0B211623">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23" w:type="pct"/>
            <w:vAlign w:val="center"/>
          </w:tcPr>
          <w:p w14:paraId="0F5AF6CA">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废机油</w:t>
            </w:r>
          </w:p>
        </w:tc>
        <w:tc>
          <w:tcPr>
            <w:tcW w:w="372" w:type="pct"/>
            <w:vAlign w:val="center"/>
          </w:tcPr>
          <w:p w14:paraId="2FBA4E18">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w:t>
            </w:r>
          </w:p>
        </w:tc>
        <w:tc>
          <w:tcPr>
            <w:tcW w:w="438" w:type="pct"/>
            <w:vAlign w:val="center"/>
          </w:tcPr>
          <w:p w14:paraId="1952B6BA">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488" w:type="pct"/>
            <w:vAlign w:val="center"/>
          </w:tcPr>
          <w:p w14:paraId="1538C667">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1437" w:type="pct"/>
            <w:vMerge w:val="restart"/>
            <w:vAlign w:val="center"/>
          </w:tcPr>
          <w:p w14:paraId="3E20262C">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委托有资质单位清运处置</w:t>
            </w:r>
          </w:p>
        </w:tc>
        <w:tc>
          <w:tcPr>
            <w:tcW w:w="886" w:type="pct"/>
            <w:vMerge w:val="continue"/>
            <w:vAlign w:val="center"/>
          </w:tcPr>
          <w:p w14:paraId="72654E22">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r>
      <w:tr w14:paraId="75B6E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6B6871BB">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continue"/>
            <w:vAlign w:val="center"/>
          </w:tcPr>
          <w:p w14:paraId="20E00953">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23" w:type="pct"/>
            <w:vAlign w:val="center"/>
          </w:tcPr>
          <w:p w14:paraId="4DD26854">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废含油抹布</w:t>
            </w:r>
          </w:p>
        </w:tc>
        <w:tc>
          <w:tcPr>
            <w:tcW w:w="372" w:type="pct"/>
            <w:vAlign w:val="center"/>
          </w:tcPr>
          <w:p w14:paraId="1BF93AAE">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w:t>
            </w:r>
          </w:p>
        </w:tc>
        <w:tc>
          <w:tcPr>
            <w:tcW w:w="438" w:type="pct"/>
            <w:vAlign w:val="center"/>
          </w:tcPr>
          <w:p w14:paraId="434CE8B9">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488" w:type="pct"/>
            <w:vAlign w:val="center"/>
          </w:tcPr>
          <w:p w14:paraId="7888CDEE">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1437" w:type="pct"/>
            <w:vMerge w:val="continue"/>
            <w:vAlign w:val="center"/>
          </w:tcPr>
          <w:p w14:paraId="335123AA">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886" w:type="pct"/>
            <w:vMerge w:val="continue"/>
            <w:vAlign w:val="center"/>
          </w:tcPr>
          <w:p w14:paraId="4AD20281">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r>
      <w:tr w14:paraId="5816F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060427D1">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continue"/>
            <w:vAlign w:val="center"/>
          </w:tcPr>
          <w:p w14:paraId="687822C3">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23" w:type="pct"/>
            <w:vAlign w:val="center"/>
          </w:tcPr>
          <w:p w14:paraId="63DA88A0">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废油桶</w:t>
            </w:r>
          </w:p>
        </w:tc>
        <w:tc>
          <w:tcPr>
            <w:tcW w:w="372" w:type="pct"/>
            <w:vAlign w:val="center"/>
          </w:tcPr>
          <w:p w14:paraId="51B850A5">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w:t>
            </w:r>
          </w:p>
        </w:tc>
        <w:tc>
          <w:tcPr>
            <w:tcW w:w="438" w:type="pct"/>
            <w:vAlign w:val="center"/>
          </w:tcPr>
          <w:p w14:paraId="26FAA0B6">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488" w:type="pct"/>
            <w:vAlign w:val="center"/>
          </w:tcPr>
          <w:p w14:paraId="77F426A1">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1437" w:type="pct"/>
            <w:vMerge w:val="continue"/>
            <w:vAlign w:val="center"/>
          </w:tcPr>
          <w:p w14:paraId="6C7AD763">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886" w:type="pct"/>
            <w:vMerge w:val="continue"/>
            <w:vAlign w:val="center"/>
          </w:tcPr>
          <w:p w14:paraId="3FA5D631">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r>
      <w:tr w14:paraId="5C141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053E9DDF">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continue"/>
            <w:vAlign w:val="center"/>
          </w:tcPr>
          <w:p w14:paraId="4E3B2A56">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23" w:type="pct"/>
            <w:vAlign w:val="center"/>
          </w:tcPr>
          <w:p w14:paraId="4ED3F32B">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化验室废液</w:t>
            </w:r>
          </w:p>
        </w:tc>
        <w:tc>
          <w:tcPr>
            <w:tcW w:w="372" w:type="pct"/>
            <w:vAlign w:val="center"/>
          </w:tcPr>
          <w:p w14:paraId="34248EDD">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w:t>
            </w:r>
          </w:p>
        </w:tc>
        <w:tc>
          <w:tcPr>
            <w:tcW w:w="438" w:type="pct"/>
            <w:vAlign w:val="center"/>
          </w:tcPr>
          <w:p w14:paraId="798990BE">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488" w:type="pct"/>
            <w:vAlign w:val="center"/>
          </w:tcPr>
          <w:p w14:paraId="2D82CEC6">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1437" w:type="pct"/>
            <w:vMerge w:val="continue"/>
            <w:vAlign w:val="center"/>
          </w:tcPr>
          <w:p w14:paraId="0E433E40">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886" w:type="pct"/>
            <w:vMerge w:val="continue"/>
            <w:vAlign w:val="center"/>
          </w:tcPr>
          <w:p w14:paraId="44B7D931">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r>
      <w:tr w14:paraId="653D3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20BD31AB">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Merge w:val="continue"/>
            <w:vAlign w:val="center"/>
          </w:tcPr>
          <w:p w14:paraId="15272D7D">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623" w:type="pct"/>
            <w:vAlign w:val="center"/>
          </w:tcPr>
          <w:p w14:paraId="1B08C903">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废催化剂</w:t>
            </w:r>
          </w:p>
        </w:tc>
        <w:tc>
          <w:tcPr>
            <w:tcW w:w="372" w:type="pct"/>
            <w:vAlign w:val="center"/>
          </w:tcPr>
          <w:p w14:paraId="3B143F33">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w:t>
            </w:r>
          </w:p>
        </w:tc>
        <w:tc>
          <w:tcPr>
            <w:tcW w:w="438" w:type="pct"/>
            <w:vAlign w:val="center"/>
          </w:tcPr>
          <w:p w14:paraId="12C94978">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488" w:type="pct"/>
            <w:vAlign w:val="center"/>
          </w:tcPr>
          <w:p w14:paraId="4F142E13">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1437" w:type="pct"/>
            <w:vMerge w:val="continue"/>
            <w:vAlign w:val="center"/>
          </w:tcPr>
          <w:p w14:paraId="5438728E">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886" w:type="pct"/>
            <w:vMerge w:val="continue"/>
            <w:vAlign w:val="center"/>
          </w:tcPr>
          <w:p w14:paraId="148FA1C2">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r>
      <w:tr w14:paraId="2DCB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14:paraId="091B7E90">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p>
        </w:tc>
        <w:tc>
          <w:tcPr>
            <w:tcW w:w="508" w:type="pct"/>
            <w:vAlign w:val="center"/>
          </w:tcPr>
          <w:p w14:paraId="7ED30624">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生活垃圾</w:t>
            </w:r>
          </w:p>
        </w:tc>
        <w:tc>
          <w:tcPr>
            <w:tcW w:w="623" w:type="pct"/>
            <w:vAlign w:val="center"/>
          </w:tcPr>
          <w:p w14:paraId="009F9D40">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生活垃圾</w:t>
            </w:r>
          </w:p>
        </w:tc>
        <w:tc>
          <w:tcPr>
            <w:tcW w:w="372" w:type="pct"/>
            <w:vAlign w:val="center"/>
          </w:tcPr>
          <w:p w14:paraId="066051A2">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0</w:t>
            </w:r>
          </w:p>
        </w:tc>
        <w:tc>
          <w:tcPr>
            <w:tcW w:w="438" w:type="pct"/>
            <w:vAlign w:val="center"/>
          </w:tcPr>
          <w:p w14:paraId="38285BDE">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488" w:type="pct"/>
            <w:vAlign w:val="center"/>
          </w:tcPr>
          <w:p w14:paraId="7F591278">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c>
          <w:tcPr>
            <w:tcW w:w="1437" w:type="pct"/>
            <w:vAlign w:val="center"/>
          </w:tcPr>
          <w:p w14:paraId="172676BD">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环卫部门清运</w:t>
            </w:r>
          </w:p>
        </w:tc>
        <w:tc>
          <w:tcPr>
            <w:tcW w:w="886" w:type="pct"/>
            <w:vAlign w:val="center"/>
          </w:tcPr>
          <w:p w14:paraId="39A5EEED">
            <w:pPr>
              <w:autoSpaceDE w:val="0"/>
              <w:autoSpaceDN w:val="0"/>
              <w:adjustRightInd w:val="0"/>
              <w:spacing w:line="240" w:lineRule="auto"/>
              <w:jc w:val="center"/>
              <w:rPr>
                <w:rFonts w:cs="Times New Roman"/>
                <w:color w:val="0D0D0D" w:themeColor="text1" w:themeTint="F2"/>
                <w:sz w:val="21"/>
                <w14:textFill>
                  <w14:solidFill>
                    <w14:schemeClr w14:val="tx1">
                      <w14:lumMod w14:val="95000"/>
                      <w14:lumOff w14:val="5000"/>
                    </w14:schemeClr>
                  </w14:solidFill>
                </w14:textFill>
              </w:rPr>
            </w:pPr>
            <w:r>
              <w:rPr>
                <w:rFonts w:hint="eastAsia" w:cs="Times New Roman"/>
                <w:color w:val="0D0D0D" w:themeColor="text1" w:themeTint="F2"/>
                <w:sz w:val="21"/>
                <w14:textFill>
                  <w14:solidFill>
                    <w14:schemeClr w14:val="tx1">
                      <w14:lumMod w14:val="95000"/>
                      <w14:lumOff w14:val="5000"/>
                    </w14:schemeClr>
                  </w14:solidFill>
                </w14:textFill>
              </w:rPr>
              <w:t>/</w:t>
            </w:r>
          </w:p>
        </w:tc>
      </w:tr>
    </w:tbl>
    <w:p w14:paraId="668FF681">
      <w:pPr>
        <w:rPr>
          <w:color w:val="0D0D0D" w:themeColor="text1" w:themeTint="F2"/>
          <w14:textFill>
            <w14:solidFill>
              <w14:schemeClr w14:val="tx1">
                <w14:lumMod w14:val="95000"/>
                <w14:lumOff w14:val="5000"/>
              </w14:schemeClr>
            </w14:solidFill>
          </w14:textFill>
        </w:rPr>
      </w:pPr>
    </w:p>
    <w:p w14:paraId="452E3E90">
      <w:pPr>
        <w:rPr>
          <w:color w:val="0D0D0D" w:themeColor="text1" w:themeTint="F2"/>
          <w14:textFill>
            <w14:solidFill>
              <w14:schemeClr w14:val="tx1">
                <w14:lumMod w14:val="95000"/>
                <w14:lumOff w14:val="5000"/>
              </w14:schemeClr>
            </w14:solidFill>
          </w14:textFill>
        </w:rPr>
      </w:pPr>
    </w:p>
    <w:p w14:paraId="6B4AE851">
      <w:pPr>
        <w:pStyle w:val="9"/>
        <w:sectPr>
          <w:pgSz w:w="16838" w:h="11906" w:orient="landscape"/>
          <w:pgMar w:top="1440" w:right="1440" w:bottom="1440" w:left="1440" w:header="851" w:footer="992" w:gutter="0"/>
          <w:cols w:space="425" w:num="1"/>
          <w:docGrid w:type="linesAndChars" w:linePitch="312" w:charSpace="0"/>
        </w:sectPr>
      </w:pPr>
    </w:p>
    <w:p w14:paraId="3A92028D">
      <w:pPr>
        <w:pStyle w:val="9"/>
      </w:pPr>
      <w:bookmarkStart w:id="250" w:name="_Toc204062701"/>
      <w:r>
        <w:rPr>
          <w:rFonts w:hint="eastAsia"/>
        </w:rPr>
        <w:t>污染物排放总量</w:t>
      </w:r>
      <w:bookmarkEnd w:id="250"/>
    </w:p>
    <w:p w14:paraId="4ABF669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根据《关于做好“十四五”主要污染物总量减排工作的通知》（环办综合函〔2021〕323号），“十四五”时期，国家明确列入减排的主要污染物为化学需氧量、氨氮、氮氧化物、挥发性有机物四项。</w:t>
      </w:r>
    </w:p>
    <w:p w14:paraId="5B6333AA">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项目外排废水已纳入钦州胜科水务有限公司污水处理厂，因此无需单独申请化学需氧量、氨氮的总量控制指标。</w:t>
      </w:r>
    </w:p>
    <w:p w14:paraId="1A639261">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项目废气主要污染物为：甲醇、非甲烷总烃、颗粒物、氮氧化物、二氧化硫等，因此需申请氮氧化物、挥发性有机物的总量控制指标，其中氮氧化物为21.72t/a，VOC为13.57t/a。</w:t>
      </w:r>
    </w:p>
    <w:p w14:paraId="0A32EDF6">
      <w:pPr>
        <w:pStyle w:val="9"/>
      </w:pPr>
      <w:bookmarkStart w:id="251" w:name="_Toc204062702"/>
      <w:r>
        <w:rPr>
          <w:rFonts w:hint="eastAsia"/>
        </w:rPr>
        <w:t>排污口规范化管理</w:t>
      </w:r>
      <w:bookmarkEnd w:id="251"/>
    </w:p>
    <w:p w14:paraId="4DAE7D9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排污口规范化整治技术要求（试行）》（环监〔1996〕470号），项目建设的同时应进行排污口规范化工作，以促进企业加强经营管理和污染治理，实现污染物排放的科学化、定量化管理。排污口规范化整治应遵循便于采集样品，便于计量监测，便于日常现场监督检查的原则。</w:t>
      </w:r>
    </w:p>
    <w:p w14:paraId="3A14138B">
      <w:pPr>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（1）</w:t>
      </w:r>
      <w:r>
        <w:rPr>
          <w:rFonts w:hint="eastAsia"/>
          <w:color w:val="0D0D0D" w:themeColor="text1" w:themeTint="F2"/>
          <w14:textFill>
            <w14:solidFill>
              <w14:schemeClr w14:val="tx1">
                <w14:lumMod w14:val="95000"/>
                <w14:lumOff w14:val="5000"/>
              </w14:schemeClr>
            </w14:solidFill>
          </w14:textFill>
        </w:rPr>
        <w:t>废水排放口</w:t>
      </w:r>
    </w:p>
    <w:p w14:paraId="2F3E9C9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排污口规范化整治技术要求（试行）》（环监〔1996〕470号），项目建设的同时应进行排污口规范化工作，按照《污染源监测技术规范》设置采样点，如：工厂总排放口、排放一类污染物的车间排放口，污水处理设施的进水和出水口等；应设置规范的、便于测量流量、流速的测流段；列入重点整治的污水排放口应安装流量计；一般污水排污口可安装三角堰、矩形堰、测流槽等测流装置或其他计量装置。</w:t>
      </w:r>
    </w:p>
    <w:p w14:paraId="100AA95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污染源自动监控设施及平台的布置根据《关于加快重点行业重点地区的重点排污单位自动监控工作的通知》（环办环监〔2017〕61号）中附件1（污染源自动监测设备安装建设技术要求）相关要求安装建设。</w:t>
      </w:r>
    </w:p>
    <w:p w14:paraId="04106ACC">
      <w:pPr>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（2）废气排放口</w:t>
      </w:r>
    </w:p>
    <w:p w14:paraId="04DDB9F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根据《排污口规范化整治技术要求（试行）》（环监〔1996〕470号），项目建设的同时应进行排污口规范化工作，具体应有如下设施与标志：</w:t>
      </w:r>
    </w:p>
    <w:p w14:paraId="49336EB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①项目废气的排气筒应设置便于采样、监测的采样口。采样口的设置应符合《污染源监测技术规范》要求。采样口位置无法满足“规范”要求的，其监测孔位置由当地环境监测部门确认。排气筒应设置、注明以下内容：标准编号、污染源名称及型号；排放高度、出口直径；排气量、最大允许排放浓度；排放大气污染物的名称、最大允许排放量。</w:t>
      </w:r>
    </w:p>
    <w:p w14:paraId="552AB78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②可根据实际情况分别选择设置立式或平面固定式标志牌。标志牌设置位置应距污染物排放口（源）或采样点较近且醒目处，并能长久保留。设置高度一般为：标志牌上缘距离地面2米，标志规格为：60cm×40cm。</w:t>
      </w:r>
    </w:p>
    <w:p w14:paraId="62D04CA0">
      <w:pPr>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（3）固定噪声源</w:t>
      </w:r>
    </w:p>
    <w:p w14:paraId="6C187D0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对固定噪声污染源对边界影响最大处，设置环境噪声监测点，并在该处附近醒目处设置环境保护图形标志牌；边界上有若干个在声环境中相对独立的固定噪声污染源扰民处，应分别设置环境噪声监测点和环境保护图形标志牌</w:t>
      </w:r>
      <w:r>
        <w:rPr>
          <w:color w:val="0D0D0D" w:themeColor="text1" w:themeTint="F2"/>
          <w14:textFill>
            <w14:solidFill>
              <w14:schemeClr w14:val="tx1">
                <w14:lumMod w14:val="95000"/>
                <w14:lumOff w14:val="5000"/>
              </w14:schemeClr>
            </w14:solidFill>
          </w14:textFill>
        </w:rPr>
        <w:t>。</w:t>
      </w:r>
    </w:p>
    <w:p w14:paraId="028051E7">
      <w:pPr>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（4）固体废物贮存场所</w:t>
      </w:r>
    </w:p>
    <w:p w14:paraId="0FD2C9C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设置固体废物贮存场所对项目产生的废物收集后，按照一般固废以及危险废物贮存、转移的规定程序进行。项目固体废物暂存场应设置环境保护图形标志，按《环境保护图形标志》（GB15562.2）规定进行检查和维护</w:t>
      </w:r>
      <w:r>
        <w:rPr>
          <w:color w:val="0D0D0D" w:themeColor="text1" w:themeTint="F2"/>
          <w14:textFill>
            <w14:solidFill>
              <w14:schemeClr w14:val="tx1">
                <w14:lumMod w14:val="95000"/>
                <w14:lumOff w14:val="5000"/>
              </w14:schemeClr>
            </w14:solidFill>
          </w14:textFill>
        </w:rPr>
        <w:t>。</w:t>
      </w:r>
    </w:p>
    <w:p w14:paraId="2493E6B6">
      <w:pPr>
        <w:ind w:firstLine="480" w:firstLineChars="2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（5）</w:t>
      </w:r>
      <w:r>
        <w:rPr>
          <w:rFonts w:hint="eastAsia"/>
          <w:color w:val="0D0D0D" w:themeColor="text1" w:themeTint="F2"/>
          <w14:textFill>
            <w14:solidFill>
              <w14:schemeClr w14:val="tx1">
                <w14:lumMod w14:val="95000"/>
                <w14:lumOff w14:val="5000"/>
              </w14:schemeClr>
            </w14:solidFill>
          </w14:textFill>
        </w:rPr>
        <w:t>排污口立标和建档</w:t>
      </w:r>
    </w:p>
    <w:p w14:paraId="5906918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①排污口立标管理</w:t>
      </w:r>
    </w:p>
    <w:p w14:paraId="6C0AF2B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废气、废水排放口和固体废物堆场应按《环境保护图形标志-排污口（源）》（GB15562.1-1995）规定，设置统一制作的环境保护图形标志牌，污染物排放口设置提示性环境保护图形标志牌。污染物排放口的环保图形标志牌应设置在靠近采样点的醒目处，标志牌设置高度为其上缘距地面2m</w:t>
      </w:r>
      <w:r>
        <w:rPr>
          <w:color w:val="0D0D0D" w:themeColor="text1" w:themeTint="F2"/>
          <w14:textFill>
            <w14:solidFill>
              <w14:schemeClr w14:val="tx1">
                <w14:lumMod w14:val="95000"/>
                <w14:lumOff w14:val="5000"/>
              </w14:schemeClr>
            </w14:solidFill>
          </w14:textFill>
        </w:rPr>
        <w:t>。</w:t>
      </w:r>
      <w:r>
        <w:rPr>
          <w:rFonts w:hint="eastAsia"/>
          <w:color w:val="0D0D0D" w:themeColor="text1" w:themeTint="F2"/>
          <w14:textFill>
            <w14:solidFill>
              <w14:schemeClr w14:val="tx1">
                <w14:lumMod w14:val="95000"/>
                <w14:lumOff w14:val="5000"/>
              </w14:schemeClr>
            </w14:solidFill>
          </w14:textFill>
        </w:rPr>
        <w:t>环境保护标志图形符号详见表9.2-2。</w:t>
      </w:r>
    </w:p>
    <w:p w14:paraId="35330C02">
      <w:pPr>
        <w:widowControl/>
        <w:spacing w:line="240" w:lineRule="auto"/>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14:paraId="7B0D3EAC">
      <w:pPr>
        <w:pStyle w:val="11"/>
      </w:pPr>
      <w:r>
        <w:rPr>
          <w:rFonts w:hint="eastAsia"/>
        </w:rPr>
        <w:t xml:space="preserve"> </w:t>
      </w:r>
      <w:r>
        <w:t>环境保护标志图形符号一览表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726"/>
        <w:gridCol w:w="1906"/>
        <w:gridCol w:w="1641"/>
        <w:gridCol w:w="3265"/>
      </w:tblGrid>
      <w:tr w14:paraId="39170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81" w:type="pct"/>
            <w:tcBorders>
              <w:bottom w:val="single" w:color="auto" w:sz="4" w:space="0"/>
              <w:right w:val="single" w:color="auto" w:sz="4" w:space="0"/>
            </w:tcBorders>
            <w:vAlign w:val="center"/>
          </w:tcPr>
          <w:p w14:paraId="462A4CB0">
            <w:pPr>
              <w:spacing w:line="240" w:lineRule="auto"/>
              <w:jc w:val="center"/>
              <w:rPr>
                <w:rFonts w:cs="Times New Roman"/>
                <w:bCs/>
                <w:color w:val="0D0D0D" w:themeColor="text1" w:themeTint="F2"/>
                <w:kern w:val="18"/>
                <w:sz w:val="21"/>
                <w14:textFill>
                  <w14:solidFill>
                    <w14:schemeClr w14:val="tx1">
                      <w14:lumMod w14:val="95000"/>
                      <w14:lumOff w14:val="5000"/>
                    </w14:schemeClr>
                  </w14:solidFill>
                </w14:textFill>
              </w:rPr>
            </w:pPr>
            <w:r>
              <w:rPr>
                <w:rFonts w:cs="Times New Roman"/>
                <w:bCs/>
                <w:color w:val="0D0D0D" w:themeColor="text1" w:themeTint="F2"/>
                <w:kern w:val="18"/>
                <w:sz w:val="21"/>
                <w14:textFill>
                  <w14:solidFill>
                    <w14:schemeClr w14:val="tx1">
                      <w14:lumMod w14:val="95000"/>
                      <w14:lumOff w14:val="5000"/>
                    </w14:schemeClr>
                  </w14:solidFill>
                </w14:textFill>
              </w:rPr>
              <w:t>序号</w:t>
            </w:r>
          </w:p>
        </w:tc>
        <w:tc>
          <w:tcPr>
            <w:tcW w:w="934" w:type="pct"/>
            <w:tcBorders>
              <w:left w:val="single" w:color="auto" w:sz="4" w:space="0"/>
              <w:bottom w:val="single" w:color="auto" w:sz="4" w:space="0"/>
              <w:right w:val="single" w:color="auto" w:sz="4" w:space="0"/>
            </w:tcBorders>
            <w:vAlign w:val="center"/>
          </w:tcPr>
          <w:p w14:paraId="5FCCCDAF">
            <w:pPr>
              <w:spacing w:line="240" w:lineRule="auto"/>
              <w:jc w:val="center"/>
              <w:rPr>
                <w:rFonts w:cs="Times New Roman"/>
                <w:bCs/>
                <w:color w:val="0D0D0D" w:themeColor="text1" w:themeTint="F2"/>
                <w:kern w:val="18"/>
                <w:sz w:val="21"/>
                <w14:textFill>
                  <w14:solidFill>
                    <w14:schemeClr w14:val="tx1">
                      <w14:lumMod w14:val="95000"/>
                      <w14:lumOff w14:val="5000"/>
                    </w14:schemeClr>
                  </w14:solidFill>
                </w14:textFill>
              </w:rPr>
            </w:pPr>
            <w:r>
              <w:rPr>
                <w:rFonts w:cs="Times New Roman"/>
                <w:bCs/>
                <w:color w:val="0D0D0D" w:themeColor="text1" w:themeTint="F2"/>
                <w:kern w:val="18"/>
                <w:sz w:val="21"/>
                <w14:textFill>
                  <w14:solidFill>
                    <w14:schemeClr w14:val="tx1">
                      <w14:lumMod w14:val="95000"/>
                      <w14:lumOff w14:val="5000"/>
                    </w14:schemeClr>
                  </w14:solidFill>
                </w14:textFill>
              </w:rPr>
              <w:t>提示图形符号</w:t>
            </w:r>
          </w:p>
        </w:tc>
        <w:tc>
          <w:tcPr>
            <w:tcW w:w="1031" w:type="pct"/>
            <w:tcBorders>
              <w:left w:val="single" w:color="auto" w:sz="4" w:space="0"/>
              <w:bottom w:val="single" w:color="auto" w:sz="4" w:space="0"/>
              <w:right w:val="single" w:color="auto" w:sz="4" w:space="0"/>
            </w:tcBorders>
            <w:vAlign w:val="center"/>
          </w:tcPr>
          <w:p w14:paraId="4EFB92EE">
            <w:pPr>
              <w:spacing w:line="240" w:lineRule="auto"/>
              <w:jc w:val="center"/>
              <w:rPr>
                <w:rFonts w:cs="Times New Roman"/>
                <w:bCs/>
                <w:color w:val="0D0D0D" w:themeColor="text1" w:themeTint="F2"/>
                <w:kern w:val="18"/>
                <w:sz w:val="21"/>
                <w14:textFill>
                  <w14:solidFill>
                    <w14:schemeClr w14:val="tx1">
                      <w14:lumMod w14:val="95000"/>
                      <w14:lumOff w14:val="5000"/>
                    </w14:schemeClr>
                  </w14:solidFill>
                </w14:textFill>
              </w:rPr>
            </w:pPr>
            <w:r>
              <w:rPr>
                <w:rFonts w:cs="Times New Roman"/>
                <w:bCs/>
                <w:color w:val="0D0D0D" w:themeColor="text1" w:themeTint="F2"/>
                <w:kern w:val="18"/>
                <w:sz w:val="21"/>
                <w14:textFill>
                  <w14:solidFill>
                    <w14:schemeClr w14:val="tx1">
                      <w14:lumMod w14:val="95000"/>
                      <w14:lumOff w14:val="5000"/>
                    </w14:schemeClr>
                  </w14:solidFill>
                </w14:textFill>
              </w:rPr>
              <w:t>警告图形符号</w:t>
            </w:r>
          </w:p>
        </w:tc>
        <w:tc>
          <w:tcPr>
            <w:tcW w:w="888" w:type="pct"/>
            <w:tcBorders>
              <w:left w:val="single" w:color="auto" w:sz="4" w:space="0"/>
              <w:bottom w:val="single" w:color="auto" w:sz="4" w:space="0"/>
              <w:right w:val="single" w:color="auto" w:sz="4" w:space="0"/>
            </w:tcBorders>
            <w:vAlign w:val="center"/>
          </w:tcPr>
          <w:p w14:paraId="2440A4EE">
            <w:pPr>
              <w:spacing w:line="240" w:lineRule="auto"/>
              <w:jc w:val="center"/>
              <w:rPr>
                <w:rFonts w:cs="Times New Roman"/>
                <w:bCs/>
                <w:color w:val="0D0D0D" w:themeColor="text1" w:themeTint="F2"/>
                <w:kern w:val="18"/>
                <w:sz w:val="21"/>
                <w14:textFill>
                  <w14:solidFill>
                    <w14:schemeClr w14:val="tx1">
                      <w14:lumMod w14:val="95000"/>
                      <w14:lumOff w14:val="5000"/>
                    </w14:schemeClr>
                  </w14:solidFill>
                </w14:textFill>
              </w:rPr>
            </w:pPr>
            <w:r>
              <w:rPr>
                <w:rFonts w:cs="Times New Roman"/>
                <w:bCs/>
                <w:color w:val="0D0D0D" w:themeColor="text1" w:themeTint="F2"/>
                <w:kern w:val="18"/>
                <w:sz w:val="21"/>
                <w14:textFill>
                  <w14:solidFill>
                    <w14:schemeClr w14:val="tx1">
                      <w14:lumMod w14:val="95000"/>
                      <w14:lumOff w14:val="5000"/>
                    </w14:schemeClr>
                  </w14:solidFill>
                </w14:textFill>
              </w:rPr>
              <w:t>名称</w:t>
            </w:r>
          </w:p>
        </w:tc>
        <w:tc>
          <w:tcPr>
            <w:tcW w:w="1767" w:type="pct"/>
            <w:tcBorders>
              <w:left w:val="single" w:color="auto" w:sz="4" w:space="0"/>
              <w:bottom w:val="single" w:color="auto" w:sz="4" w:space="0"/>
            </w:tcBorders>
            <w:vAlign w:val="center"/>
          </w:tcPr>
          <w:p w14:paraId="5F040A96">
            <w:pPr>
              <w:spacing w:line="240" w:lineRule="auto"/>
              <w:jc w:val="center"/>
              <w:rPr>
                <w:rFonts w:cs="Times New Roman"/>
                <w:bCs/>
                <w:color w:val="0D0D0D" w:themeColor="text1" w:themeTint="F2"/>
                <w:kern w:val="18"/>
                <w:sz w:val="21"/>
                <w14:textFill>
                  <w14:solidFill>
                    <w14:schemeClr w14:val="tx1">
                      <w14:lumMod w14:val="95000"/>
                      <w14:lumOff w14:val="5000"/>
                    </w14:schemeClr>
                  </w14:solidFill>
                </w14:textFill>
              </w:rPr>
            </w:pPr>
            <w:r>
              <w:rPr>
                <w:rFonts w:cs="Times New Roman"/>
                <w:bCs/>
                <w:color w:val="0D0D0D" w:themeColor="text1" w:themeTint="F2"/>
                <w:kern w:val="18"/>
                <w:sz w:val="21"/>
                <w14:textFill>
                  <w14:solidFill>
                    <w14:schemeClr w14:val="tx1">
                      <w14:lumMod w14:val="95000"/>
                      <w14:lumOff w14:val="5000"/>
                    </w14:schemeClr>
                  </w14:solidFill>
                </w14:textFill>
              </w:rPr>
              <w:t>功能</w:t>
            </w:r>
          </w:p>
        </w:tc>
      </w:tr>
      <w:tr w14:paraId="3C115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tcBorders>
              <w:top w:val="single" w:color="auto" w:sz="4" w:space="0"/>
              <w:bottom w:val="single" w:color="auto" w:sz="4" w:space="0"/>
              <w:right w:val="single" w:color="auto" w:sz="4" w:space="0"/>
            </w:tcBorders>
            <w:vAlign w:val="center"/>
          </w:tcPr>
          <w:p w14:paraId="4419C857">
            <w:pPr>
              <w:spacing w:line="240" w:lineRule="auto"/>
              <w:jc w:val="center"/>
              <w:rPr>
                <w:rFonts w:cs="Times New Roman"/>
                <w:bCs/>
                <w:color w:val="0D0D0D" w:themeColor="text1" w:themeTint="F2"/>
                <w:kern w:val="18"/>
                <w:sz w:val="21"/>
                <w14:textFill>
                  <w14:solidFill>
                    <w14:schemeClr w14:val="tx1">
                      <w14:lumMod w14:val="95000"/>
                      <w14:lumOff w14:val="5000"/>
                    </w14:schemeClr>
                  </w14:solidFill>
                </w14:textFill>
              </w:rPr>
            </w:pPr>
            <w:r>
              <w:rPr>
                <w:rFonts w:cs="Times New Roman"/>
                <w:bCs/>
                <w:color w:val="0D0D0D" w:themeColor="text1" w:themeTint="F2"/>
                <w:kern w:val="18"/>
                <w:sz w:val="21"/>
                <w14:textFill>
                  <w14:solidFill>
                    <w14:schemeClr w14:val="tx1">
                      <w14:lumMod w14:val="95000"/>
                      <w14:lumOff w14:val="5000"/>
                    </w14:schemeClr>
                  </w14:solidFill>
                </w14:textFill>
              </w:rPr>
              <w:t>1</w:t>
            </w:r>
          </w:p>
        </w:tc>
        <w:tc>
          <w:tcPr>
            <w:tcW w:w="934" w:type="pct"/>
            <w:tcBorders>
              <w:top w:val="single" w:color="auto" w:sz="4" w:space="0"/>
              <w:left w:val="single" w:color="auto" w:sz="4" w:space="0"/>
              <w:bottom w:val="single" w:color="auto" w:sz="4" w:space="0"/>
              <w:right w:val="single" w:color="auto" w:sz="4" w:space="0"/>
            </w:tcBorders>
            <w:vAlign w:val="center"/>
          </w:tcPr>
          <w:p w14:paraId="2C278800">
            <w:pPr>
              <w:widowControl/>
              <w:spacing w:line="240" w:lineRule="auto"/>
              <w:jc w:val="center"/>
              <w:rPr>
                <w:rFonts w:cs="Times New Roman"/>
                <w:bCs/>
                <w:color w:val="0D0D0D" w:themeColor="text1" w:themeTint="F2"/>
                <w:sz w:val="21"/>
                <w14:textFill>
                  <w14:solidFill>
                    <w14:schemeClr w14:val="tx1">
                      <w14:lumMod w14:val="95000"/>
                      <w14:lumOff w14:val="5000"/>
                    </w14:schemeClr>
                  </w14:solidFill>
                </w14:textFill>
              </w:rPr>
            </w:pPr>
            <w:r>
              <w:rPr>
                <w:rFonts w:cs="Times New Roman"/>
                <w:bCs/>
                <w:color w:val="0D0D0D" w:themeColor="text1" w:themeTint="F2"/>
                <w:sz w:val="21"/>
                <w:lang w:bidi="ar"/>
                <w14:textFill>
                  <w14:solidFill>
                    <w14:schemeClr w14:val="tx1">
                      <w14:lumMod w14:val="95000"/>
                      <w14:lumOff w14:val="5000"/>
                    </w14:schemeClr>
                  </w14:solidFill>
                </w14:textFill>
              </w:rPr>
              <w:fldChar w:fldCharType="begin"/>
            </w:r>
            <w:r>
              <w:rPr>
                <w:rFonts w:cs="Times New Roman"/>
                <w:bCs/>
                <w:color w:val="0D0D0D" w:themeColor="text1" w:themeTint="F2"/>
                <w:sz w:val="21"/>
                <w:lang w:bidi="ar"/>
                <w14:textFill>
                  <w14:solidFill>
                    <w14:schemeClr w14:val="tx1">
                      <w14:lumMod w14:val="95000"/>
                      <w14:lumOff w14:val="5000"/>
                    </w14:schemeClr>
                  </w14:solidFill>
                </w14:textFill>
              </w:rPr>
              <w:instrText xml:space="preserve"> INCLUDEPICTURE  "G:\\..\\..\\..\\..\\..\\sweetH\\AppData\\Roaming\\Tencent\\Users\\963073133\\QQ\\WinTemp\\RichOle\\B`SIFPV`7TS_OZ(WVL10Z%C.png" \* MERGEFORMATINET </w:instrText>
            </w:r>
            <w:r>
              <w:rPr>
                <w:rFonts w:cs="Times New Roman"/>
                <w:bCs/>
                <w:color w:val="0D0D0D" w:themeColor="text1" w:themeTint="F2"/>
                <w:sz w:val="21"/>
                <w:lang w:bidi="ar"/>
                <w14:textFill>
                  <w14:solidFill>
                    <w14:schemeClr w14:val="tx1">
                      <w14:lumMod w14:val="95000"/>
                      <w14:lumOff w14:val="5000"/>
                    </w14:schemeClr>
                  </w14:solidFill>
                </w14:textFill>
              </w:rPr>
              <w:fldChar w:fldCharType="separate"/>
            </w:r>
            <w:r>
              <w:rPr>
                <w:rFonts w:cs="Times New Roman"/>
                <w:bCs/>
                <w:color w:val="0D0D0D" w:themeColor="text1" w:themeTint="F2"/>
                <w:sz w:val="21"/>
                <w14:textFill>
                  <w14:solidFill>
                    <w14:schemeClr w14:val="tx1">
                      <w14:lumMod w14:val="95000"/>
                      <w14:lumOff w14:val="5000"/>
                    </w14:schemeClr>
                  </w14:solidFill>
                </w14:textFill>
              </w:rPr>
              <w:drawing>
                <wp:inline distT="0" distB="0" distL="114300" distR="114300">
                  <wp:extent cx="821055" cy="771525"/>
                  <wp:effectExtent l="0" t="0" r="17145" b="9525"/>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30"/>
                          <a:stretch>
                            <a:fillRect/>
                          </a:stretch>
                        </pic:blipFill>
                        <pic:spPr>
                          <a:xfrm>
                            <a:off x="0" y="0"/>
                            <a:ext cx="821055" cy="771525"/>
                          </a:xfrm>
                          <a:prstGeom prst="rect">
                            <a:avLst/>
                          </a:prstGeom>
                          <a:noFill/>
                          <a:ln>
                            <a:noFill/>
                          </a:ln>
                        </pic:spPr>
                      </pic:pic>
                    </a:graphicData>
                  </a:graphic>
                </wp:inline>
              </w:drawing>
            </w:r>
            <w:r>
              <w:rPr>
                <w:rFonts w:cs="Times New Roman"/>
                <w:bCs/>
                <w:color w:val="0D0D0D" w:themeColor="text1" w:themeTint="F2"/>
                <w:sz w:val="21"/>
                <w:lang w:bidi="ar"/>
                <w14:textFill>
                  <w14:solidFill>
                    <w14:schemeClr w14:val="tx1">
                      <w14:lumMod w14:val="95000"/>
                      <w14:lumOff w14:val="5000"/>
                    </w14:schemeClr>
                  </w14:solidFill>
                </w14:textFill>
              </w:rPr>
              <w:fldChar w:fldCharType="end"/>
            </w:r>
          </w:p>
        </w:tc>
        <w:tc>
          <w:tcPr>
            <w:tcW w:w="1031" w:type="pct"/>
            <w:tcBorders>
              <w:top w:val="single" w:color="auto" w:sz="4" w:space="0"/>
              <w:left w:val="single" w:color="auto" w:sz="4" w:space="0"/>
              <w:bottom w:val="single" w:color="auto" w:sz="4" w:space="0"/>
              <w:right w:val="single" w:color="auto" w:sz="4" w:space="0"/>
            </w:tcBorders>
            <w:vAlign w:val="center"/>
          </w:tcPr>
          <w:p w14:paraId="03992C0A">
            <w:pPr>
              <w:widowControl/>
              <w:spacing w:line="240" w:lineRule="auto"/>
              <w:jc w:val="center"/>
              <w:rPr>
                <w:rFonts w:cs="Times New Roman"/>
                <w:bCs/>
                <w:color w:val="0D0D0D" w:themeColor="text1" w:themeTint="F2"/>
                <w:sz w:val="21"/>
                <w14:textFill>
                  <w14:solidFill>
                    <w14:schemeClr w14:val="tx1">
                      <w14:lumMod w14:val="95000"/>
                      <w14:lumOff w14:val="5000"/>
                    </w14:schemeClr>
                  </w14:solidFill>
                </w14:textFill>
              </w:rPr>
            </w:pPr>
            <w:r>
              <w:rPr>
                <w:rFonts w:cs="Times New Roman"/>
                <w:bCs/>
                <w:color w:val="0D0D0D" w:themeColor="text1" w:themeTint="F2"/>
                <w:sz w:val="21"/>
                <w:lang w:bidi="ar"/>
                <w14:textFill>
                  <w14:solidFill>
                    <w14:schemeClr w14:val="tx1">
                      <w14:lumMod w14:val="95000"/>
                      <w14:lumOff w14:val="5000"/>
                    </w14:schemeClr>
                  </w14:solidFill>
                </w14:textFill>
              </w:rPr>
              <w:fldChar w:fldCharType="begin"/>
            </w:r>
            <w:r>
              <w:rPr>
                <w:rFonts w:cs="Times New Roman"/>
                <w:bCs/>
                <w:color w:val="0D0D0D" w:themeColor="text1" w:themeTint="F2"/>
                <w:sz w:val="21"/>
                <w:lang w:bidi="ar"/>
                <w14:textFill>
                  <w14:solidFill>
                    <w14:schemeClr w14:val="tx1">
                      <w14:lumMod w14:val="95000"/>
                      <w14:lumOff w14:val="5000"/>
                    </w14:schemeClr>
                  </w14:solidFill>
                </w14:textFill>
              </w:rPr>
              <w:instrText xml:space="preserve"> INCLUDEPICTURE  "G:\\..\\..\\..\\..\\..\\sweetH\\AppData\\Roaming\\Tencent\\Users\\963073133\\QQ\\WinTemp\\RichOle\\C}`$2[1K%`2Q`97]YKNS5G2.png" \* MERGEFORMATINET </w:instrText>
            </w:r>
            <w:r>
              <w:rPr>
                <w:rFonts w:cs="Times New Roman"/>
                <w:bCs/>
                <w:color w:val="0D0D0D" w:themeColor="text1" w:themeTint="F2"/>
                <w:sz w:val="21"/>
                <w:lang w:bidi="ar"/>
                <w14:textFill>
                  <w14:solidFill>
                    <w14:schemeClr w14:val="tx1">
                      <w14:lumMod w14:val="95000"/>
                      <w14:lumOff w14:val="5000"/>
                    </w14:schemeClr>
                  </w14:solidFill>
                </w14:textFill>
              </w:rPr>
              <w:fldChar w:fldCharType="separate"/>
            </w:r>
            <w:r>
              <w:rPr>
                <w:rFonts w:cs="Times New Roman"/>
                <w:bCs/>
                <w:color w:val="0D0D0D" w:themeColor="text1" w:themeTint="F2"/>
                <w:sz w:val="21"/>
                <w14:textFill>
                  <w14:solidFill>
                    <w14:schemeClr w14:val="tx1">
                      <w14:lumMod w14:val="95000"/>
                      <w14:lumOff w14:val="5000"/>
                    </w14:schemeClr>
                  </w14:solidFill>
                </w14:textFill>
              </w:rPr>
              <w:drawing>
                <wp:inline distT="0" distB="0" distL="114300" distR="114300">
                  <wp:extent cx="894715" cy="821055"/>
                  <wp:effectExtent l="0" t="0" r="635" b="17145"/>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31"/>
                          <a:stretch>
                            <a:fillRect/>
                          </a:stretch>
                        </pic:blipFill>
                        <pic:spPr>
                          <a:xfrm>
                            <a:off x="0" y="0"/>
                            <a:ext cx="894715" cy="821055"/>
                          </a:xfrm>
                          <a:prstGeom prst="rect">
                            <a:avLst/>
                          </a:prstGeom>
                          <a:noFill/>
                          <a:ln>
                            <a:noFill/>
                          </a:ln>
                        </pic:spPr>
                      </pic:pic>
                    </a:graphicData>
                  </a:graphic>
                </wp:inline>
              </w:drawing>
            </w:r>
            <w:r>
              <w:rPr>
                <w:rFonts w:cs="Times New Roman"/>
                <w:bCs/>
                <w:color w:val="0D0D0D" w:themeColor="text1" w:themeTint="F2"/>
                <w:sz w:val="21"/>
                <w:lang w:bidi="ar"/>
                <w14:textFill>
                  <w14:solidFill>
                    <w14:schemeClr w14:val="tx1">
                      <w14:lumMod w14:val="95000"/>
                      <w14:lumOff w14:val="5000"/>
                    </w14:schemeClr>
                  </w14:solidFill>
                </w14:textFill>
              </w:rPr>
              <w:fldChar w:fldCharType="end"/>
            </w:r>
          </w:p>
        </w:tc>
        <w:tc>
          <w:tcPr>
            <w:tcW w:w="888" w:type="pct"/>
            <w:tcBorders>
              <w:top w:val="single" w:color="auto" w:sz="4" w:space="0"/>
              <w:left w:val="single" w:color="auto" w:sz="4" w:space="0"/>
              <w:bottom w:val="single" w:color="auto" w:sz="4" w:space="0"/>
              <w:right w:val="single" w:color="auto" w:sz="4" w:space="0"/>
            </w:tcBorders>
            <w:vAlign w:val="center"/>
          </w:tcPr>
          <w:p w14:paraId="263B2C6A">
            <w:pPr>
              <w:spacing w:line="240" w:lineRule="auto"/>
              <w:jc w:val="center"/>
              <w:rPr>
                <w:rFonts w:cs="Times New Roman"/>
                <w:bCs/>
                <w:color w:val="0D0D0D" w:themeColor="text1" w:themeTint="F2"/>
                <w:sz w:val="21"/>
                <w14:textFill>
                  <w14:solidFill>
                    <w14:schemeClr w14:val="tx1">
                      <w14:lumMod w14:val="95000"/>
                      <w14:lumOff w14:val="5000"/>
                    </w14:schemeClr>
                  </w14:solidFill>
                </w14:textFill>
              </w:rPr>
            </w:pPr>
            <w:r>
              <w:rPr>
                <w:rFonts w:cs="Times New Roman"/>
                <w:bCs/>
                <w:color w:val="0D0D0D" w:themeColor="text1" w:themeTint="F2"/>
                <w:sz w:val="21"/>
                <w14:textFill>
                  <w14:solidFill>
                    <w14:schemeClr w14:val="tx1">
                      <w14:lumMod w14:val="95000"/>
                      <w14:lumOff w14:val="5000"/>
                    </w14:schemeClr>
                  </w14:solidFill>
                </w14:textFill>
              </w:rPr>
              <w:t>废气排放口</w:t>
            </w:r>
          </w:p>
        </w:tc>
        <w:tc>
          <w:tcPr>
            <w:tcW w:w="1767" w:type="pct"/>
            <w:tcBorders>
              <w:top w:val="single" w:color="auto" w:sz="4" w:space="0"/>
              <w:left w:val="single" w:color="auto" w:sz="4" w:space="0"/>
              <w:bottom w:val="single" w:color="auto" w:sz="4" w:space="0"/>
            </w:tcBorders>
            <w:vAlign w:val="center"/>
          </w:tcPr>
          <w:p w14:paraId="47239B80">
            <w:pPr>
              <w:spacing w:line="240" w:lineRule="auto"/>
              <w:jc w:val="center"/>
              <w:rPr>
                <w:rFonts w:cs="Times New Roman"/>
                <w:bCs/>
                <w:color w:val="0D0D0D" w:themeColor="text1" w:themeTint="F2"/>
                <w:sz w:val="21"/>
                <w14:textFill>
                  <w14:solidFill>
                    <w14:schemeClr w14:val="tx1">
                      <w14:lumMod w14:val="95000"/>
                      <w14:lumOff w14:val="5000"/>
                    </w14:schemeClr>
                  </w14:solidFill>
                </w14:textFill>
              </w:rPr>
            </w:pPr>
            <w:r>
              <w:rPr>
                <w:rFonts w:cs="Times New Roman"/>
                <w:bCs/>
                <w:color w:val="0D0D0D" w:themeColor="text1" w:themeTint="F2"/>
                <w:sz w:val="21"/>
                <w14:textFill>
                  <w14:solidFill>
                    <w14:schemeClr w14:val="tx1">
                      <w14:lumMod w14:val="95000"/>
                      <w14:lumOff w14:val="5000"/>
                    </w14:schemeClr>
                  </w14:solidFill>
                </w14:textFill>
              </w:rPr>
              <w:t>表示废气向大气环境排放</w:t>
            </w:r>
          </w:p>
        </w:tc>
      </w:tr>
      <w:tr w14:paraId="43FB0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tcBorders>
              <w:top w:val="single" w:color="auto" w:sz="4" w:space="0"/>
              <w:bottom w:val="single" w:color="auto" w:sz="4" w:space="0"/>
              <w:right w:val="single" w:color="auto" w:sz="4" w:space="0"/>
            </w:tcBorders>
            <w:vAlign w:val="center"/>
          </w:tcPr>
          <w:p w14:paraId="7F7BBFD8">
            <w:pPr>
              <w:spacing w:line="240" w:lineRule="auto"/>
              <w:jc w:val="center"/>
              <w:rPr>
                <w:rFonts w:cs="Times New Roman"/>
                <w:bCs/>
                <w:color w:val="0D0D0D" w:themeColor="text1" w:themeTint="F2"/>
                <w:kern w:val="18"/>
                <w:sz w:val="21"/>
                <w14:textFill>
                  <w14:solidFill>
                    <w14:schemeClr w14:val="tx1">
                      <w14:lumMod w14:val="95000"/>
                      <w14:lumOff w14:val="5000"/>
                    </w14:schemeClr>
                  </w14:solidFill>
                </w14:textFill>
              </w:rPr>
            </w:pPr>
            <w:r>
              <w:rPr>
                <w:rFonts w:cs="Times New Roman"/>
                <w:bCs/>
                <w:color w:val="0D0D0D" w:themeColor="text1" w:themeTint="F2"/>
                <w:kern w:val="18"/>
                <w:sz w:val="21"/>
                <w14:textFill>
                  <w14:solidFill>
                    <w14:schemeClr w14:val="tx1">
                      <w14:lumMod w14:val="95000"/>
                      <w14:lumOff w14:val="5000"/>
                    </w14:schemeClr>
                  </w14:solidFill>
                </w14:textFill>
              </w:rPr>
              <w:t>2</w:t>
            </w:r>
          </w:p>
        </w:tc>
        <w:tc>
          <w:tcPr>
            <w:tcW w:w="934" w:type="pct"/>
            <w:tcBorders>
              <w:top w:val="single" w:color="auto" w:sz="4" w:space="0"/>
              <w:left w:val="single" w:color="auto" w:sz="4" w:space="0"/>
              <w:bottom w:val="single" w:color="auto" w:sz="4" w:space="0"/>
              <w:right w:val="single" w:color="auto" w:sz="4" w:space="0"/>
            </w:tcBorders>
            <w:vAlign w:val="center"/>
          </w:tcPr>
          <w:p w14:paraId="497BBF46">
            <w:pPr>
              <w:spacing w:line="240" w:lineRule="auto"/>
              <w:jc w:val="center"/>
              <w:rPr>
                <w:rFonts w:cs="Times New Roman"/>
                <w:bCs/>
                <w:color w:val="0D0D0D" w:themeColor="text1" w:themeTint="F2"/>
                <w:kern w:val="18"/>
                <w:sz w:val="21"/>
                <w14:textFill>
                  <w14:solidFill>
                    <w14:schemeClr w14:val="tx1">
                      <w14:lumMod w14:val="95000"/>
                      <w14:lumOff w14:val="5000"/>
                    </w14:schemeClr>
                  </w14:solidFill>
                </w14:textFill>
              </w:rPr>
            </w:pPr>
            <w:r>
              <w:rPr>
                <w:rFonts w:cs="Times New Roman"/>
                <w:bCs/>
                <w:color w:val="0D0D0D" w:themeColor="text1" w:themeTint="F2"/>
                <w:kern w:val="18"/>
                <w:sz w:val="21"/>
                <w14:textFill>
                  <w14:solidFill>
                    <w14:schemeClr w14:val="tx1">
                      <w14:lumMod w14:val="95000"/>
                      <w14:lumOff w14:val="5000"/>
                    </w14:schemeClr>
                  </w14:solidFill>
                </w14:textFill>
              </w:rPr>
              <w:drawing>
                <wp:inline distT="0" distB="0" distL="114300" distR="114300">
                  <wp:extent cx="847725" cy="847725"/>
                  <wp:effectExtent l="0" t="0" r="9525" b="9525"/>
                  <wp:docPr id="53" name="图片 53" descr="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200602201518049853"/>
                          <pic:cNvPicPr>
                            <a:picLocks noChangeAspect="1"/>
                          </pic:cNvPicPr>
                        </pic:nvPicPr>
                        <pic:blipFill>
                          <a:blip r:embed="rId32"/>
                          <a:stretch>
                            <a:fillRect/>
                          </a:stretch>
                        </pic:blipFill>
                        <pic:spPr>
                          <a:xfrm>
                            <a:off x="0" y="0"/>
                            <a:ext cx="847725" cy="847725"/>
                          </a:xfrm>
                          <a:prstGeom prst="rect">
                            <a:avLst/>
                          </a:prstGeom>
                          <a:noFill/>
                          <a:ln>
                            <a:noFill/>
                          </a:ln>
                        </pic:spPr>
                      </pic:pic>
                    </a:graphicData>
                  </a:graphic>
                </wp:inline>
              </w:drawing>
            </w:r>
          </w:p>
        </w:tc>
        <w:tc>
          <w:tcPr>
            <w:tcW w:w="1031" w:type="pct"/>
            <w:tcBorders>
              <w:top w:val="single" w:color="auto" w:sz="4" w:space="0"/>
              <w:left w:val="single" w:color="auto" w:sz="4" w:space="0"/>
              <w:bottom w:val="single" w:color="auto" w:sz="4" w:space="0"/>
              <w:right w:val="single" w:color="auto" w:sz="4" w:space="0"/>
            </w:tcBorders>
            <w:vAlign w:val="center"/>
          </w:tcPr>
          <w:p w14:paraId="2B65B95F">
            <w:pPr>
              <w:spacing w:line="240" w:lineRule="auto"/>
              <w:jc w:val="center"/>
              <w:rPr>
                <w:rFonts w:cs="Times New Roman"/>
                <w:bCs/>
                <w:color w:val="0D0D0D" w:themeColor="text1" w:themeTint="F2"/>
                <w:kern w:val="18"/>
                <w:sz w:val="21"/>
                <w14:textFill>
                  <w14:solidFill>
                    <w14:schemeClr w14:val="tx1">
                      <w14:lumMod w14:val="95000"/>
                      <w14:lumOff w14:val="5000"/>
                    </w14:schemeClr>
                  </w14:solidFill>
                </w14:textFill>
              </w:rPr>
            </w:pPr>
            <w:r>
              <w:rPr>
                <w:rFonts w:cs="Times New Roman"/>
                <w:bCs/>
                <w:color w:val="0D0D0D" w:themeColor="text1" w:themeTint="F2"/>
                <w:kern w:val="18"/>
                <w:sz w:val="21"/>
                <w14:textFill>
                  <w14:solidFill>
                    <w14:schemeClr w14:val="tx1">
                      <w14:lumMod w14:val="95000"/>
                      <w14:lumOff w14:val="5000"/>
                    </w14:schemeClr>
                  </w14:solidFill>
                </w14:textFill>
              </w:rPr>
              <w:drawing>
                <wp:inline distT="0" distB="0" distL="114300" distR="114300">
                  <wp:extent cx="951865" cy="847725"/>
                  <wp:effectExtent l="0" t="0" r="635" b="9525"/>
                  <wp:docPr id="54" name="图片 4" descr="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descr="200602201519018631"/>
                          <pic:cNvPicPr>
                            <a:picLocks noChangeAspect="1"/>
                          </pic:cNvPicPr>
                        </pic:nvPicPr>
                        <pic:blipFill>
                          <a:blip r:embed="rId33"/>
                          <a:stretch>
                            <a:fillRect/>
                          </a:stretch>
                        </pic:blipFill>
                        <pic:spPr>
                          <a:xfrm>
                            <a:off x="0" y="0"/>
                            <a:ext cx="951865" cy="847725"/>
                          </a:xfrm>
                          <a:prstGeom prst="rect">
                            <a:avLst/>
                          </a:prstGeom>
                          <a:noFill/>
                          <a:ln>
                            <a:noFill/>
                          </a:ln>
                        </pic:spPr>
                      </pic:pic>
                    </a:graphicData>
                  </a:graphic>
                </wp:inline>
              </w:drawing>
            </w:r>
          </w:p>
        </w:tc>
        <w:tc>
          <w:tcPr>
            <w:tcW w:w="888" w:type="pct"/>
            <w:tcBorders>
              <w:top w:val="single" w:color="auto" w:sz="4" w:space="0"/>
              <w:left w:val="single" w:color="auto" w:sz="4" w:space="0"/>
              <w:bottom w:val="single" w:color="auto" w:sz="4" w:space="0"/>
              <w:right w:val="single" w:color="auto" w:sz="4" w:space="0"/>
            </w:tcBorders>
            <w:vAlign w:val="center"/>
          </w:tcPr>
          <w:p w14:paraId="78853C49">
            <w:pPr>
              <w:spacing w:line="240" w:lineRule="auto"/>
              <w:jc w:val="center"/>
              <w:rPr>
                <w:rFonts w:cs="Times New Roman"/>
                <w:bCs/>
                <w:color w:val="0D0D0D" w:themeColor="text1" w:themeTint="F2"/>
                <w:kern w:val="18"/>
                <w:sz w:val="21"/>
                <w14:textFill>
                  <w14:solidFill>
                    <w14:schemeClr w14:val="tx1">
                      <w14:lumMod w14:val="95000"/>
                      <w14:lumOff w14:val="5000"/>
                    </w14:schemeClr>
                  </w14:solidFill>
                </w14:textFill>
              </w:rPr>
            </w:pPr>
            <w:r>
              <w:rPr>
                <w:rFonts w:cs="Times New Roman"/>
                <w:bCs/>
                <w:color w:val="0D0D0D" w:themeColor="text1" w:themeTint="F2"/>
                <w:kern w:val="18"/>
                <w:sz w:val="21"/>
                <w14:textFill>
                  <w14:solidFill>
                    <w14:schemeClr w14:val="tx1">
                      <w14:lumMod w14:val="95000"/>
                      <w14:lumOff w14:val="5000"/>
                    </w14:schemeClr>
                  </w14:solidFill>
                </w14:textFill>
              </w:rPr>
              <w:t>噪声排放源</w:t>
            </w:r>
          </w:p>
        </w:tc>
        <w:tc>
          <w:tcPr>
            <w:tcW w:w="1767" w:type="pct"/>
            <w:tcBorders>
              <w:top w:val="single" w:color="auto" w:sz="4" w:space="0"/>
              <w:left w:val="single" w:color="auto" w:sz="4" w:space="0"/>
              <w:bottom w:val="single" w:color="auto" w:sz="4" w:space="0"/>
            </w:tcBorders>
            <w:vAlign w:val="center"/>
          </w:tcPr>
          <w:p w14:paraId="2A66C75D">
            <w:pPr>
              <w:spacing w:line="240" w:lineRule="auto"/>
              <w:jc w:val="center"/>
              <w:rPr>
                <w:rFonts w:cs="Times New Roman"/>
                <w:bCs/>
                <w:color w:val="0D0D0D" w:themeColor="text1" w:themeTint="F2"/>
                <w:kern w:val="18"/>
                <w:sz w:val="21"/>
                <w14:textFill>
                  <w14:solidFill>
                    <w14:schemeClr w14:val="tx1">
                      <w14:lumMod w14:val="95000"/>
                      <w14:lumOff w14:val="5000"/>
                    </w14:schemeClr>
                  </w14:solidFill>
                </w14:textFill>
              </w:rPr>
            </w:pPr>
            <w:r>
              <w:rPr>
                <w:rFonts w:cs="Times New Roman"/>
                <w:bCs/>
                <w:color w:val="0D0D0D" w:themeColor="text1" w:themeTint="F2"/>
                <w:kern w:val="18"/>
                <w:sz w:val="21"/>
                <w14:textFill>
                  <w14:solidFill>
                    <w14:schemeClr w14:val="tx1">
                      <w14:lumMod w14:val="95000"/>
                      <w14:lumOff w14:val="5000"/>
                    </w14:schemeClr>
                  </w14:solidFill>
                </w14:textFill>
              </w:rPr>
              <w:t>表示噪声向外环境排放</w:t>
            </w:r>
          </w:p>
        </w:tc>
      </w:tr>
      <w:tr w14:paraId="23E16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tcBorders>
              <w:top w:val="single" w:color="auto" w:sz="4" w:space="0"/>
              <w:bottom w:val="single" w:color="auto" w:sz="4" w:space="0"/>
              <w:right w:val="single" w:color="auto" w:sz="4" w:space="0"/>
            </w:tcBorders>
            <w:vAlign w:val="center"/>
          </w:tcPr>
          <w:p w14:paraId="0FEBEB7A">
            <w:pPr>
              <w:spacing w:line="240" w:lineRule="auto"/>
              <w:jc w:val="center"/>
              <w:rPr>
                <w:rFonts w:cs="Times New Roman"/>
                <w:bCs/>
                <w:color w:val="0D0D0D" w:themeColor="text1" w:themeTint="F2"/>
                <w:kern w:val="18"/>
                <w:sz w:val="21"/>
                <w14:textFill>
                  <w14:solidFill>
                    <w14:schemeClr w14:val="tx1">
                      <w14:lumMod w14:val="95000"/>
                      <w14:lumOff w14:val="5000"/>
                    </w14:schemeClr>
                  </w14:solidFill>
                </w14:textFill>
              </w:rPr>
            </w:pPr>
            <w:r>
              <w:rPr>
                <w:rFonts w:cs="Times New Roman"/>
                <w:bCs/>
                <w:color w:val="0D0D0D" w:themeColor="text1" w:themeTint="F2"/>
                <w:kern w:val="18"/>
                <w:sz w:val="21"/>
                <w14:textFill>
                  <w14:solidFill>
                    <w14:schemeClr w14:val="tx1">
                      <w14:lumMod w14:val="95000"/>
                      <w14:lumOff w14:val="5000"/>
                    </w14:schemeClr>
                  </w14:solidFill>
                </w14:textFill>
              </w:rPr>
              <w:t>3</w:t>
            </w:r>
          </w:p>
        </w:tc>
        <w:tc>
          <w:tcPr>
            <w:tcW w:w="934" w:type="pct"/>
            <w:tcBorders>
              <w:top w:val="single" w:color="auto" w:sz="4" w:space="0"/>
              <w:left w:val="single" w:color="auto" w:sz="4" w:space="0"/>
              <w:bottom w:val="single" w:color="auto" w:sz="4" w:space="0"/>
              <w:right w:val="single" w:color="auto" w:sz="4" w:space="0"/>
            </w:tcBorders>
            <w:vAlign w:val="center"/>
          </w:tcPr>
          <w:p w14:paraId="68B559E5">
            <w:pPr>
              <w:spacing w:line="240" w:lineRule="auto"/>
              <w:jc w:val="center"/>
              <w:rPr>
                <w:rFonts w:cs="Times New Roman"/>
                <w:bCs/>
                <w:color w:val="0D0D0D" w:themeColor="text1" w:themeTint="F2"/>
                <w:kern w:val="18"/>
                <w:sz w:val="21"/>
                <w14:textFill>
                  <w14:solidFill>
                    <w14:schemeClr w14:val="tx1">
                      <w14:lumMod w14:val="95000"/>
                      <w14:lumOff w14:val="5000"/>
                    </w14:schemeClr>
                  </w14:solidFill>
                </w14:textFill>
              </w:rPr>
            </w:pPr>
            <w:r>
              <w:rPr>
                <w:rFonts w:cs="Times New Roman"/>
                <w:bCs/>
                <w:color w:val="0D0D0D" w:themeColor="text1" w:themeTint="F2"/>
                <w:kern w:val="18"/>
                <w:sz w:val="21"/>
                <w14:textFill>
                  <w14:solidFill>
                    <w14:schemeClr w14:val="tx1">
                      <w14:lumMod w14:val="95000"/>
                      <w14:lumOff w14:val="5000"/>
                    </w14:schemeClr>
                  </w14:solidFill>
                </w14:textFill>
              </w:rPr>
              <w:drawing>
                <wp:inline distT="0" distB="0" distL="114300" distR="114300">
                  <wp:extent cx="847725" cy="858520"/>
                  <wp:effectExtent l="0" t="0" r="9525" b="17780"/>
                  <wp:docPr id="55" name="图片 55" descr="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4001"/>
                          <pic:cNvPicPr>
                            <a:picLocks noChangeAspect="1"/>
                          </pic:cNvPicPr>
                        </pic:nvPicPr>
                        <pic:blipFill>
                          <a:blip r:embed="rId34"/>
                          <a:stretch>
                            <a:fillRect/>
                          </a:stretch>
                        </pic:blipFill>
                        <pic:spPr>
                          <a:xfrm>
                            <a:off x="0" y="0"/>
                            <a:ext cx="847725" cy="858520"/>
                          </a:xfrm>
                          <a:prstGeom prst="rect">
                            <a:avLst/>
                          </a:prstGeom>
                          <a:noFill/>
                          <a:ln>
                            <a:noFill/>
                          </a:ln>
                        </pic:spPr>
                      </pic:pic>
                    </a:graphicData>
                  </a:graphic>
                </wp:inline>
              </w:drawing>
            </w:r>
          </w:p>
        </w:tc>
        <w:tc>
          <w:tcPr>
            <w:tcW w:w="1031" w:type="pct"/>
            <w:tcBorders>
              <w:top w:val="single" w:color="auto" w:sz="4" w:space="0"/>
              <w:left w:val="single" w:color="auto" w:sz="4" w:space="0"/>
              <w:bottom w:val="single" w:color="auto" w:sz="4" w:space="0"/>
              <w:right w:val="single" w:color="auto" w:sz="4" w:space="0"/>
            </w:tcBorders>
            <w:vAlign w:val="center"/>
          </w:tcPr>
          <w:p w14:paraId="10469756">
            <w:pPr>
              <w:spacing w:line="240" w:lineRule="auto"/>
              <w:jc w:val="center"/>
              <w:rPr>
                <w:rFonts w:cs="Times New Roman"/>
                <w:bCs/>
                <w:color w:val="0D0D0D" w:themeColor="text1" w:themeTint="F2"/>
                <w:kern w:val="18"/>
                <w:sz w:val="21"/>
                <w14:textFill>
                  <w14:solidFill>
                    <w14:schemeClr w14:val="tx1">
                      <w14:lumMod w14:val="95000"/>
                      <w14:lumOff w14:val="5000"/>
                    </w14:schemeClr>
                  </w14:solidFill>
                </w14:textFill>
              </w:rPr>
            </w:pPr>
            <w:r>
              <w:rPr>
                <w:rFonts w:cs="Times New Roman"/>
                <w:bCs/>
                <w:color w:val="0D0D0D" w:themeColor="text1" w:themeTint="F2"/>
                <w:kern w:val="18"/>
                <w:sz w:val="21"/>
                <w14:textFill>
                  <w14:solidFill>
                    <w14:schemeClr w14:val="tx1">
                      <w14:lumMod w14:val="95000"/>
                      <w14:lumOff w14:val="5000"/>
                    </w14:schemeClr>
                  </w14:solidFill>
                </w14:textFill>
              </w:rPr>
              <w:drawing>
                <wp:inline distT="0" distB="0" distL="114300" distR="114300">
                  <wp:extent cx="913765" cy="858520"/>
                  <wp:effectExtent l="0" t="0" r="635" b="17780"/>
                  <wp:docPr id="56" name="图片 6" descr="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 descr="14002"/>
                          <pic:cNvPicPr>
                            <a:picLocks noChangeAspect="1"/>
                          </pic:cNvPicPr>
                        </pic:nvPicPr>
                        <pic:blipFill>
                          <a:blip r:embed="rId35"/>
                          <a:stretch>
                            <a:fillRect/>
                          </a:stretch>
                        </pic:blipFill>
                        <pic:spPr>
                          <a:xfrm>
                            <a:off x="0" y="0"/>
                            <a:ext cx="913765" cy="858520"/>
                          </a:xfrm>
                          <a:prstGeom prst="rect">
                            <a:avLst/>
                          </a:prstGeom>
                          <a:noFill/>
                          <a:ln>
                            <a:noFill/>
                          </a:ln>
                        </pic:spPr>
                      </pic:pic>
                    </a:graphicData>
                  </a:graphic>
                </wp:inline>
              </w:drawing>
            </w:r>
          </w:p>
        </w:tc>
        <w:tc>
          <w:tcPr>
            <w:tcW w:w="888" w:type="pct"/>
            <w:tcBorders>
              <w:top w:val="single" w:color="auto" w:sz="4" w:space="0"/>
              <w:left w:val="single" w:color="auto" w:sz="4" w:space="0"/>
              <w:bottom w:val="single" w:color="auto" w:sz="4" w:space="0"/>
              <w:right w:val="single" w:color="auto" w:sz="4" w:space="0"/>
            </w:tcBorders>
            <w:vAlign w:val="center"/>
          </w:tcPr>
          <w:p w14:paraId="7F287C5B">
            <w:pPr>
              <w:spacing w:line="240" w:lineRule="auto"/>
              <w:jc w:val="center"/>
              <w:rPr>
                <w:rFonts w:cs="Times New Roman"/>
                <w:bCs/>
                <w:color w:val="0D0D0D" w:themeColor="text1" w:themeTint="F2"/>
                <w:kern w:val="18"/>
                <w:sz w:val="21"/>
                <w14:textFill>
                  <w14:solidFill>
                    <w14:schemeClr w14:val="tx1">
                      <w14:lumMod w14:val="95000"/>
                      <w14:lumOff w14:val="5000"/>
                    </w14:schemeClr>
                  </w14:solidFill>
                </w14:textFill>
              </w:rPr>
            </w:pPr>
            <w:r>
              <w:rPr>
                <w:rFonts w:cs="Times New Roman"/>
                <w:bCs/>
                <w:color w:val="0D0D0D" w:themeColor="text1" w:themeTint="F2"/>
                <w:kern w:val="18"/>
                <w:sz w:val="21"/>
                <w14:textFill>
                  <w14:solidFill>
                    <w14:schemeClr w14:val="tx1">
                      <w14:lumMod w14:val="95000"/>
                      <w14:lumOff w14:val="5000"/>
                    </w14:schemeClr>
                  </w14:solidFill>
                </w14:textFill>
              </w:rPr>
              <w:t>一般固体废物</w:t>
            </w:r>
          </w:p>
        </w:tc>
        <w:tc>
          <w:tcPr>
            <w:tcW w:w="1767" w:type="pct"/>
            <w:tcBorders>
              <w:top w:val="single" w:color="auto" w:sz="4" w:space="0"/>
              <w:left w:val="single" w:color="auto" w:sz="4" w:space="0"/>
              <w:bottom w:val="single" w:color="auto" w:sz="4" w:space="0"/>
            </w:tcBorders>
            <w:vAlign w:val="center"/>
          </w:tcPr>
          <w:p w14:paraId="4F379F27">
            <w:pPr>
              <w:spacing w:line="240" w:lineRule="auto"/>
              <w:jc w:val="center"/>
              <w:rPr>
                <w:rFonts w:cs="Times New Roman"/>
                <w:bCs/>
                <w:color w:val="0D0D0D" w:themeColor="text1" w:themeTint="F2"/>
                <w:kern w:val="18"/>
                <w:sz w:val="21"/>
                <w14:textFill>
                  <w14:solidFill>
                    <w14:schemeClr w14:val="tx1">
                      <w14:lumMod w14:val="95000"/>
                      <w14:lumOff w14:val="5000"/>
                    </w14:schemeClr>
                  </w14:solidFill>
                </w14:textFill>
              </w:rPr>
            </w:pPr>
            <w:r>
              <w:rPr>
                <w:rFonts w:cs="Times New Roman"/>
                <w:bCs/>
                <w:color w:val="0D0D0D" w:themeColor="text1" w:themeTint="F2"/>
                <w:kern w:val="18"/>
                <w:sz w:val="21"/>
                <w14:textFill>
                  <w14:solidFill>
                    <w14:schemeClr w14:val="tx1">
                      <w14:lumMod w14:val="95000"/>
                      <w14:lumOff w14:val="5000"/>
                    </w14:schemeClr>
                  </w14:solidFill>
                </w14:textFill>
              </w:rPr>
              <w:t>表示一般固体废物贮存、处置场</w:t>
            </w:r>
          </w:p>
        </w:tc>
      </w:tr>
      <w:tr w14:paraId="5AEFE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tcBorders>
              <w:top w:val="single" w:color="auto" w:sz="4" w:space="0"/>
              <w:right w:val="single" w:color="auto" w:sz="4" w:space="0"/>
            </w:tcBorders>
            <w:vAlign w:val="center"/>
          </w:tcPr>
          <w:p w14:paraId="19CBB0FD">
            <w:pPr>
              <w:spacing w:line="240" w:lineRule="auto"/>
              <w:jc w:val="center"/>
              <w:rPr>
                <w:rFonts w:cs="Times New Roman"/>
                <w:bCs/>
                <w:color w:val="0D0D0D" w:themeColor="text1" w:themeTint="F2"/>
                <w:kern w:val="18"/>
                <w:sz w:val="21"/>
                <w14:textFill>
                  <w14:solidFill>
                    <w14:schemeClr w14:val="tx1">
                      <w14:lumMod w14:val="95000"/>
                      <w14:lumOff w14:val="5000"/>
                    </w14:schemeClr>
                  </w14:solidFill>
                </w14:textFill>
              </w:rPr>
            </w:pPr>
            <w:r>
              <w:rPr>
                <w:rFonts w:cs="Times New Roman"/>
                <w:bCs/>
                <w:color w:val="0D0D0D" w:themeColor="text1" w:themeTint="F2"/>
                <w:kern w:val="18"/>
                <w:sz w:val="21"/>
                <w14:textFill>
                  <w14:solidFill>
                    <w14:schemeClr w14:val="tx1">
                      <w14:lumMod w14:val="95000"/>
                      <w14:lumOff w14:val="5000"/>
                    </w14:schemeClr>
                  </w14:solidFill>
                </w14:textFill>
              </w:rPr>
              <w:t>4</w:t>
            </w:r>
          </w:p>
        </w:tc>
        <w:tc>
          <w:tcPr>
            <w:tcW w:w="934" w:type="pct"/>
            <w:tcBorders>
              <w:top w:val="single" w:color="auto" w:sz="4" w:space="0"/>
              <w:left w:val="single" w:color="auto" w:sz="4" w:space="0"/>
              <w:right w:val="single" w:color="auto" w:sz="4" w:space="0"/>
            </w:tcBorders>
            <w:vAlign w:val="center"/>
          </w:tcPr>
          <w:p w14:paraId="3651A451">
            <w:pPr>
              <w:spacing w:line="240" w:lineRule="auto"/>
              <w:jc w:val="center"/>
              <w:rPr>
                <w:rFonts w:cs="Times New Roman"/>
                <w:bCs/>
                <w:color w:val="0D0D0D" w:themeColor="text1" w:themeTint="F2"/>
                <w:kern w:val="18"/>
                <w:sz w:val="21"/>
                <w14:textFill>
                  <w14:solidFill>
                    <w14:schemeClr w14:val="tx1">
                      <w14:lumMod w14:val="95000"/>
                      <w14:lumOff w14:val="5000"/>
                    </w14:schemeClr>
                  </w14:solidFill>
                </w14:textFill>
              </w:rPr>
            </w:pPr>
            <w:r>
              <w:rPr>
                <w:rFonts w:cs="Times New Roman"/>
                <w:bCs/>
                <w:color w:val="0D0D0D" w:themeColor="text1" w:themeTint="F2"/>
                <w:kern w:val="18"/>
                <w:sz w:val="21"/>
                <w14:textFill>
                  <w14:solidFill>
                    <w14:schemeClr w14:val="tx1">
                      <w14:lumMod w14:val="95000"/>
                      <w14:lumOff w14:val="5000"/>
                    </w14:schemeClr>
                  </w14:solidFill>
                </w14:textFill>
              </w:rPr>
              <w:t>/</w:t>
            </w:r>
          </w:p>
        </w:tc>
        <w:tc>
          <w:tcPr>
            <w:tcW w:w="1031" w:type="pct"/>
            <w:tcBorders>
              <w:top w:val="single" w:color="auto" w:sz="4" w:space="0"/>
              <w:left w:val="single" w:color="auto" w:sz="4" w:space="0"/>
              <w:right w:val="single" w:color="auto" w:sz="4" w:space="0"/>
            </w:tcBorders>
            <w:vAlign w:val="center"/>
          </w:tcPr>
          <w:p w14:paraId="7519790F">
            <w:pPr>
              <w:spacing w:line="240" w:lineRule="auto"/>
              <w:jc w:val="center"/>
              <w:rPr>
                <w:rFonts w:cs="Times New Roman"/>
                <w:bCs/>
                <w:color w:val="0D0D0D" w:themeColor="text1" w:themeTint="F2"/>
                <w:kern w:val="18"/>
                <w:sz w:val="21"/>
                <w14:textFill>
                  <w14:solidFill>
                    <w14:schemeClr w14:val="tx1">
                      <w14:lumMod w14:val="95000"/>
                      <w14:lumOff w14:val="5000"/>
                    </w14:schemeClr>
                  </w14:solidFill>
                </w14:textFill>
              </w:rPr>
            </w:pPr>
            <w:r>
              <w:rPr>
                <w:rFonts w:cs="Times New Roman"/>
                <w:bCs/>
                <w:color w:val="0D0D0D" w:themeColor="text1" w:themeTint="F2"/>
                <w:kern w:val="18"/>
                <w:sz w:val="21"/>
                <w14:textFill>
                  <w14:solidFill>
                    <w14:schemeClr w14:val="tx1">
                      <w14:lumMod w14:val="95000"/>
                      <w14:lumOff w14:val="5000"/>
                    </w14:schemeClr>
                  </w14:solidFill>
                </w14:textFill>
              </w:rPr>
              <w:drawing>
                <wp:inline distT="0" distB="0" distL="114300" distR="114300">
                  <wp:extent cx="977265" cy="868045"/>
                  <wp:effectExtent l="0" t="0" r="13335" b="8255"/>
                  <wp:docPr id="17" name="图片 17" descr="]R$$0PFNCHCN7~[Z[BEV5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R$$0PFNCHCN7~[Z[BEV5IC"/>
                          <pic:cNvPicPr>
                            <a:picLocks noChangeAspect="1"/>
                          </pic:cNvPicPr>
                        </pic:nvPicPr>
                        <pic:blipFill>
                          <a:blip r:embed="rId36"/>
                          <a:stretch>
                            <a:fillRect/>
                          </a:stretch>
                        </pic:blipFill>
                        <pic:spPr>
                          <a:xfrm>
                            <a:off x="0" y="0"/>
                            <a:ext cx="977265" cy="868045"/>
                          </a:xfrm>
                          <a:prstGeom prst="rect">
                            <a:avLst/>
                          </a:prstGeom>
                        </pic:spPr>
                      </pic:pic>
                    </a:graphicData>
                  </a:graphic>
                </wp:inline>
              </w:drawing>
            </w:r>
          </w:p>
        </w:tc>
        <w:tc>
          <w:tcPr>
            <w:tcW w:w="888" w:type="pct"/>
            <w:tcBorders>
              <w:top w:val="single" w:color="auto" w:sz="4" w:space="0"/>
              <w:left w:val="single" w:color="auto" w:sz="4" w:space="0"/>
              <w:right w:val="single" w:color="auto" w:sz="4" w:space="0"/>
            </w:tcBorders>
            <w:vAlign w:val="center"/>
          </w:tcPr>
          <w:p w14:paraId="6D463925">
            <w:pPr>
              <w:spacing w:line="240" w:lineRule="auto"/>
              <w:jc w:val="center"/>
              <w:rPr>
                <w:rFonts w:cs="Times New Roman"/>
                <w:bCs/>
                <w:color w:val="0D0D0D" w:themeColor="text1" w:themeTint="F2"/>
                <w:kern w:val="18"/>
                <w:sz w:val="21"/>
                <w14:textFill>
                  <w14:solidFill>
                    <w14:schemeClr w14:val="tx1">
                      <w14:lumMod w14:val="95000"/>
                      <w14:lumOff w14:val="5000"/>
                    </w14:schemeClr>
                  </w14:solidFill>
                </w14:textFill>
              </w:rPr>
            </w:pPr>
            <w:r>
              <w:rPr>
                <w:rFonts w:cs="Times New Roman"/>
                <w:bCs/>
                <w:color w:val="0D0D0D" w:themeColor="text1" w:themeTint="F2"/>
                <w:kern w:val="18"/>
                <w:sz w:val="21"/>
                <w14:textFill>
                  <w14:solidFill>
                    <w14:schemeClr w14:val="tx1">
                      <w14:lumMod w14:val="95000"/>
                      <w14:lumOff w14:val="5000"/>
                    </w14:schemeClr>
                  </w14:solidFill>
                </w14:textFill>
              </w:rPr>
              <w:t>危险废物</w:t>
            </w:r>
            <w:r>
              <w:rPr>
                <w:rFonts w:hint="eastAsia" w:cs="Times New Roman"/>
                <w:bCs/>
                <w:color w:val="0D0D0D" w:themeColor="text1" w:themeTint="F2"/>
                <w:kern w:val="18"/>
                <w:sz w:val="21"/>
                <w14:textFill>
                  <w14:solidFill>
                    <w14:schemeClr w14:val="tx1">
                      <w14:lumMod w14:val="95000"/>
                      <w14:lumOff w14:val="5000"/>
                    </w14:schemeClr>
                  </w14:solidFill>
                </w14:textFill>
              </w:rPr>
              <w:t>标志</w:t>
            </w:r>
          </w:p>
        </w:tc>
        <w:tc>
          <w:tcPr>
            <w:tcW w:w="1767" w:type="pct"/>
            <w:tcBorders>
              <w:top w:val="single" w:color="auto" w:sz="4" w:space="0"/>
              <w:left w:val="single" w:color="auto" w:sz="4" w:space="0"/>
            </w:tcBorders>
            <w:vAlign w:val="center"/>
          </w:tcPr>
          <w:p w14:paraId="3A0B34A8">
            <w:pPr>
              <w:spacing w:line="240" w:lineRule="auto"/>
              <w:jc w:val="center"/>
              <w:rPr>
                <w:rFonts w:cs="Times New Roman"/>
                <w:bCs/>
                <w:color w:val="0D0D0D" w:themeColor="text1" w:themeTint="F2"/>
                <w:kern w:val="18"/>
                <w:sz w:val="21"/>
                <w14:textFill>
                  <w14:solidFill>
                    <w14:schemeClr w14:val="tx1">
                      <w14:lumMod w14:val="95000"/>
                      <w14:lumOff w14:val="5000"/>
                    </w14:schemeClr>
                  </w14:solidFill>
                </w14:textFill>
              </w:rPr>
            </w:pPr>
            <w:r>
              <w:rPr>
                <w:rFonts w:hint="eastAsia" w:cs="Times New Roman"/>
                <w:bCs/>
                <w:color w:val="0D0D0D" w:themeColor="text1" w:themeTint="F2"/>
                <w:kern w:val="18"/>
                <w:sz w:val="21"/>
                <w14:textFill>
                  <w14:solidFill>
                    <w14:schemeClr w14:val="tx1">
                      <w14:lumMod w14:val="95000"/>
                      <w14:lumOff w14:val="5000"/>
                    </w14:schemeClr>
                  </w14:solidFill>
                </w14:textFill>
              </w:rPr>
              <w:t>/</w:t>
            </w:r>
          </w:p>
        </w:tc>
      </w:tr>
    </w:tbl>
    <w:p w14:paraId="3F7FD0C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②排污口建档管理</w:t>
      </w:r>
    </w:p>
    <w:p w14:paraId="2579B04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项目应使用国家环保局统一印制的《中华人民共和国规范化排污口标志登记证》，并按要求填写有关内容，项目建成后，应将主要污染物种类、数量、浓度、排放去向、达标情况及设施运行情况记录于档案。</w:t>
      </w:r>
    </w:p>
    <w:p w14:paraId="27F1ED7B">
      <w:pPr>
        <w:pStyle w:val="8"/>
      </w:pPr>
      <w:bookmarkStart w:id="252" w:name="_Toc204062703"/>
      <w:r>
        <w:rPr>
          <w:rFonts w:hint="eastAsia"/>
        </w:rPr>
        <w:t>排污许可与信息公开</w:t>
      </w:r>
      <w:bookmarkEnd w:id="252"/>
    </w:p>
    <w:p w14:paraId="52DA7BD8">
      <w:pPr>
        <w:pStyle w:val="9"/>
        <w:numPr>
          <w:ilvl w:val="2"/>
          <w:numId w:val="69"/>
        </w:numPr>
      </w:pPr>
      <w:bookmarkStart w:id="253" w:name="_Toc204062704"/>
      <w:r>
        <w:rPr>
          <w:rFonts w:hint="eastAsia"/>
        </w:rPr>
        <w:t>排污许可管理</w:t>
      </w:r>
      <w:bookmarkEnd w:id="253"/>
    </w:p>
    <w:p w14:paraId="0F2A023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目前我国正在推进排污许可制度改革工作，并将其作为“十四五”国家固定源环境管理的核心。将排污许可制建设成为固定污染源环境管理的核心制度，作为企业守法、部门执法、社会监督的依据，为提高环境管理效能和改善环境质量奠定坚实基础。</w:t>
      </w:r>
    </w:p>
    <w:p w14:paraId="23650BD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应严格按照国家排污许可证改革的要求，推进污染源“一证式”管理工作，并作为建设单位在生产运营期接受环境监管和环境保护部门实施监管的主要法律文书，单位依法申领排污许可证，按证排污，自证守法。环境保护部门基于企事业单位守法承诺，依法发放排污许可证，依证强化事中事后监管，对违法排污行为实施严厉打击。</w:t>
      </w:r>
    </w:p>
    <w:p w14:paraId="6EEA138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关于做好环境影响评价制度与排污许可制衔接相关工作的通知》（环办环评〔2017〕84号）中的相关规定：建设单位发生实际排污行为之前应当按照国家环境保护相关法律法规及排污许可证申请与核发技术规范要求申请排污许可证，不得无证排污或不按证排污。建设项目无证排污或不按证排污的，建设单位不得出具项目验收合格的意见，验收报告中与污染物排放相关主要内容应该纳入项目验收完成当年排污许可证执行年报。建设项目经批准后，性质、规模、地点、采用的生产工艺或防治污染、防止生态破坏的措施发生重大变动的，建设单位应当依法重新报批，并在申请排污许可时提交重新报批的环评批复。建设单位在报批项目时，应当登录建设项目环评审批信息申报系统，在线填报相关信息并对信息的真实性、准确性和完整性负责。</w:t>
      </w:r>
    </w:p>
    <w:p w14:paraId="3105003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根据《固定污染源排污许可分类管理名录（2019年版）》（生态环境</w:t>
      </w:r>
      <w:r>
        <w:rPr>
          <w:rFonts w:hint="eastAsia"/>
          <w:color w:val="0D0D0D" w:themeColor="text1" w:themeTint="F2"/>
          <w:lang w:eastAsia="zh-CN"/>
          <w14:textFill>
            <w14:solidFill>
              <w14:schemeClr w14:val="tx1">
                <w14:lumMod w14:val="95000"/>
                <w14:lumOff w14:val="5000"/>
              </w14:schemeClr>
            </w14:solidFill>
          </w14:textFill>
        </w:rPr>
        <w:t>部令</w:t>
      </w:r>
      <w:r>
        <w:rPr>
          <w:rFonts w:hint="eastAsia"/>
          <w:color w:val="0D0D0D" w:themeColor="text1" w:themeTint="F2"/>
          <w14:textFill>
            <w14:solidFill>
              <w14:schemeClr w14:val="tx1">
                <w14:lumMod w14:val="95000"/>
                <w14:lumOff w14:val="5000"/>
              </w14:schemeClr>
            </w14:solidFill>
          </w14:textFill>
        </w:rPr>
        <w:t>第11号），项目属于“三十七、废弃资源综合利用业42，金属废料和碎屑加工处理421，非金属废料和碎屑加工处理422”中的“废电池、废油、废轮胎加工处理”，实行重点管理，同时项目也属于“二十、石油、煤炭及其他燃料加工业25，生物质燃料加工254”中的“其他”类别，实行登记管理，最终确定项目属于实施重点管理的行业，应参照《排污许可证申请与核发技术规范  废弃资源加工工业》（HJ1024-2019）申请排污许可证。</w:t>
      </w:r>
    </w:p>
    <w:p w14:paraId="18E2940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排污单位应当严格执行排污许可证的规定，遵守下列要求：</w:t>
      </w:r>
    </w:p>
    <w:p w14:paraId="4755D61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（1）新建项目的排污单位应当在投入生产或使用并产生实际排污行为之前申请领取排污许可证。</w:t>
      </w:r>
    </w:p>
    <w:p w14:paraId="430217E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（2）排污单位依法按照排污许可证申请与核发技术规范提交排污许可申请，申报排放污染物种类、排放浓度等，测算并申报污染物排放量。</w:t>
      </w:r>
    </w:p>
    <w:p w14:paraId="425AD41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排污单位在申请排污许可证前，应当将主要申请内容，包括排污单位基本信息、拟申请的许可事项、产排污环节、污染防治设施，通过国家排污许可证管理信息平台或者其他规定途径等便于公众知晓的方式向社会公开。公开时间不得少于5日。</w:t>
      </w:r>
    </w:p>
    <w:p w14:paraId="3186C5B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排污单位应当在国家排污许可证管理信息平台上填报并提交排污许可证申请，同时向有核发权限的环境保护主管部门提交通过平台印制的书面申请材料。排污单位对申请材料的真实性、合法性、完整性负法律责任。申请材料应当包括：</w:t>
      </w:r>
    </w:p>
    <w:p w14:paraId="1A5C4ED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①排污许可证申请表，主要内容包括：排污单位基本信息，主要生产装置，废气、废水等产排污环节和污染防治设施，申请的排污口位置和数量、排放方式、排放去向、排放污染物种类、排放浓度和排放量、执行的排放标准。</w:t>
      </w:r>
    </w:p>
    <w:p w14:paraId="6249082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②有排污单位法定代表人或者实际负责人签字或盖章的承诺书。主要承诺内容包括：对申请材料真实性、合法性、完整性负法律责任；按排污许可证的要求控制污染物排放；按照相关标准规范开展自行监测、台账记录；按时提交执行报告并及时公开相关信息等。</w:t>
      </w:r>
    </w:p>
    <w:p w14:paraId="26CBE5D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③排污单位按照有关要求进行排污口和监测孔规范化设置的情况说明。</w:t>
      </w:r>
    </w:p>
    <w:p w14:paraId="773E339C">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④建设项目环境影响评价批复文号，或按照《国务院办公厅关于加强环境监管执法的通知》（国办发〔2014〕56号）要求，经地方政府依法处理、整顿规范并符合要求的相关证明材料。</w:t>
      </w:r>
    </w:p>
    <w:p w14:paraId="284EF03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⑤还应提供纳污范围、纳污企业名单、管网布置、最终排放去向等材料。</w:t>
      </w:r>
    </w:p>
    <w:p w14:paraId="3D563AB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⑥法律法规规定的其他材料。</w:t>
      </w:r>
    </w:p>
    <w:p w14:paraId="5505CEE2">
      <w:pPr>
        <w:pStyle w:val="9"/>
      </w:pPr>
      <w:bookmarkStart w:id="254" w:name="_Toc204062705"/>
      <w:r>
        <w:rPr>
          <w:rFonts w:hint="eastAsia"/>
        </w:rPr>
        <w:t>社会公开信息内容</w:t>
      </w:r>
      <w:bookmarkEnd w:id="254"/>
    </w:p>
    <w:p w14:paraId="045D328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企业环境信息依法披露管理办法》（2021年12月11日，部令第24号），企业应当建立健全环境信息依法披露管理制度，规范工作规程，明确工作职责，建立准确的环境信息管理台账，妥善保存相关原始记录，科学统计归集相关环境信息。企业年度环境信息依法披露报告应当包括以下内容：</w:t>
      </w:r>
    </w:p>
    <w:p w14:paraId="06695C9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（1）企业基本信息，包括企业生产和生态环境保护等方面的基础信息。</w:t>
      </w:r>
    </w:p>
    <w:p w14:paraId="1311A8A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（2）企业环境管理信息，包括生态环境行政许可、环境保护税、环境污染责任保险、环保信用评价等方面的信息。</w:t>
      </w:r>
    </w:p>
    <w:p w14:paraId="277FF76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（3）污染物产生、治理与排放信息，包括污染防治设施，污染物排放，有毒有害物质排放，工业固体废物和危险废物产生、贮存、流向、利用、处置，自行监测等方面的信息。</w:t>
      </w:r>
    </w:p>
    <w:p w14:paraId="73439B2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（4）碳排放信息，包括排放量、排放设施等方面的信息。</w:t>
      </w:r>
    </w:p>
    <w:p w14:paraId="03A4653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（5）生态环境应急信息，包括突发环境事件应急预案、重污染天气应急响应等方面的信息。</w:t>
      </w:r>
    </w:p>
    <w:p w14:paraId="54CAAE7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（6）生态环境违法信息。</w:t>
      </w:r>
    </w:p>
    <w:p w14:paraId="7E94D94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（7）本年度临时环境信息依法披露情况。</w:t>
      </w:r>
    </w:p>
    <w:p w14:paraId="348AD67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（8）法律法规规定的其他环境信息。</w:t>
      </w:r>
    </w:p>
    <w:p w14:paraId="67981461">
      <w:pPr>
        <w:pStyle w:val="8"/>
      </w:pPr>
      <w:bookmarkStart w:id="255" w:name="_Toc204062706"/>
      <w:r>
        <w:rPr>
          <w:rFonts w:hint="eastAsia"/>
        </w:rPr>
        <w:t>环境监测计划</w:t>
      </w:r>
      <w:bookmarkEnd w:id="255"/>
    </w:p>
    <w:p w14:paraId="4AD90A08">
      <w:pPr>
        <w:pStyle w:val="9"/>
        <w:numPr>
          <w:ilvl w:val="2"/>
          <w:numId w:val="70"/>
        </w:numPr>
      </w:pPr>
      <w:bookmarkStart w:id="256" w:name="_Toc204062707"/>
      <w:r>
        <w:rPr>
          <w:rFonts w:hint="eastAsia"/>
        </w:rPr>
        <w:t>污染源监测</w:t>
      </w:r>
      <w:bookmarkEnd w:id="256"/>
    </w:p>
    <w:p w14:paraId="379619D7">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根据《排污单位自行监测技术指南  总则》（HJ819-2017），企业自行监测的内容主要为污染物排放监测、周边环境质量影响监测、关键工艺参数监测和污染治理设施处理效果监测，非重点排污单位主要排放口主要监测指标的监测最低频次为“半年/年”、主要排放口其他监测指标以及其他排放口监测指标的监测最低频次为“年”。</w:t>
      </w:r>
    </w:p>
    <w:p w14:paraId="5C014E97">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根据《排污许可证申请与核发技术规范  锅炉》（HJ953-2018），锅炉排污单位废气排放口分为主要排放口和一般排放口，单台出力10t/h（7MW）及以上或者合计出力20t/h（14MW）及以上锅炉排污单位的所有烟囱排放口为主要排放口，其他有组织排放口均为一般排放口。项目导热油炉合计16t/h，排气筒属于一般排放口。</w:t>
      </w:r>
    </w:p>
    <w:p w14:paraId="539D4EAC">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根据《国家重点监控企业自行监测及信息公开办法（试行）》（环发〔2013〕81号）、《排污单位自行监测技术指南  总则》（HJ817-2017）、《排污单位自行监测技术指南  火力发电及锅炉》、《排污许可证申请与核发技术规范  废弃资源加工工业》（HJ1024-2019）、的规定，企业可依托自有人员、场所、设备开展自行监测，也可委托其他检（监）测机构代其开展自行监测。</w:t>
      </w:r>
    </w:p>
    <w:p w14:paraId="42940A58">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企业污染源监测计划详见表9.4-1。</w:t>
      </w:r>
    </w:p>
    <w:p w14:paraId="3800F21A">
      <w:pPr>
        <w:pStyle w:val="11"/>
        <w:numPr>
          <w:ilvl w:val="4"/>
          <w:numId w:val="71"/>
        </w:numPr>
      </w:pPr>
      <w:r>
        <w:rPr>
          <w:rFonts w:hint="eastAsia"/>
        </w:rPr>
        <w:t xml:space="preserve"> 污染源监测计划一览表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884"/>
        <w:gridCol w:w="1101"/>
        <w:gridCol w:w="1863"/>
        <w:gridCol w:w="2663"/>
        <w:gridCol w:w="1085"/>
        <w:gridCol w:w="1085"/>
      </w:tblGrid>
      <w:tr w14:paraId="523BD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1" w:type="dxa"/>
            <w:vAlign w:val="center"/>
          </w:tcPr>
          <w:p w14:paraId="175497AE">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监测时段</w:t>
            </w:r>
          </w:p>
        </w:tc>
        <w:tc>
          <w:tcPr>
            <w:tcW w:w="884" w:type="dxa"/>
            <w:vAlign w:val="center"/>
          </w:tcPr>
          <w:p w14:paraId="0C4A2817">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监测</w:t>
            </w:r>
          </w:p>
          <w:p w14:paraId="234BA596">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类别</w:t>
            </w:r>
          </w:p>
        </w:tc>
        <w:tc>
          <w:tcPr>
            <w:tcW w:w="1101" w:type="dxa"/>
            <w:vAlign w:val="center"/>
          </w:tcPr>
          <w:p w14:paraId="1582BC72">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监测</w:t>
            </w:r>
          </w:p>
          <w:p w14:paraId="281C27E3">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点位</w:t>
            </w:r>
          </w:p>
        </w:tc>
        <w:tc>
          <w:tcPr>
            <w:tcW w:w="1864" w:type="dxa"/>
            <w:vAlign w:val="center"/>
          </w:tcPr>
          <w:p w14:paraId="5B32F260">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监测频率</w:t>
            </w:r>
          </w:p>
        </w:tc>
        <w:tc>
          <w:tcPr>
            <w:tcW w:w="0" w:type="auto"/>
            <w:vAlign w:val="center"/>
          </w:tcPr>
          <w:p w14:paraId="4C892E9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监测项目</w:t>
            </w:r>
          </w:p>
        </w:tc>
        <w:tc>
          <w:tcPr>
            <w:tcW w:w="0" w:type="auto"/>
            <w:vAlign w:val="center"/>
          </w:tcPr>
          <w:p w14:paraId="45CCDE93">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监测机构</w:t>
            </w:r>
          </w:p>
        </w:tc>
        <w:tc>
          <w:tcPr>
            <w:tcW w:w="0" w:type="auto"/>
            <w:vAlign w:val="center"/>
          </w:tcPr>
          <w:p w14:paraId="5F837C13">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监督单位</w:t>
            </w:r>
          </w:p>
        </w:tc>
      </w:tr>
      <w:tr w14:paraId="7EF57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1" w:type="dxa"/>
            <w:vMerge w:val="restart"/>
            <w:vAlign w:val="center"/>
          </w:tcPr>
          <w:p w14:paraId="5D38E0D8">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运营期</w:t>
            </w:r>
          </w:p>
        </w:tc>
        <w:tc>
          <w:tcPr>
            <w:tcW w:w="884" w:type="dxa"/>
            <w:vMerge w:val="restart"/>
            <w:vAlign w:val="center"/>
          </w:tcPr>
          <w:p w14:paraId="6A16A199">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废气</w:t>
            </w:r>
          </w:p>
        </w:tc>
        <w:tc>
          <w:tcPr>
            <w:tcW w:w="1101" w:type="dxa"/>
            <w:vAlign w:val="center"/>
          </w:tcPr>
          <w:p w14:paraId="01425057">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DA001</w:t>
            </w:r>
          </w:p>
        </w:tc>
        <w:tc>
          <w:tcPr>
            <w:tcW w:w="1864" w:type="dxa"/>
            <w:vAlign w:val="center"/>
          </w:tcPr>
          <w:p w14:paraId="6810C057">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1次/半年</w:t>
            </w:r>
          </w:p>
        </w:tc>
        <w:tc>
          <w:tcPr>
            <w:tcW w:w="0" w:type="auto"/>
            <w:vAlign w:val="center"/>
          </w:tcPr>
          <w:p w14:paraId="65AFC649">
            <w:pPr>
              <w:spacing w:line="240" w:lineRule="auto"/>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甲醇、非甲烷总烃、臭气浓度、氨、硫化氢、</w:t>
            </w:r>
          </w:p>
        </w:tc>
        <w:tc>
          <w:tcPr>
            <w:tcW w:w="0" w:type="auto"/>
            <w:vMerge w:val="restart"/>
            <w:vAlign w:val="center"/>
          </w:tcPr>
          <w:p w14:paraId="2356CD6A">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snapToGrid w:val="0"/>
                <w:color w:val="0D0D0D" w:themeColor="text1" w:themeTint="F2"/>
                <w:kern w:val="0"/>
                <w:sz w:val="21"/>
                <w:szCs w:val="21"/>
                <w:u w:val="single"/>
                <w14:textFill>
                  <w14:solidFill>
                    <w14:schemeClr w14:val="tx1">
                      <w14:lumMod w14:val="95000"/>
                      <w14:lumOff w14:val="5000"/>
                    </w14:schemeClr>
                  </w14:solidFill>
                </w14:textFill>
              </w:rPr>
              <w:t>有资质的监测单位</w:t>
            </w:r>
          </w:p>
        </w:tc>
        <w:tc>
          <w:tcPr>
            <w:tcW w:w="0" w:type="auto"/>
            <w:vMerge w:val="restart"/>
            <w:vAlign w:val="center"/>
          </w:tcPr>
          <w:p w14:paraId="54132EC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钦州市生态环境局</w:t>
            </w:r>
          </w:p>
        </w:tc>
      </w:tr>
      <w:tr w14:paraId="15688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1" w:type="dxa"/>
            <w:vMerge w:val="continue"/>
            <w:vAlign w:val="center"/>
          </w:tcPr>
          <w:p w14:paraId="15F8C1D3">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884" w:type="dxa"/>
            <w:vMerge w:val="continue"/>
            <w:vAlign w:val="center"/>
          </w:tcPr>
          <w:p w14:paraId="03307B1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101" w:type="dxa"/>
            <w:vAlign w:val="center"/>
          </w:tcPr>
          <w:p w14:paraId="75F018F8">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DA002</w:t>
            </w:r>
          </w:p>
        </w:tc>
        <w:tc>
          <w:tcPr>
            <w:tcW w:w="1864" w:type="dxa"/>
            <w:vAlign w:val="center"/>
          </w:tcPr>
          <w:p w14:paraId="16FAD198">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1次/半年</w:t>
            </w:r>
          </w:p>
        </w:tc>
        <w:tc>
          <w:tcPr>
            <w:tcW w:w="0" w:type="auto"/>
            <w:vAlign w:val="center"/>
          </w:tcPr>
          <w:p w14:paraId="2F476333">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SO</w:t>
            </w:r>
            <w:r>
              <w:rPr>
                <w:rFonts w:cs="Times New Roman"/>
                <w:color w:val="0D0D0D" w:themeColor="text1" w:themeTint="F2"/>
                <w:kern w:val="0"/>
                <w:sz w:val="21"/>
                <w:szCs w:val="21"/>
                <w:u w:val="single"/>
                <w:vertAlign w:val="subscript"/>
                <w14:textFill>
                  <w14:solidFill>
                    <w14:schemeClr w14:val="tx1">
                      <w14:lumMod w14:val="95000"/>
                      <w14:lumOff w14:val="5000"/>
                    </w14:schemeClr>
                  </w14:solidFill>
                </w14:textFill>
              </w:rPr>
              <w:t>2</w:t>
            </w:r>
            <w:r>
              <w:rPr>
                <w:rFonts w:cs="Times New Roman"/>
                <w:color w:val="0D0D0D" w:themeColor="text1" w:themeTint="F2"/>
                <w:kern w:val="0"/>
                <w:sz w:val="21"/>
                <w:szCs w:val="21"/>
                <w:u w:val="single"/>
                <w14:textFill>
                  <w14:solidFill>
                    <w14:schemeClr w14:val="tx1">
                      <w14:lumMod w14:val="95000"/>
                      <w14:lumOff w14:val="5000"/>
                    </w14:schemeClr>
                  </w14:solidFill>
                </w14:textFill>
              </w:rPr>
              <w:t>、NOx、颗粒物</w:t>
            </w:r>
          </w:p>
        </w:tc>
        <w:tc>
          <w:tcPr>
            <w:tcW w:w="0" w:type="auto"/>
            <w:vMerge w:val="continue"/>
            <w:vAlign w:val="center"/>
          </w:tcPr>
          <w:p w14:paraId="60B57118">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0" w:type="auto"/>
            <w:vMerge w:val="continue"/>
            <w:vAlign w:val="center"/>
          </w:tcPr>
          <w:p w14:paraId="2BC09032">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r>
      <w:tr w14:paraId="77AF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1" w:type="dxa"/>
            <w:vMerge w:val="continue"/>
            <w:vAlign w:val="center"/>
          </w:tcPr>
          <w:p w14:paraId="57A89E5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884" w:type="dxa"/>
            <w:vMerge w:val="continue"/>
            <w:vAlign w:val="center"/>
          </w:tcPr>
          <w:p w14:paraId="7AD081F8">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101" w:type="dxa"/>
            <w:vAlign w:val="center"/>
          </w:tcPr>
          <w:p w14:paraId="2C16F0AB">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厂界</w:t>
            </w:r>
          </w:p>
        </w:tc>
        <w:tc>
          <w:tcPr>
            <w:tcW w:w="1864" w:type="dxa"/>
            <w:vAlign w:val="center"/>
          </w:tcPr>
          <w:p w14:paraId="071BA76B">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1次/半年</w:t>
            </w:r>
          </w:p>
        </w:tc>
        <w:tc>
          <w:tcPr>
            <w:tcW w:w="0" w:type="auto"/>
            <w:vAlign w:val="center"/>
          </w:tcPr>
          <w:p w14:paraId="4AF25870">
            <w:pPr>
              <w:spacing w:line="240" w:lineRule="auto"/>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NH</w:t>
            </w:r>
            <w:r>
              <w:rPr>
                <w:rFonts w:cs="Times New Roman"/>
                <w:color w:val="0D0D0D" w:themeColor="text1" w:themeTint="F2"/>
                <w:kern w:val="0"/>
                <w:sz w:val="21"/>
                <w:szCs w:val="21"/>
                <w:u w:val="single"/>
                <w:vertAlign w:val="subscript"/>
                <w14:textFill>
                  <w14:solidFill>
                    <w14:schemeClr w14:val="tx1">
                      <w14:lumMod w14:val="95000"/>
                      <w14:lumOff w14:val="5000"/>
                    </w14:schemeClr>
                  </w14:solidFill>
                </w14:textFill>
              </w:rPr>
              <w:t>3</w:t>
            </w:r>
            <w:r>
              <w:rPr>
                <w:rFonts w:cs="Times New Roman"/>
                <w:color w:val="0D0D0D" w:themeColor="text1" w:themeTint="F2"/>
                <w:kern w:val="0"/>
                <w:sz w:val="21"/>
                <w:szCs w:val="21"/>
                <w:u w:val="single"/>
                <w14:textFill>
                  <w14:solidFill>
                    <w14:schemeClr w14:val="tx1">
                      <w14:lumMod w14:val="95000"/>
                      <w14:lumOff w14:val="5000"/>
                    </w14:schemeClr>
                  </w14:solidFill>
                </w14:textFill>
              </w:rPr>
              <w:t>、H</w:t>
            </w:r>
            <w:r>
              <w:rPr>
                <w:rFonts w:cs="Times New Roman"/>
                <w:color w:val="0D0D0D" w:themeColor="text1" w:themeTint="F2"/>
                <w:kern w:val="0"/>
                <w:sz w:val="21"/>
                <w:szCs w:val="21"/>
                <w:u w:val="single"/>
                <w:vertAlign w:val="subscript"/>
                <w14:textFill>
                  <w14:solidFill>
                    <w14:schemeClr w14:val="tx1">
                      <w14:lumMod w14:val="95000"/>
                      <w14:lumOff w14:val="5000"/>
                    </w14:schemeClr>
                  </w14:solidFill>
                </w14:textFill>
              </w:rPr>
              <w:t>2</w:t>
            </w:r>
            <w:r>
              <w:rPr>
                <w:rFonts w:cs="Times New Roman"/>
                <w:color w:val="0D0D0D" w:themeColor="text1" w:themeTint="F2"/>
                <w:kern w:val="0"/>
                <w:sz w:val="21"/>
                <w:szCs w:val="21"/>
                <w:u w:val="single"/>
                <w14:textFill>
                  <w14:solidFill>
                    <w14:schemeClr w14:val="tx1">
                      <w14:lumMod w14:val="95000"/>
                      <w14:lumOff w14:val="5000"/>
                    </w14:schemeClr>
                  </w14:solidFill>
                </w14:textFill>
              </w:rPr>
              <w:t>S、臭气浓度</w:t>
            </w: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、甲醇、非甲烷总烃、颗粒物</w:t>
            </w:r>
          </w:p>
        </w:tc>
        <w:tc>
          <w:tcPr>
            <w:tcW w:w="0" w:type="auto"/>
            <w:vMerge w:val="continue"/>
            <w:vAlign w:val="center"/>
          </w:tcPr>
          <w:p w14:paraId="4E378CBD">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0" w:type="auto"/>
            <w:vMerge w:val="continue"/>
          </w:tcPr>
          <w:p w14:paraId="441F1683">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r>
      <w:tr w14:paraId="5AAC5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1" w:type="dxa"/>
            <w:vMerge w:val="continue"/>
            <w:vAlign w:val="center"/>
          </w:tcPr>
          <w:p w14:paraId="043BEDBA">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884" w:type="dxa"/>
            <w:vMerge w:val="continue"/>
            <w:vAlign w:val="center"/>
          </w:tcPr>
          <w:p w14:paraId="0A1B9D5D">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1101" w:type="dxa"/>
            <w:vAlign w:val="center"/>
          </w:tcPr>
          <w:p w14:paraId="6070B361">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生产车间</w:t>
            </w:r>
          </w:p>
        </w:tc>
        <w:tc>
          <w:tcPr>
            <w:tcW w:w="1864" w:type="dxa"/>
            <w:vAlign w:val="center"/>
          </w:tcPr>
          <w:p w14:paraId="5E9E6BB9">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1次/半年</w:t>
            </w:r>
          </w:p>
        </w:tc>
        <w:tc>
          <w:tcPr>
            <w:tcW w:w="0" w:type="auto"/>
            <w:vAlign w:val="center"/>
          </w:tcPr>
          <w:p w14:paraId="7E979017">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非甲烷总烃</w:t>
            </w:r>
          </w:p>
        </w:tc>
        <w:tc>
          <w:tcPr>
            <w:tcW w:w="0" w:type="auto"/>
            <w:vMerge w:val="continue"/>
            <w:vAlign w:val="center"/>
          </w:tcPr>
          <w:p w14:paraId="177FB42D">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0" w:type="auto"/>
            <w:vMerge w:val="continue"/>
          </w:tcPr>
          <w:p w14:paraId="192FD287">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r>
      <w:tr w14:paraId="47B29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1" w:type="dxa"/>
            <w:vMerge w:val="continue"/>
            <w:vAlign w:val="center"/>
          </w:tcPr>
          <w:p w14:paraId="70F14B7B">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884" w:type="dxa"/>
            <w:vAlign w:val="center"/>
          </w:tcPr>
          <w:p w14:paraId="73E9B42D">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噪声</w:t>
            </w:r>
          </w:p>
        </w:tc>
        <w:tc>
          <w:tcPr>
            <w:tcW w:w="1101" w:type="dxa"/>
            <w:vAlign w:val="center"/>
          </w:tcPr>
          <w:p w14:paraId="67B22459">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厂界四周</w:t>
            </w:r>
          </w:p>
        </w:tc>
        <w:tc>
          <w:tcPr>
            <w:tcW w:w="1864" w:type="dxa"/>
            <w:vAlign w:val="center"/>
          </w:tcPr>
          <w:p w14:paraId="382949DE">
            <w:pPr>
              <w:spacing w:line="240" w:lineRule="auto"/>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color w:val="0D0D0D" w:themeColor="text1" w:themeTint="F2"/>
                <w:kern w:val="0"/>
                <w:sz w:val="21"/>
                <w:szCs w:val="21"/>
                <w:u w:val="single"/>
                <w14:textFill>
                  <w14:solidFill>
                    <w14:schemeClr w14:val="tx1">
                      <w14:lumMod w14:val="95000"/>
                      <w14:lumOff w14:val="5000"/>
                    </w14:schemeClr>
                  </w14:solidFill>
                </w14:textFill>
              </w:rPr>
              <w:t>1次/季度；每次2天，</w:t>
            </w: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昼、夜各</w:t>
            </w:r>
            <w:r>
              <w:rPr>
                <w:rFonts w:cs="Times New Roman"/>
                <w:color w:val="0D0D0D" w:themeColor="text1" w:themeTint="F2"/>
                <w:kern w:val="0"/>
                <w:sz w:val="21"/>
                <w:szCs w:val="21"/>
                <w:u w:val="single"/>
                <w14:textFill>
                  <w14:solidFill>
                    <w14:schemeClr w14:val="tx1">
                      <w14:lumMod w14:val="95000"/>
                      <w14:lumOff w14:val="5000"/>
                    </w14:schemeClr>
                  </w14:solidFill>
                </w14:textFill>
              </w:rPr>
              <w:t>1次</w:t>
            </w:r>
          </w:p>
        </w:tc>
        <w:tc>
          <w:tcPr>
            <w:tcW w:w="0" w:type="auto"/>
            <w:vAlign w:val="center"/>
          </w:tcPr>
          <w:p w14:paraId="230393D4">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cs="Times New Roman"/>
                <w:snapToGrid w:val="0"/>
                <w:color w:val="0D0D0D" w:themeColor="text1" w:themeTint="F2"/>
                <w:kern w:val="0"/>
                <w:sz w:val="21"/>
                <w:szCs w:val="21"/>
                <w:u w:val="single"/>
                <w14:textFill>
                  <w14:solidFill>
                    <w14:schemeClr w14:val="tx1">
                      <w14:lumMod w14:val="95000"/>
                      <w14:lumOff w14:val="5000"/>
                    </w14:schemeClr>
                  </w14:solidFill>
                </w14:textFill>
              </w:rPr>
              <w:t>Leq(A)</w:t>
            </w:r>
          </w:p>
        </w:tc>
        <w:tc>
          <w:tcPr>
            <w:tcW w:w="0" w:type="auto"/>
            <w:vMerge w:val="continue"/>
            <w:vAlign w:val="center"/>
          </w:tcPr>
          <w:p w14:paraId="5B4AFF1C">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c>
          <w:tcPr>
            <w:tcW w:w="0" w:type="auto"/>
            <w:vMerge w:val="continue"/>
          </w:tcPr>
          <w:p w14:paraId="6729BFDE">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p>
        </w:tc>
      </w:tr>
    </w:tbl>
    <w:p w14:paraId="5529124D">
      <w:pPr>
        <w:pStyle w:val="9"/>
      </w:pPr>
      <w:bookmarkStart w:id="257" w:name="_Toc204062708"/>
      <w:r>
        <w:rPr>
          <w:rFonts w:hint="eastAsia"/>
        </w:rPr>
        <w:t>环境质量监测</w:t>
      </w:r>
      <w:bookmarkEnd w:id="257"/>
    </w:p>
    <w:p w14:paraId="203634A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企业环境质量监测计划详见表9.4-2。</w:t>
      </w:r>
    </w:p>
    <w:p w14:paraId="01634BF1">
      <w:pPr>
        <w:pStyle w:val="11"/>
      </w:pPr>
      <w:r>
        <w:rPr>
          <w:rFonts w:hint="eastAsia"/>
        </w:rPr>
        <w:t xml:space="preserve"> 环境质量监测计划一览表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832"/>
        <w:gridCol w:w="832"/>
        <w:gridCol w:w="4693"/>
        <w:gridCol w:w="1126"/>
        <w:gridCol w:w="1126"/>
      </w:tblGrid>
      <w:tr w14:paraId="448B7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3" w:type="pct"/>
            <w:vAlign w:val="center"/>
          </w:tcPr>
          <w:p w14:paraId="711F9563">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监测</w:t>
            </w:r>
          </w:p>
          <w:p w14:paraId="1258EE6C">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类别</w:t>
            </w:r>
          </w:p>
        </w:tc>
        <w:tc>
          <w:tcPr>
            <w:tcW w:w="450" w:type="pct"/>
            <w:vAlign w:val="center"/>
          </w:tcPr>
          <w:p w14:paraId="61541A4D">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监测</w:t>
            </w:r>
          </w:p>
          <w:p w14:paraId="78BF5A0E">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点位</w:t>
            </w:r>
          </w:p>
        </w:tc>
        <w:tc>
          <w:tcPr>
            <w:tcW w:w="450" w:type="pct"/>
            <w:vAlign w:val="center"/>
          </w:tcPr>
          <w:p w14:paraId="7C196588">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监测</w:t>
            </w:r>
          </w:p>
          <w:p w14:paraId="5FEECD76">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频率</w:t>
            </w:r>
          </w:p>
        </w:tc>
        <w:tc>
          <w:tcPr>
            <w:tcW w:w="2539" w:type="pct"/>
            <w:vAlign w:val="center"/>
          </w:tcPr>
          <w:p w14:paraId="674D03CD">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监测项目</w:t>
            </w:r>
          </w:p>
        </w:tc>
        <w:tc>
          <w:tcPr>
            <w:tcW w:w="609" w:type="pct"/>
            <w:vAlign w:val="center"/>
          </w:tcPr>
          <w:p w14:paraId="1097CAC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监测机构</w:t>
            </w:r>
          </w:p>
        </w:tc>
        <w:tc>
          <w:tcPr>
            <w:tcW w:w="609" w:type="pct"/>
            <w:vAlign w:val="center"/>
          </w:tcPr>
          <w:p w14:paraId="2A4C19ED">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监督单位</w:t>
            </w:r>
          </w:p>
        </w:tc>
      </w:tr>
      <w:tr w14:paraId="57BE3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3" w:type="pct"/>
            <w:vAlign w:val="center"/>
          </w:tcPr>
          <w:p w14:paraId="17276A4E">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地下水</w:t>
            </w:r>
          </w:p>
        </w:tc>
        <w:tc>
          <w:tcPr>
            <w:tcW w:w="450" w:type="pct"/>
            <w:vAlign w:val="center"/>
          </w:tcPr>
          <w:p w14:paraId="5E25EC07">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监控井</w:t>
            </w:r>
          </w:p>
        </w:tc>
        <w:tc>
          <w:tcPr>
            <w:tcW w:w="450" w:type="pct"/>
            <w:vAlign w:val="center"/>
          </w:tcPr>
          <w:p w14:paraId="6FDCC37F">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1次/半年</w:t>
            </w:r>
          </w:p>
        </w:tc>
        <w:tc>
          <w:tcPr>
            <w:tcW w:w="2539" w:type="pct"/>
            <w:vAlign w:val="center"/>
          </w:tcPr>
          <w:p w14:paraId="0344E21E">
            <w:pPr>
              <w:spacing w:line="240" w:lineRule="auto"/>
              <w:rPr>
                <w:rFonts w:cs="Times New Roman"/>
                <w:snapToGrid w:val="0"/>
                <w:color w:val="0D0D0D" w:themeColor="text1" w:themeTint="F2"/>
                <w:kern w:val="0"/>
                <w:sz w:val="21"/>
                <w:szCs w:val="21"/>
                <w:u w:val="single"/>
                <w14:textFill>
                  <w14:solidFill>
                    <w14:schemeClr w14:val="tx1">
                      <w14:lumMod w14:val="95000"/>
                      <w14:lumOff w14:val="5000"/>
                    </w14:schemeClr>
                  </w14:solidFill>
                </w14:textFill>
              </w:rPr>
            </w:pPr>
            <w:r>
              <w:rPr>
                <w:rFonts w:cs="Times New Roman"/>
                <w:snapToGrid w:val="0"/>
                <w:color w:val="0D0D0D" w:themeColor="text1" w:themeTint="F2"/>
                <w:kern w:val="0"/>
                <w:sz w:val="21"/>
                <w:szCs w:val="21"/>
                <w:u w:val="single"/>
                <w14:textFill>
                  <w14:solidFill>
                    <w14:schemeClr w14:val="tx1">
                      <w14:lumMod w14:val="95000"/>
                      <w14:lumOff w14:val="5000"/>
                    </w14:schemeClr>
                  </w14:solidFill>
                </w14:textFill>
              </w:rPr>
              <w:t>耗氧量、氨氮、总硬度、硝酸盐氮、亚硝酸盐氮、氯化物、挥发酚、六价铬、总大肠菌群、石油类</w:t>
            </w:r>
          </w:p>
        </w:tc>
        <w:tc>
          <w:tcPr>
            <w:tcW w:w="609" w:type="pct"/>
            <w:vAlign w:val="center"/>
          </w:tcPr>
          <w:p w14:paraId="04A3397F">
            <w:pPr>
              <w:spacing w:line="240" w:lineRule="auto"/>
              <w:jc w:val="center"/>
              <w:rPr>
                <w:rFonts w:cs="Times New Roman"/>
                <w:snapToGrid w:val="0"/>
                <w:color w:val="0D0D0D" w:themeColor="text1" w:themeTint="F2"/>
                <w:kern w:val="0"/>
                <w:sz w:val="21"/>
                <w:szCs w:val="21"/>
                <w:u w:val="single"/>
                <w14:textFill>
                  <w14:solidFill>
                    <w14:schemeClr w14:val="tx1">
                      <w14:lumMod w14:val="95000"/>
                      <w14:lumOff w14:val="5000"/>
                    </w14:schemeClr>
                  </w14:solidFill>
                </w14:textFill>
              </w:rPr>
            </w:pPr>
            <w:r>
              <w:rPr>
                <w:rFonts w:cs="Times New Roman"/>
                <w:snapToGrid w:val="0"/>
                <w:color w:val="0D0D0D" w:themeColor="text1" w:themeTint="F2"/>
                <w:kern w:val="0"/>
                <w:sz w:val="21"/>
                <w:szCs w:val="21"/>
                <w:u w:val="single"/>
                <w14:textFill>
                  <w14:solidFill>
                    <w14:schemeClr w14:val="tx1">
                      <w14:lumMod w14:val="95000"/>
                      <w14:lumOff w14:val="5000"/>
                    </w14:schemeClr>
                  </w14:solidFill>
                </w14:textFill>
              </w:rPr>
              <w:t>有资质的监测单位</w:t>
            </w:r>
          </w:p>
        </w:tc>
        <w:tc>
          <w:tcPr>
            <w:tcW w:w="609" w:type="pct"/>
            <w:vAlign w:val="center"/>
          </w:tcPr>
          <w:p w14:paraId="04E17125">
            <w:pPr>
              <w:spacing w:line="240" w:lineRule="auto"/>
              <w:jc w:val="center"/>
              <w:rPr>
                <w:rFonts w:cs="Times New Roman"/>
                <w:color w:val="0D0D0D" w:themeColor="text1" w:themeTint="F2"/>
                <w:kern w:val="0"/>
                <w:sz w:val="21"/>
                <w:szCs w:val="21"/>
                <w:u w:val="single"/>
                <w14:textFill>
                  <w14:solidFill>
                    <w14:schemeClr w14:val="tx1">
                      <w14:lumMod w14:val="95000"/>
                      <w14:lumOff w14:val="5000"/>
                    </w14:schemeClr>
                  </w14:solidFill>
                </w14:textFill>
              </w:rPr>
            </w:pPr>
            <w:r>
              <w:rPr>
                <w:rFonts w:hint="eastAsia" w:cs="Times New Roman"/>
                <w:color w:val="0D0D0D" w:themeColor="text1" w:themeTint="F2"/>
                <w:kern w:val="0"/>
                <w:sz w:val="21"/>
                <w:szCs w:val="21"/>
                <w:u w:val="single"/>
                <w14:textFill>
                  <w14:solidFill>
                    <w14:schemeClr w14:val="tx1">
                      <w14:lumMod w14:val="95000"/>
                      <w14:lumOff w14:val="5000"/>
                    </w14:schemeClr>
                  </w14:solidFill>
                </w14:textFill>
              </w:rPr>
              <w:t>钦州市生态环境局</w:t>
            </w:r>
          </w:p>
        </w:tc>
      </w:tr>
    </w:tbl>
    <w:p w14:paraId="5427D9AB">
      <w:pPr>
        <w:pStyle w:val="8"/>
      </w:pPr>
      <w:bookmarkStart w:id="258" w:name="_Toc204062709"/>
      <w:r>
        <w:rPr>
          <w:rFonts w:hint="eastAsia"/>
        </w:rPr>
        <w:t>环境保护竣工验收</w:t>
      </w:r>
      <w:bookmarkEnd w:id="258"/>
    </w:p>
    <w:p w14:paraId="35D7118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建设项目环境保护管理条例》，项目的建设应执行污染治理设施与主体工程同时设计、同时施工、同时投产使用的“三同时”制度。建设项目在投入生产或者使用前，建设单位应当依据环评文件及其审批意见，可自行或委托第三方机构编制建设项目环境保护设施竣工验收报告，向社会公开并向生态环境部门备案。</w:t>
      </w:r>
    </w:p>
    <w:p w14:paraId="7ECE4DB2">
      <w:pPr>
        <w:pStyle w:val="11"/>
        <w:numPr>
          <w:ilvl w:val="4"/>
          <w:numId w:val="72"/>
        </w:numPr>
      </w:pPr>
      <w:r>
        <w:rPr>
          <w:rFonts w:hint="eastAsia"/>
        </w:rPr>
        <w:t xml:space="preserve"> 项目“三同时”验收一览表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780"/>
        <w:gridCol w:w="3458"/>
        <w:gridCol w:w="3174"/>
      </w:tblGrid>
      <w:tr w14:paraId="16AB6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49" w:type="pct"/>
            <w:vAlign w:val="center"/>
          </w:tcPr>
          <w:p w14:paraId="1BBA93D4">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项目</w:t>
            </w:r>
          </w:p>
        </w:tc>
        <w:tc>
          <w:tcPr>
            <w:tcW w:w="963" w:type="pct"/>
            <w:vAlign w:val="center"/>
          </w:tcPr>
          <w:p w14:paraId="5FC5E08A">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污染源</w:t>
            </w:r>
          </w:p>
        </w:tc>
        <w:tc>
          <w:tcPr>
            <w:tcW w:w="1871" w:type="pct"/>
            <w:vAlign w:val="center"/>
          </w:tcPr>
          <w:p w14:paraId="4543F4A2">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治理措施</w:t>
            </w:r>
          </w:p>
        </w:tc>
        <w:tc>
          <w:tcPr>
            <w:tcW w:w="1717" w:type="pct"/>
            <w:vAlign w:val="center"/>
          </w:tcPr>
          <w:p w14:paraId="5B0CD745">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验收标准</w:t>
            </w:r>
          </w:p>
        </w:tc>
      </w:tr>
      <w:tr w14:paraId="56B4E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vMerge w:val="restart"/>
            <w:vAlign w:val="center"/>
          </w:tcPr>
          <w:p w14:paraId="0670F5BA">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废气</w:t>
            </w:r>
          </w:p>
        </w:tc>
        <w:tc>
          <w:tcPr>
            <w:tcW w:w="963" w:type="pct"/>
            <w:vAlign w:val="center"/>
          </w:tcPr>
          <w:p w14:paraId="368F9519">
            <w:pPr>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生产线工艺废气和储罐大小呼吸废气</w:t>
            </w:r>
          </w:p>
        </w:tc>
        <w:tc>
          <w:tcPr>
            <w:tcW w:w="1871" w:type="pct"/>
            <w:vAlign w:val="center"/>
          </w:tcPr>
          <w:p w14:paraId="3D57A039">
            <w:pPr>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经RCO催化燃烧装置处理后，通过30m高排气筒（DA001）排放</w:t>
            </w:r>
          </w:p>
        </w:tc>
        <w:tc>
          <w:tcPr>
            <w:tcW w:w="1717" w:type="pct"/>
            <w:vAlign w:val="center"/>
          </w:tcPr>
          <w:p w14:paraId="65AA70C3">
            <w:pPr>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《石油炼制工业污染物排放标准》（GB31570-2015）</w:t>
            </w:r>
          </w:p>
        </w:tc>
      </w:tr>
      <w:tr w14:paraId="1BB2E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vMerge w:val="continue"/>
            <w:vAlign w:val="center"/>
          </w:tcPr>
          <w:p w14:paraId="76B43DD7">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963" w:type="pct"/>
            <w:vAlign w:val="center"/>
          </w:tcPr>
          <w:p w14:paraId="7BB55431">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污水处理站</w:t>
            </w:r>
          </w:p>
        </w:tc>
        <w:tc>
          <w:tcPr>
            <w:tcW w:w="1871" w:type="pct"/>
            <w:vAlign w:val="center"/>
          </w:tcPr>
          <w:p w14:paraId="766BDC00">
            <w:pPr>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经“二级碱液喷淋+除雾器”预处理后排入RCO催化燃烧装置处理，最后通过30m高排气筒（DA001）排放；沼气脱硫净化后引至1＃导热油炉燃烧处理</w:t>
            </w:r>
          </w:p>
        </w:tc>
        <w:tc>
          <w:tcPr>
            <w:tcW w:w="1717" w:type="pct"/>
            <w:vAlign w:val="center"/>
          </w:tcPr>
          <w:p w14:paraId="22E3E41D">
            <w:pPr>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《恶臭污染物排放标准》（GB14554-93）</w:t>
            </w:r>
          </w:p>
        </w:tc>
      </w:tr>
      <w:tr w14:paraId="78718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vMerge w:val="continue"/>
            <w:vAlign w:val="center"/>
          </w:tcPr>
          <w:p w14:paraId="0ABA9369">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963" w:type="pct"/>
            <w:vAlign w:val="center"/>
          </w:tcPr>
          <w:p w14:paraId="32B5DAE4">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白土投料粉尘</w:t>
            </w:r>
          </w:p>
        </w:tc>
        <w:tc>
          <w:tcPr>
            <w:tcW w:w="1871" w:type="pct"/>
            <w:vAlign w:val="center"/>
          </w:tcPr>
          <w:p w14:paraId="059B3C11">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无组织排放</w:t>
            </w:r>
          </w:p>
        </w:tc>
        <w:tc>
          <w:tcPr>
            <w:tcW w:w="1717" w:type="pct"/>
            <w:vAlign w:val="center"/>
          </w:tcPr>
          <w:p w14:paraId="2F5C067C">
            <w:pPr>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《石油炼制工业污染物排放标准》（GB31570-2015）</w:t>
            </w:r>
          </w:p>
        </w:tc>
      </w:tr>
      <w:tr w14:paraId="1773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vMerge w:val="continue"/>
            <w:vAlign w:val="center"/>
          </w:tcPr>
          <w:p w14:paraId="0D97AF39">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963" w:type="pct"/>
            <w:vAlign w:val="center"/>
          </w:tcPr>
          <w:p w14:paraId="0F29C978">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导热油炉废气</w:t>
            </w:r>
          </w:p>
        </w:tc>
        <w:tc>
          <w:tcPr>
            <w:tcW w:w="1871" w:type="pct"/>
            <w:vAlign w:val="center"/>
          </w:tcPr>
          <w:p w14:paraId="5122B711">
            <w:pPr>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经配套的“旋风除尘器+布袋除尘器”处理后，通过40m高排气筒（DA002）排放</w:t>
            </w:r>
          </w:p>
        </w:tc>
        <w:tc>
          <w:tcPr>
            <w:tcW w:w="1717" w:type="pct"/>
            <w:vAlign w:val="center"/>
          </w:tcPr>
          <w:p w14:paraId="3BD5E30A">
            <w:pPr>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《锅炉大气污染物排放标准》（GB13271-2014）</w:t>
            </w:r>
          </w:p>
        </w:tc>
      </w:tr>
      <w:tr w14:paraId="4570B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vMerge w:val="restart"/>
            <w:vAlign w:val="center"/>
          </w:tcPr>
          <w:p w14:paraId="0C6FD0DE">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废水</w:t>
            </w:r>
          </w:p>
        </w:tc>
        <w:tc>
          <w:tcPr>
            <w:tcW w:w="963" w:type="pct"/>
            <w:vAlign w:val="center"/>
          </w:tcPr>
          <w:p w14:paraId="38AC8162">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生活污水</w:t>
            </w:r>
          </w:p>
        </w:tc>
        <w:tc>
          <w:tcPr>
            <w:tcW w:w="1871" w:type="pct"/>
            <w:vAlign w:val="center"/>
          </w:tcPr>
          <w:p w14:paraId="4CEC50F0">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三级化粪池</w:t>
            </w:r>
          </w:p>
        </w:tc>
        <w:tc>
          <w:tcPr>
            <w:tcW w:w="1717" w:type="pct"/>
            <w:vMerge w:val="restart"/>
            <w:vAlign w:val="center"/>
          </w:tcPr>
          <w:p w14:paraId="20E9D3D7">
            <w:pPr>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《石油炼制工业污染物排放标准》（GB31570-2015）和钦州胜科水务有限公司污水处理厂纳管标准较严值</w:t>
            </w:r>
          </w:p>
        </w:tc>
      </w:tr>
      <w:tr w14:paraId="2B326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vMerge w:val="continue"/>
            <w:vAlign w:val="center"/>
          </w:tcPr>
          <w:p w14:paraId="3A66F730">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963" w:type="pct"/>
            <w:vAlign w:val="center"/>
          </w:tcPr>
          <w:p w14:paraId="1B25BB6A">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初期雨水</w:t>
            </w:r>
          </w:p>
        </w:tc>
        <w:tc>
          <w:tcPr>
            <w:tcW w:w="1871" w:type="pct"/>
            <w:vAlign w:val="center"/>
          </w:tcPr>
          <w:p w14:paraId="1193A1AF">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初期雨水池</w:t>
            </w:r>
          </w:p>
        </w:tc>
        <w:tc>
          <w:tcPr>
            <w:tcW w:w="1717" w:type="pct"/>
            <w:vMerge w:val="continue"/>
            <w:vAlign w:val="center"/>
          </w:tcPr>
          <w:p w14:paraId="67AE77AF">
            <w:pPr>
              <w:spacing w:line="240" w:lineRule="auto"/>
              <w:rPr>
                <w:rFonts w:cs="Times New Roman"/>
                <w:color w:val="0D0D0D" w:themeColor="text1" w:themeTint="F2"/>
                <w:sz w:val="21"/>
                <w:u w:val="single"/>
                <w14:textFill>
                  <w14:solidFill>
                    <w14:schemeClr w14:val="tx1">
                      <w14:lumMod w14:val="95000"/>
                      <w14:lumOff w14:val="5000"/>
                    </w14:schemeClr>
                  </w14:solidFill>
                </w14:textFill>
              </w:rPr>
            </w:pPr>
          </w:p>
        </w:tc>
      </w:tr>
      <w:tr w14:paraId="0E581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vMerge w:val="continue"/>
            <w:vAlign w:val="center"/>
          </w:tcPr>
          <w:p w14:paraId="2B5E73DB">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963" w:type="pct"/>
            <w:vAlign w:val="center"/>
          </w:tcPr>
          <w:p w14:paraId="618F6D9A">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综合废水</w:t>
            </w:r>
          </w:p>
        </w:tc>
        <w:tc>
          <w:tcPr>
            <w:tcW w:w="1871" w:type="pct"/>
            <w:vAlign w:val="center"/>
          </w:tcPr>
          <w:p w14:paraId="566C8D01">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隔油+气浮+混凝沉淀+调节+UASB厌氧反应器+MBR膜生物反应器</w:t>
            </w:r>
          </w:p>
        </w:tc>
        <w:tc>
          <w:tcPr>
            <w:tcW w:w="1717" w:type="pct"/>
            <w:vMerge w:val="continue"/>
            <w:vAlign w:val="center"/>
          </w:tcPr>
          <w:p w14:paraId="1D6A33F6">
            <w:pPr>
              <w:spacing w:line="240" w:lineRule="auto"/>
              <w:rPr>
                <w:rFonts w:cs="Times New Roman"/>
                <w:color w:val="0D0D0D" w:themeColor="text1" w:themeTint="F2"/>
                <w:sz w:val="21"/>
                <w:u w:val="single"/>
                <w14:textFill>
                  <w14:solidFill>
                    <w14:schemeClr w14:val="tx1">
                      <w14:lumMod w14:val="95000"/>
                      <w14:lumOff w14:val="5000"/>
                    </w14:schemeClr>
                  </w14:solidFill>
                </w14:textFill>
              </w:rPr>
            </w:pPr>
          </w:p>
        </w:tc>
      </w:tr>
      <w:tr w14:paraId="5A045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vAlign w:val="center"/>
          </w:tcPr>
          <w:p w14:paraId="6501E65B">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噪声防治</w:t>
            </w:r>
          </w:p>
        </w:tc>
        <w:tc>
          <w:tcPr>
            <w:tcW w:w="963" w:type="pct"/>
            <w:vAlign w:val="center"/>
          </w:tcPr>
          <w:p w14:paraId="14EF0B6D">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设备</w:t>
            </w:r>
          </w:p>
        </w:tc>
        <w:tc>
          <w:tcPr>
            <w:tcW w:w="1871" w:type="pct"/>
            <w:vAlign w:val="center"/>
          </w:tcPr>
          <w:p w14:paraId="31960A53">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基础减振、隔声等降噪措施</w:t>
            </w:r>
          </w:p>
        </w:tc>
        <w:tc>
          <w:tcPr>
            <w:tcW w:w="1717" w:type="pct"/>
            <w:vAlign w:val="center"/>
          </w:tcPr>
          <w:p w14:paraId="6416CEB1">
            <w:pPr>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《工业企业厂界环境噪声排放标准》（GB12348-2008）3类标准</w:t>
            </w:r>
          </w:p>
        </w:tc>
      </w:tr>
      <w:tr w14:paraId="0659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vMerge w:val="restart"/>
            <w:vAlign w:val="center"/>
          </w:tcPr>
          <w:p w14:paraId="7304A20D">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固废</w:t>
            </w:r>
          </w:p>
        </w:tc>
        <w:tc>
          <w:tcPr>
            <w:tcW w:w="963" w:type="pct"/>
            <w:vAlign w:val="center"/>
          </w:tcPr>
          <w:p w14:paraId="13C9C848">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一般固体废物</w:t>
            </w:r>
          </w:p>
        </w:tc>
        <w:tc>
          <w:tcPr>
            <w:tcW w:w="1871" w:type="pct"/>
            <w:vAlign w:val="center"/>
          </w:tcPr>
          <w:p w14:paraId="3F1539DD">
            <w:pPr>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废包装物、废布袋、废渣、废白土、除尘器收集粉尘和炉渣外售第三方单位资源化回收利用；废脱硫剂、废MBR膜和废离子交换树脂由生产厂家回收处置；污泥交由污泥处置单位处置</w:t>
            </w:r>
          </w:p>
        </w:tc>
        <w:tc>
          <w:tcPr>
            <w:tcW w:w="1717" w:type="pct"/>
            <w:vAlign w:val="center"/>
          </w:tcPr>
          <w:p w14:paraId="2C59A69B">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w:t>
            </w:r>
          </w:p>
        </w:tc>
      </w:tr>
      <w:tr w14:paraId="16F9D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vMerge w:val="continue"/>
            <w:vAlign w:val="center"/>
          </w:tcPr>
          <w:p w14:paraId="57647CDF">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963" w:type="pct"/>
            <w:vAlign w:val="center"/>
          </w:tcPr>
          <w:p w14:paraId="45174CF4">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危险废物</w:t>
            </w:r>
          </w:p>
        </w:tc>
        <w:tc>
          <w:tcPr>
            <w:tcW w:w="1871" w:type="pct"/>
            <w:vAlign w:val="center"/>
          </w:tcPr>
          <w:p w14:paraId="29F01398">
            <w:pPr>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废导热油、废机油、废油桶、废含油抹布、化验室废液和废催化剂委托有资质单位清运处置</w:t>
            </w:r>
          </w:p>
        </w:tc>
        <w:tc>
          <w:tcPr>
            <w:tcW w:w="1717" w:type="pct"/>
            <w:vAlign w:val="center"/>
          </w:tcPr>
          <w:p w14:paraId="7A2C77B8">
            <w:pPr>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《危险废物贮存污染控制标准》（GB18597-2023）</w:t>
            </w:r>
          </w:p>
        </w:tc>
      </w:tr>
      <w:tr w14:paraId="1CD7E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vMerge w:val="continue"/>
            <w:vAlign w:val="center"/>
          </w:tcPr>
          <w:p w14:paraId="0979477E">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p>
        </w:tc>
        <w:tc>
          <w:tcPr>
            <w:tcW w:w="963" w:type="pct"/>
            <w:vAlign w:val="center"/>
          </w:tcPr>
          <w:p w14:paraId="0CB84FB2">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生活垃圾</w:t>
            </w:r>
          </w:p>
        </w:tc>
        <w:tc>
          <w:tcPr>
            <w:tcW w:w="1871" w:type="pct"/>
            <w:vAlign w:val="center"/>
          </w:tcPr>
          <w:p w14:paraId="15D60581">
            <w:pPr>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cs="Times New Roman"/>
                <w:color w:val="0D0D0D" w:themeColor="text1" w:themeTint="F2"/>
                <w:sz w:val="21"/>
                <w:u w:val="single"/>
                <w14:textFill>
                  <w14:solidFill>
                    <w14:schemeClr w14:val="tx1">
                      <w14:lumMod w14:val="95000"/>
                      <w14:lumOff w14:val="5000"/>
                    </w14:schemeClr>
                  </w14:solidFill>
                </w14:textFill>
              </w:rPr>
              <w:t>分类集中收集后由环卫部门清运处置</w:t>
            </w:r>
          </w:p>
        </w:tc>
        <w:tc>
          <w:tcPr>
            <w:tcW w:w="1717" w:type="pct"/>
            <w:vAlign w:val="center"/>
          </w:tcPr>
          <w:p w14:paraId="4E9DF549">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w:t>
            </w:r>
          </w:p>
        </w:tc>
      </w:tr>
      <w:tr w14:paraId="785E8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vAlign w:val="center"/>
          </w:tcPr>
          <w:p w14:paraId="20BAB667">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地下水、土壤</w:t>
            </w:r>
          </w:p>
        </w:tc>
        <w:tc>
          <w:tcPr>
            <w:tcW w:w="4551" w:type="pct"/>
            <w:gridSpan w:val="3"/>
            <w:vAlign w:val="center"/>
          </w:tcPr>
          <w:p w14:paraId="35F44DEF">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分区防渗、定期监测</w:t>
            </w:r>
          </w:p>
        </w:tc>
      </w:tr>
      <w:tr w14:paraId="7B4EA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vAlign w:val="center"/>
          </w:tcPr>
          <w:p w14:paraId="5E3B8AA6">
            <w:pPr>
              <w:spacing w:line="240" w:lineRule="auto"/>
              <w:jc w:val="center"/>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风险防范措施</w:t>
            </w:r>
          </w:p>
        </w:tc>
        <w:tc>
          <w:tcPr>
            <w:tcW w:w="4551" w:type="pct"/>
            <w:gridSpan w:val="3"/>
            <w:vAlign w:val="center"/>
          </w:tcPr>
          <w:p w14:paraId="2D42EB6E">
            <w:pPr>
              <w:spacing w:line="240" w:lineRule="auto"/>
              <w:rPr>
                <w:rFonts w:cs="Times New Roman"/>
                <w:color w:val="0D0D0D" w:themeColor="text1" w:themeTint="F2"/>
                <w:sz w:val="21"/>
                <w:u w:val="single"/>
                <w14:textFill>
                  <w14:solidFill>
                    <w14:schemeClr w14:val="tx1">
                      <w14:lumMod w14:val="95000"/>
                      <w14:lumOff w14:val="5000"/>
                    </w14:schemeClr>
                  </w14:solidFill>
                </w14:textFill>
              </w:rPr>
            </w:pPr>
            <w:r>
              <w:rPr>
                <w:rFonts w:hint="eastAsia" w:cs="Times New Roman"/>
                <w:color w:val="0D0D0D" w:themeColor="text1" w:themeTint="F2"/>
                <w:sz w:val="21"/>
                <w:u w:val="single"/>
                <w14:textFill>
                  <w14:solidFill>
                    <w14:schemeClr w14:val="tx1">
                      <w14:lumMod w14:val="95000"/>
                      <w14:lumOff w14:val="5000"/>
                    </w14:schemeClr>
                  </w14:solidFill>
                </w14:textFill>
              </w:rPr>
              <w:t>设置事故应急池；</w:t>
            </w:r>
            <w:r>
              <w:rPr>
                <w:rFonts w:cs="Times New Roman"/>
                <w:color w:val="0D0D0D" w:themeColor="text1" w:themeTint="F2"/>
                <w:sz w:val="21"/>
                <w:u w:val="single"/>
                <w14:textFill>
                  <w14:solidFill>
                    <w14:schemeClr w14:val="tx1">
                      <w14:lumMod w14:val="95000"/>
                      <w14:lumOff w14:val="5000"/>
                    </w14:schemeClr>
                  </w14:solidFill>
                </w14:textFill>
              </w:rPr>
              <w:t>建立环境风险事故防范措施和应急制度；编制突发环境事件应急预案等</w:t>
            </w:r>
            <w:r>
              <w:rPr>
                <w:rFonts w:hint="eastAsia" w:cs="Times New Roman"/>
                <w:color w:val="0D0D0D" w:themeColor="text1" w:themeTint="F2"/>
                <w:sz w:val="21"/>
                <w:u w:val="single"/>
                <w14:textFill>
                  <w14:solidFill>
                    <w14:schemeClr w14:val="tx1">
                      <w14:lumMod w14:val="95000"/>
                      <w14:lumOff w14:val="5000"/>
                    </w14:schemeClr>
                  </w14:solidFill>
                </w14:textFill>
              </w:rPr>
              <w:t>。</w:t>
            </w:r>
          </w:p>
        </w:tc>
      </w:tr>
    </w:tbl>
    <w:p w14:paraId="2F744CFF">
      <w:pPr>
        <w:widowControl/>
        <w:spacing w:line="240" w:lineRule="auto"/>
        <w:jc w:val="left"/>
        <w:rPr>
          <w:color w:val="0D0D0D" w:themeColor="text1" w:themeTint="F2"/>
          <w14:textFill>
            <w14:solidFill>
              <w14:schemeClr w14:val="tx1">
                <w14:lumMod w14:val="95000"/>
                <w14:lumOff w14:val="5000"/>
              </w14:schemeClr>
            </w14:solidFill>
          </w14:textFill>
        </w:rPr>
      </w:pPr>
    </w:p>
    <w:p w14:paraId="2AA69BED">
      <w:pPr>
        <w:widowControl/>
        <w:spacing w:line="240" w:lineRule="auto"/>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14:paraId="78338076">
      <w:pPr>
        <w:pStyle w:val="11"/>
        <w:sectPr>
          <w:pgSz w:w="11906" w:h="16838"/>
          <w:pgMar w:top="1440" w:right="1440" w:bottom="1440" w:left="1440" w:header="851" w:footer="992" w:gutter="0"/>
          <w:cols w:space="425" w:num="1"/>
          <w:docGrid w:type="lines" w:linePitch="312" w:charSpace="0"/>
        </w:sectPr>
      </w:pPr>
    </w:p>
    <w:p w14:paraId="36CAEE51">
      <w:pPr>
        <w:pStyle w:val="7"/>
      </w:pPr>
      <w:bookmarkStart w:id="259" w:name="_Toc204062710"/>
      <w:r>
        <w:rPr>
          <w:rFonts w:hint="eastAsia"/>
        </w:rPr>
        <w:t>环境影响评价结论</w:t>
      </w:r>
      <w:bookmarkEnd w:id="259"/>
    </w:p>
    <w:p w14:paraId="0B0BB407">
      <w:pPr>
        <w:pStyle w:val="8"/>
        <w:numPr>
          <w:ilvl w:val="1"/>
          <w:numId w:val="73"/>
        </w:numPr>
      </w:pPr>
      <w:bookmarkStart w:id="260" w:name="_Toc204062711"/>
      <w:r>
        <w:rPr>
          <w:rFonts w:hint="eastAsia"/>
        </w:rPr>
        <w:t>项目概况</w:t>
      </w:r>
      <w:bookmarkEnd w:id="260"/>
    </w:p>
    <w:p w14:paraId="68C309F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项目位于中国（广西）自由贸易试验区钦州港片区临海大道西面、勒沟东大街北面，占地33333.34m</w:t>
      </w:r>
      <w:r>
        <w:rPr>
          <w:rFonts w:hint="eastAsia"/>
          <w:color w:val="0D0D0D" w:themeColor="text1" w:themeTint="F2"/>
          <w:vertAlign w:val="superscript"/>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主要建设1条生物柴油生产线、1条工业级混合油生产线和1根1.79km的生物柴油及工业级混合油管道，配套建设给排水等辅助工程，建成后，年产30万吨生物柴油（主产品）、10万吨工业级混合油（主产品）、1.5万吨精甘油（副产品）和1.2万吨重质脂肪酸（副产品）。项目环保投资为410万元，占总投资12500万元的3.28%。</w:t>
      </w:r>
    </w:p>
    <w:p w14:paraId="5E1F38CA">
      <w:pPr>
        <w:pStyle w:val="8"/>
      </w:pPr>
      <w:bookmarkStart w:id="261" w:name="_Toc204062712"/>
      <w:r>
        <w:rPr>
          <w:rFonts w:hint="eastAsia"/>
        </w:rPr>
        <w:t>环境质量现状</w:t>
      </w:r>
      <w:bookmarkEnd w:id="261"/>
    </w:p>
    <w:p w14:paraId="185820C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（1）环境空气质量</w:t>
      </w:r>
    </w:p>
    <w:p w14:paraId="5BB137DE">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w:t>
      </w:r>
      <w:r>
        <w:rPr>
          <w:rFonts w:hint="eastAsia" w:cs="Times New Roman"/>
          <w:color w:val="0D0D0D" w:themeColor="text1" w:themeTint="F2"/>
          <w:u w:val="single"/>
          <w:lang w:bidi="ar"/>
          <w14:textFill>
            <w14:solidFill>
              <w14:schemeClr w14:val="tx1">
                <w14:lumMod w14:val="95000"/>
                <w14:lumOff w14:val="5000"/>
              </w14:schemeClr>
            </w14:solidFill>
          </w14:textFill>
        </w:rPr>
        <w:t>《自治区生态环境厅关于通报2024年设区市及各县（市、区）环境空气质量的函》（桂环函〔2025〕66号）</w:t>
      </w:r>
      <w:r>
        <w:rPr>
          <w:rFonts w:hint="eastAsia"/>
          <w:color w:val="0D0D0D" w:themeColor="text1" w:themeTint="F2"/>
          <w:u w:val="single"/>
          <w14:textFill>
            <w14:solidFill>
              <w14:schemeClr w14:val="tx1">
                <w14:lumMod w14:val="95000"/>
                <w14:lumOff w14:val="5000"/>
              </w14:schemeClr>
            </w14:solidFill>
          </w14:textFill>
        </w:rPr>
        <w:t>，项目所在区域属于达标区，区域环境空气质量较好。</w:t>
      </w:r>
    </w:p>
    <w:p w14:paraId="4179B137">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项目区域TSP满足《环境空气质量标准》（GB3095-2012）及修改单中的二级标准；甲醇、氨、硫化氢的1小时平均浓度、TVOC8小时平均浓度及甲醇24小时平均浓度均可满足《环境影响评价导则  大气环境》（HJ2.2-2018）中附录D其他污染物空气质量浓度参考限值要求；非甲烷总烃1小时平均浓度可满足《大气污染物综合排放标准详解》标准限值要求；臭气浓度无质量标准，留作背景值。项目区域环境空气质量良好。</w:t>
      </w:r>
    </w:p>
    <w:p w14:paraId="0DA4FB9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（2）海洋环境</w:t>
      </w:r>
    </w:p>
    <w:p w14:paraId="3BA9D30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根据国家海洋环境监测中心的海水水质监测信息公开系统，钦州港金鼓江排污混合区（GX056DⅣ）海域水环境质量现状均符合《海水水质标准》（GB3097-1997）第四类标准。</w:t>
      </w:r>
    </w:p>
    <w:p w14:paraId="6030C55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（3）地下水环境</w:t>
      </w:r>
    </w:p>
    <w:p w14:paraId="73D6D448">
      <w:pPr>
        <w:ind w:firstLine="480" w:firstLineChars="200"/>
        <w:rPr>
          <w:color w:val="0D0D0D" w:themeColor="text1" w:themeTint="F2"/>
          <w:szCs w:val="24"/>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（涉密，公示本已删除）</w:t>
      </w:r>
      <w:r>
        <w:rPr>
          <w:rFonts w:hint="eastAsia"/>
          <w:color w:val="0D0D0D" w:themeColor="text1" w:themeTint="F2"/>
          <w:szCs w:val="24"/>
          <w14:textFill>
            <w14:solidFill>
              <w14:schemeClr w14:val="tx1">
                <w14:lumMod w14:val="95000"/>
                <w14:lumOff w14:val="5000"/>
              </w14:schemeClr>
            </w14:solidFill>
          </w14:textFill>
        </w:rPr>
        <w:t>。</w:t>
      </w:r>
    </w:p>
    <w:p w14:paraId="42F7477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（4）声环境</w:t>
      </w:r>
    </w:p>
    <w:p w14:paraId="1EE9DF8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由现状监测结果可知，项目厂界昼夜噪声值均满足《工业企业厂界环境噪声排放标准》（GB12348-2008）3类标准。</w:t>
      </w:r>
    </w:p>
    <w:p w14:paraId="7DDD7A7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（5）土壤环境</w:t>
      </w:r>
    </w:p>
    <w:p w14:paraId="416B4BD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根据监测结果，各监测点位的各监测因子均可满足《土壤环境质量  建设用地土壤污染风险管控标准（试行）》（GB36600-2018）表1第二类用地的筛选值标准</w:t>
      </w:r>
      <w:r>
        <w:rPr>
          <w:rFonts w:hint="eastAsia"/>
          <w:color w:val="0D0D0D" w:themeColor="text1" w:themeTint="F2"/>
          <w14:textFill>
            <w14:solidFill>
              <w14:schemeClr w14:val="tx1">
                <w14:lumMod w14:val="95000"/>
                <w14:lumOff w14:val="5000"/>
              </w14:schemeClr>
            </w14:solidFill>
          </w14:textFill>
        </w:rPr>
        <w:t>。</w:t>
      </w:r>
    </w:p>
    <w:p w14:paraId="5C85212C">
      <w:pPr>
        <w:pStyle w:val="8"/>
      </w:pPr>
      <w:bookmarkStart w:id="262" w:name="_Toc204062713"/>
      <w:r>
        <w:rPr>
          <w:rFonts w:hint="eastAsia"/>
        </w:rPr>
        <w:t>污染物排放情况</w:t>
      </w:r>
      <w:bookmarkEnd w:id="262"/>
    </w:p>
    <w:p w14:paraId="58F1C84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（1）大气污染物</w:t>
      </w:r>
    </w:p>
    <w:p w14:paraId="1D383692">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项目有组织污染物排放量分别为甲醇：4.85t/a，非甲烷总烃：8.88t/a，SO</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：0.97t/a，NOx：21.72t/a，颗粒物：1.12t/a，NH</w:t>
      </w:r>
      <w:r>
        <w:rPr>
          <w:rFonts w:hint="eastAsia"/>
          <w:color w:val="0D0D0D" w:themeColor="text1" w:themeTint="F2"/>
          <w:u w:val="single"/>
          <w:vertAlign w:val="sub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：0.60t/a，H</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S：0.01t/a；无组织排放的甲醇：2.57t/a，非甲烷总烃：4.69t/a，颗粒物：0.2t/a，NH</w:t>
      </w:r>
      <w:r>
        <w:rPr>
          <w:rFonts w:hint="eastAsia"/>
          <w:color w:val="0D0D0D" w:themeColor="text1" w:themeTint="F2"/>
          <w:u w:val="single"/>
          <w:vertAlign w:val="sub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：0.03t/a，H</w:t>
      </w:r>
      <w:r>
        <w:rPr>
          <w:rFonts w:hint="eastAsia"/>
          <w:color w:val="0D0D0D" w:themeColor="text1" w:themeTint="F2"/>
          <w:u w:val="single"/>
          <w:vertAlign w:val="sub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S：0.001t/a。</w:t>
      </w:r>
    </w:p>
    <w:p w14:paraId="5661A28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（2）水污染物</w:t>
      </w:r>
    </w:p>
    <w:p w14:paraId="226AFA3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运营期初期雨水经初期雨水池收集后泵入厂区污水处理站与生产废水一起处理达标后排入市政污水管网，生活污水经三级化粪池处理后排入市政污水管网，废水输送至钦州胜科水务有限公司污水处理厂进一步处理，项目废水外排须满足《石油炼制工业污染物排放标准》（GB31570-2015）及其修改单中表1间接排放标准和钦州胜科水务有限公司污水处理厂纳管标准较严值。</w:t>
      </w:r>
    </w:p>
    <w:p w14:paraId="13C365B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（3）固体废物</w:t>
      </w:r>
    </w:p>
    <w:p w14:paraId="1FC64A4B">
      <w:pPr>
        <w:ind w:firstLine="480" w:firstLineChars="200"/>
        <w:rPr>
          <w:color w:val="0D0D0D" w:themeColor="text1" w:themeTint="F2"/>
          <w14:textFill>
            <w14:solidFill>
              <w14:schemeClr w14:val="tx1">
                <w14:lumMod w14:val="95000"/>
                <w14:lumOff w14:val="5000"/>
              </w14:schemeClr>
            </w14:solidFill>
          </w14:textFill>
        </w:rPr>
      </w:pPr>
      <w:bookmarkStart w:id="263" w:name="_Hlk192487270"/>
      <w:r>
        <w:rPr>
          <w:rFonts w:hint="eastAsia"/>
          <w:color w:val="0D0D0D" w:themeColor="text1" w:themeTint="F2"/>
          <w:u w:val="single"/>
          <w14:textFill>
            <w14:solidFill>
              <w14:schemeClr w14:val="tx1">
                <w14:lumMod w14:val="95000"/>
                <w14:lumOff w14:val="5000"/>
              </w14:schemeClr>
            </w14:solidFill>
          </w14:textFill>
        </w:rPr>
        <w:t>废包装物产生量为10.63t/a，外售第三方单位；废白土产生量为1349.73t/a，外售第三方单位；废渣产生量为1976.6t/a，</w:t>
      </w:r>
      <w:r>
        <w:rPr>
          <w:rFonts w:hint="eastAsia"/>
          <w:color w:val="0D0D0D" w:themeColor="text1" w:themeTint="F2"/>
          <w:u w:val="single"/>
          <w:lang w:eastAsia="zh-CN"/>
          <w14:textFill>
            <w14:solidFill>
              <w14:schemeClr w14:val="tx1">
                <w14:lumMod w14:val="95000"/>
                <w14:lumOff w14:val="5000"/>
              </w14:schemeClr>
            </w14:solidFill>
          </w14:textFill>
        </w:rPr>
        <w:t>外售</w:t>
      </w:r>
      <w:r>
        <w:rPr>
          <w:rFonts w:hint="eastAsia"/>
          <w:color w:val="0D0D0D" w:themeColor="text1" w:themeTint="F2"/>
          <w:u w:val="single"/>
          <w14:textFill>
            <w14:solidFill>
              <w14:schemeClr w14:val="tx1">
                <w14:lumMod w14:val="95000"/>
                <w14:lumOff w14:val="5000"/>
              </w14:schemeClr>
            </w14:solidFill>
          </w14:textFill>
        </w:rPr>
        <w:t>第三方单位；污泥产生量为43.27t/a，由污泥处置单位处置；除尘器收集粉尘产生量为110.64t/a，外售第三方单位；炉渣产生量为490.77t/a，外售第三方单位；废MBR膜产生量为0.1t/a，由生产厂家回收；废离子交换树脂产生量为0.1t/a，由生产厂家回收；废导热油产生量为2t/a，委托有资质单位处置；废机油产生量为0.5t/a，委托有资质单位处置；废油桶产生量为0.1t/a，委托有资质单位处置；废含油抹布产生量为0.01t/a，委托有资质单位处置；化验室废液产生量为0.1t/a，委托有资质单位处置；废催化剂产生量为0.01t/a，委托有资质单位处置；生活垃圾产生量为18t/a，由环卫部门清运处置</w:t>
      </w:r>
      <w:r>
        <w:rPr>
          <w:rFonts w:hint="eastAsia"/>
          <w:color w:val="0D0D0D" w:themeColor="text1" w:themeTint="F2"/>
          <w14:textFill>
            <w14:solidFill>
              <w14:schemeClr w14:val="tx1">
                <w14:lumMod w14:val="95000"/>
                <w14:lumOff w14:val="5000"/>
              </w14:schemeClr>
            </w14:solidFill>
          </w14:textFill>
        </w:rPr>
        <w:t>。</w:t>
      </w:r>
    </w:p>
    <w:bookmarkEnd w:id="263"/>
    <w:p w14:paraId="0F83F8CD">
      <w:pPr>
        <w:pStyle w:val="8"/>
      </w:pPr>
      <w:bookmarkStart w:id="264" w:name="_Toc204062714"/>
      <w:r>
        <w:rPr>
          <w:rFonts w:hint="eastAsia"/>
        </w:rPr>
        <w:t>环境影响分析</w:t>
      </w:r>
      <w:bookmarkEnd w:id="264"/>
    </w:p>
    <w:p w14:paraId="1756428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（1）大气环境</w:t>
      </w:r>
    </w:p>
    <w:p w14:paraId="3010389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通过《环境影响评价技术导则  大气环境》（HJ2.2-2018）推荐的估算模型AERSCREEN对项目运行的大气影响进行了模拟预测，估算结果表明，项目对周围大气环境的贡献值较小，占标率均较低，根据分析，项目有组织和无组织废气均能达标排放。企业生产过程应加强管理，责任到人，确保各大气处理设施正常运行，避免非正常工况的发生，降低项目对大气环境的影响</w:t>
      </w:r>
      <w:r>
        <w:rPr>
          <w:rFonts w:hint="eastAsia"/>
          <w:color w:val="0D0D0D" w:themeColor="text1" w:themeTint="F2"/>
          <w14:textFill>
            <w14:solidFill>
              <w14:schemeClr w14:val="tx1">
                <w14:lumMod w14:val="95000"/>
                <w14:lumOff w14:val="5000"/>
              </w14:schemeClr>
            </w14:solidFill>
          </w14:textFill>
        </w:rPr>
        <w:t>。</w:t>
      </w:r>
    </w:p>
    <w:p w14:paraId="7958C57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综上，项目大气环境影响可接受。</w:t>
      </w:r>
    </w:p>
    <w:p w14:paraId="186D6421">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（2）地表水环境</w:t>
      </w:r>
    </w:p>
    <w:p w14:paraId="45E598F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运营期初期雨水经初期雨水池收集后泵入厂区污水处理站与生产废水一起处理达标后排入市政污水管网，生活污水经三级化粪池处理后排入市政污水管网，废水输送至钦州胜科水务有限公司污水处理厂进一步处理，对环境</w:t>
      </w:r>
      <w:r>
        <w:rPr>
          <w:rFonts w:hint="eastAsia"/>
          <w:color w:val="0D0D0D" w:themeColor="text1" w:themeTint="F2"/>
          <w:lang w:eastAsia="zh-CN"/>
          <w14:textFill>
            <w14:solidFill>
              <w14:schemeClr w14:val="tx1">
                <w14:lumMod w14:val="95000"/>
                <w14:lumOff w14:val="5000"/>
              </w14:schemeClr>
            </w14:solidFill>
          </w14:textFill>
        </w:rPr>
        <w:t>影响</w:t>
      </w:r>
      <w:r>
        <w:rPr>
          <w:rFonts w:hint="eastAsia"/>
          <w:color w:val="0D0D0D" w:themeColor="text1" w:themeTint="F2"/>
          <w14:textFill>
            <w14:solidFill>
              <w14:schemeClr w14:val="tx1">
                <w14:lumMod w14:val="95000"/>
                <w14:lumOff w14:val="5000"/>
              </w14:schemeClr>
            </w14:solidFill>
          </w14:textFill>
        </w:rPr>
        <w:t>较小。</w:t>
      </w:r>
    </w:p>
    <w:p w14:paraId="4B4B18E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（3）地下水环境</w:t>
      </w:r>
    </w:p>
    <w:p w14:paraId="084FC0EF">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正常工况下，项目按照《环境影响评价技术导则  地下水环境》（HJ610-2016）进行防渗处理。在防渗层完好的正常工况下，对区域地下水环境影响不大。</w:t>
      </w:r>
    </w:p>
    <w:p w14:paraId="76A946C5">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非正常工况下，</w:t>
      </w:r>
      <w:r>
        <w:rPr>
          <w:rFonts w:hint="eastAsia"/>
          <w:color w:val="0D0D0D" w:themeColor="text1" w:themeTint="F2"/>
          <w:u w:val="single"/>
          <w14:textFill>
            <w14:solidFill>
              <w14:schemeClr w14:val="tx1">
                <w14:lumMod w14:val="95000"/>
                <w14:lumOff w14:val="5000"/>
              </w14:schemeClr>
            </w14:solidFill>
          </w14:textFill>
        </w:rPr>
        <w:t>根据预测结果，COD超标距离为下游3.029m，预测范围内超标面积为：1000m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；影响距离为下游4.029m，预测范围内影响面积为：100m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。氨氮超标距离为下游3.029m，预测范围内超标面积为：100m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；影响距离为下游3.029m，预测范围内影响面积为：100m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。废水泄漏100d时，COD超标距离为下游6.29m，预测范围内超标面积为：100m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；影响距离为下游9.29m，预测范围内影响面积为：100m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。氨氮超标距离为下游5.29m，预测范围内超标面积为：100m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；影响距离为下游8.29m，预测范围内影响面积为：100m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。废水泄漏1000d时，COD超标距离为下游10.84m，预测范围内超标面积为：100m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；影响距离为下游20.11m，预测范围内影响面积为：100m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。氨氮超标距离为下游15.31m，预测范围内超标面积为：100m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；影响距离为下游18.62m，预测范围内影响面积为：100m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在地下水运移及稀释作用下，泄漏点及中心点浓度不断降低，浓度最大点随着水流运移方向偏移。项目污水处理站隔油池距离北部海域约40m，距离东部金鼓江海域约170m，项目非正常工况下废水泄漏会对北部海域以及金鼓江海域造成影响</w:t>
      </w:r>
      <w:r>
        <w:rPr>
          <w:rFonts w:hint="eastAsia"/>
          <w:color w:val="0D0D0D" w:themeColor="text1" w:themeTint="F2"/>
          <w14:textFill>
            <w14:solidFill>
              <w14:schemeClr w14:val="tx1">
                <w14:lumMod w14:val="95000"/>
                <w14:lumOff w14:val="5000"/>
              </w14:schemeClr>
            </w14:solidFill>
          </w14:textFill>
        </w:rPr>
        <w:t>。</w:t>
      </w:r>
    </w:p>
    <w:p w14:paraId="570CEB6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项目地下水环境影响评价范围内无饮用水水源地，周边最近的饮用水水源地为金窝水库，项目与金窝水库无水力联系，因此，项目非正常工况下废水泄漏不会对区域饮用水水源造成影响。</w:t>
      </w:r>
    </w:p>
    <w:p w14:paraId="4C909F4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因此，在采取防渗措施时，应考虑潜在污染源自身性质和场地水文地质条件，并应加强项目运营期间的监控工作，防止对地下水造成污染。非正常工况下，预测污染物从污水处理站呈点状污染并开始向下游运移扩散。因此，如若发生风险事故，应立即采取有效的应急措施，以保护地下水环境，避免发生地下水污染后长期难以修复的困境。项目地下水环境影响可接受。</w:t>
      </w:r>
    </w:p>
    <w:p w14:paraId="10442BF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（4）声环境</w:t>
      </w:r>
    </w:p>
    <w:p w14:paraId="798A6B6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项目运营期东侧厂界、南侧厂界、西侧厂界、北侧厂界的噪声贡献值均能达到《工业企业厂界环境噪声排放标准》（GB12348-2008）中的3类标准，运营期噪声对周边环境影响较小。</w:t>
      </w:r>
    </w:p>
    <w:p w14:paraId="06EF2369">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（5）固体废物</w:t>
      </w:r>
    </w:p>
    <w:p w14:paraId="2BF2D61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固体废物均采取了相应的处置措施，只要建设单位认真落实本环评提出的各项固体废物处置措施，并按照固体废物的相关管理要求，加强各类固体废物的收集、分类储存、转移和处置管理，项目产生的固体废物均不会造成二次污染，对环境的影响较小。</w:t>
      </w:r>
    </w:p>
    <w:p w14:paraId="357D746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（5）土壤环境</w:t>
      </w:r>
    </w:p>
    <w:p w14:paraId="423EB9DB">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根据预测结果可知，项目运行10年后，土壤中的预测值仍可满足《土壤环境质量  建设用地土壤污染风险管控标准》（GB36600-2018）第二类用地筛选值要求，项目对土壤环境影响可接受。项目采用源头控制措施和过程防控措施，能有效地减少项目对评价范围内土壤环境的影响，项目废气采取了严格的治理措施，根据预测结果，废气达标排放可将对土壤的影响降至最低，确保土壤环境质量不会出现恶化。</w:t>
      </w:r>
    </w:p>
    <w:p w14:paraId="00AF3663">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（6）环境风险</w:t>
      </w:r>
    </w:p>
    <w:p w14:paraId="0230946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涉及的危险化学品主要为甲醇、生物柴油、柴油、废机油、沼气和导热油等，环境风险主要为甲醇、沼气、生物柴油、柴油等储运装置泄漏造成危险物质泄漏，引发火灾、爆炸事故。建设单位只要严格按工程设计、操作规程运行和管理，并认真落实本评价提出的各项风险防范措施，可降低各种事故发生的概率及对周围环境的影响，环境风险在可接受范围内。</w:t>
      </w:r>
    </w:p>
    <w:p w14:paraId="15301987">
      <w:pPr>
        <w:pStyle w:val="8"/>
      </w:pPr>
      <w:bookmarkStart w:id="265" w:name="_Toc204062715"/>
      <w:r>
        <w:rPr>
          <w:rFonts w:hint="eastAsia"/>
        </w:rPr>
        <w:t>环境保护措施</w:t>
      </w:r>
      <w:bookmarkEnd w:id="265"/>
    </w:p>
    <w:p w14:paraId="24222647">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（1）废气</w:t>
      </w:r>
    </w:p>
    <w:p w14:paraId="343E9018">
      <w:pPr>
        <w:ind w:firstLine="480" w:firstLineChars="200"/>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项目运营期生产线工艺废气和储罐大小呼吸废气经RCO催化燃烧装置处理后，通过30m高排气筒（DA001）排放；污水处理站废气经“二级碱液喷淋+除雾器”预处理后排入RCO催化燃烧装置处理，最后通过30m高排气筒（DA001）排放；沼气脱硫净化后引至1＃导热油炉燃烧处理；白土投料粉尘无组织排放；导热油炉燃烧废气经各自配套的“旋风除尘器+布袋除尘器”处理后，通过40m高排气筒（DA002）排放。</w:t>
      </w:r>
    </w:p>
    <w:p w14:paraId="6A344A1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（2）废水</w:t>
      </w:r>
    </w:p>
    <w:p w14:paraId="4723470A">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运营期初期雨水经初期雨水池收集后泵入厂区污水处理站与生产废水一起处理达标后排入市政污水管网，生活污水经三级化粪池处理后排入市政污水管网，废水输送至钦州胜科水务有限公司污水处理厂进一步处理，污水处理站污水处理工艺为隔油+气浮+混凝沉淀+调节+UASB厌氧反应器+MBR膜生物反应器。</w:t>
      </w:r>
    </w:p>
    <w:p w14:paraId="6A9073F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（3）噪声</w:t>
      </w:r>
    </w:p>
    <w:p w14:paraId="13C6D5E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通过选用低噪声设备、基础减振、加强厂区绿化等，减轻噪声对外环境的影响。</w:t>
      </w:r>
    </w:p>
    <w:p w14:paraId="07485F62">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（4）固废</w:t>
      </w:r>
    </w:p>
    <w:p w14:paraId="1B8BE56D">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运营期固体废物废包装物、废布袋、废渣、废白土、除尘器收集粉尘和炉渣外售第三方单位资源化回收利用；废脱硫剂、废MBR膜和废离子交换树脂由生产厂家回收处置；污泥交由污泥处置单位处置；废导热油、废机油、废油桶、废含油抹布、化验室废液和废催化剂委托有资质单位清运处置；生活垃圾集中分类收集后由环卫部门清运处置</w:t>
      </w:r>
      <w:r>
        <w:rPr>
          <w:rFonts w:hint="eastAsia"/>
          <w:color w:val="0D0D0D" w:themeColor="text1" w:themeTint="F2"/>
          <w14:textFill>
            <w14:solidFill>
              <w14:schemeClr w14:val="tx1">
                <w14:lumMod w14:val="95000"/>
                <w14:lumOff w14:val="5000"/>
              </w14:schemeClr>
            </w14:solidFill>
          </w14:textFill>
        </w:rPr>
        <w:t>。</w:t>
      </w:r>
    </w:p>
    <w:p w14:paraId="311D65E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（5）土壤和地下水</w:t>
      </w:r>
    </w:p>
    <w:p w14:paraId="47817F26">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项目采取源头控制、分区防控等防治措施，加强对地下水污染监控和制定风险事故应急预案。</w:t>
      </w:r>
    </w:p>
    <w:p w14:paraId="7631CF0D">
      <w:pPr>
        <w:pStyle w:val="8"/>
      </w:pPr>
      <w:bookmarkStart w:id="266" w:name="_Toc204062716"/>
      <w:r>
        <w:rPr>
          <w:rFonts w:hint="eastAsia"/>
        </w:rPr>
        <w:t>环境损益分析</w:t>
      </w:r>
      <w:bookmarkEnd w:id="266"/>
    </w:p>
    <w:p w14:paraId="425885BE">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综上所述，项目年环保费用的经济效益为2.95，说明项目环境经济投入、环境经济效益比较合理，具有良好的社会效益和经济效益。虽然对当地环境产生一定影响，但污染经治理后影响不大。这符合我国环境保护工作一贯坚持的经济效益、社会效益和环境三者统一的原则，同时也符合经济与环境协调持续发展的基本原则。项目在保证环保投资及环保设施运行效果的情况下，环保投资将产生间接的环境效益，具有良好的环境效益、经济效益及社会效益，从环境经济损益分析是可行的。</w:t>
      </w:r>
    </w:p>
    <w:p w14:paraId="62681976">
      <w:pPr>
        <w:pStyle w:val="8"/>
      </w:pPr>
      <w:bookmarkStart w:id="267" w:name="_Toc204062717"/>
      <w:r>
        <w:rPr>
          <w:rFonts w:hint="eastAsia"/>
        </w:rPr>
        <w:t>环境管理与监测计划</w:t>
      </w:r>
      <w:bookmarkEnd w:id="267"/>
    </w:p>
    <w:p w14:paraId="5D1D074B">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根据《国家重点监控企业自行监测及信息公开办法（试行）》（环发〔2013〕81号）、《排污单位自行监测技术指南  总则》（HJ817-2017）、《排污单位自行监测技术指南  火力发电及锅炉》、《排污许可证申请与核发技术规范  废弃资源加工工业》（HJ1024-2019）、的规定，企业可依托自有人员、场所、设备开展自行监测，也可委托其他检（监）测机构代其开展自行监测。</w:t>
      </w:r>
    </w:p>
    <w:p w14:paraId="3F38F8D4">
      <w:pPr>
        <w:pStyle w:val="8"/>
      </w:pPr>
      <w:bookmarkStart w:id="268" w:name="_Toc204062718"/>
      <w:r>
        <w:rPr>
          <w:rFonts w:hint="eastAsia"/>
        </w:rPr>
        <w:t>公众参与</w:t>
      </w:r>
      <w:bookmarkEnd w:id="268"/>
    </w:p>
    <w:p w14:paraId="4A18CD30">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公示期间未收到公众反馈意见。</w:t>
      </w:r>
    </w:p>
    <w:p w14:paraId="138ED41A">
      <w:pPr>
        <w:pStyle w:val="8"/>
      </w:pPr>
      <w:bookmarkStart w:id="269" w:name="_Toc204062719"/>
      <w:r>
        <w:rPr>
          <w:rFonts w:hint="eastAsia"/>
        </w:rPr>
        <w:t>评价总结论</w:t>
      </w:r>
      <w:bookmarkEnd w:id="269"/>
    </w:p>
    <w:p w14:paraId="5C79F674">
      <w:pPr>
        <w:ind w:firstLine="480" w:firstLineChars="20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位于钦州石化园区内，项目建设符合国家及地方产业政策要求，符合园区产业发展定位，选址符合园区用地规划。项目拟采取的污染防治措施技术可行，能确保各类污染物稳定达标排放，环境风险可控。建设单位在认真落实《报告书》中提出的各项污染防治措施、环境风险防范措施、环境管理措施的情况下，不会导致区域环境质量降级，满足环境功能区划要求，环境风险影响属于可以接受水平。从生态环境影响角度分析，项目建设环境可接受。</w:t>
      </w:r>
    </w:p>
    <w:sectPr>
      <w:pgSz w:w="11906" w:h="16838"/>
      <w:pgMar w:top="1440" w:right="1440" w:bottom="1440"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Wingdings 2">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80"/>
    <w:family w:val="auto"/>
    <w:pitch w:val="default"/>
    <w:sig w:usb0="00000000" w:usb1="0000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43386363"/>
    </w:sdtPr>
    <w:sdtContent>
      <w:p w14:paraId="1480448C">
        <w:pPr>
          <w:pStyle w:val="22"/>
          <w:jc w:val="center"/>
        </w:pPr>
        <w:r>
          <w:fldChar w:fldCharType="begin"/>
        </w:r>
        <w:r>
          <w:instrText xml:space="preserve">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EF16AF"/>
    <w:multiLevelType w:val="multilevel"/>
    <w:tmpl w:val="0EEF16AF"/>
    <w:lvl w:ilvl="0" w:tentative="0">
      <w:start w:val="1"/>
      <w:numFmt w:val="decimal"/>
      <w:suff w:val="nothing"/>
      <w:lvlText w:val="（%1）"/>
      <w:lvlJc w:val="left"/>
      <w:pPr>
        <w:ind w:left="0" w:firstLine="0"/>
      </w:pPr>
      <w:rPr>
        <w:rFonts w:hint="eastAsia"/>
        <w:lang w:val="en-U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0FBF50F6"/>
    <w:multiLevelType w:val="multilevel"/>
    <w:tmpl w:val="0FBF50F6"/>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2">
    <w:nsid w:val="19C24E73"/>
    <w:multiLevelType w:val="multilevel"/>
    <w:tmpl w:val="19C24E73"/>
    <w:lvl w:ilvl="0" w:tentative="0">
      <w:start w:val="1"/>
      <w:numFmt w:val="decimal"/>
      <w:suff w:val="nothing"/>
      <w:lvlText w:val="%1"/>
      <w:lvlJc w:val="center"/>
      <w:pPr>
        <w:ind w:left="0" w:firstLine="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2CD35278"/>
    <w:multiLevelType w:val="multilevel"/>
    <w:tmpl w:val="2CD35278"/>
    <w:lvl w:ilvl="0" w:tentative="0">
      <w:start w:val="1"/>
      <w:numFmt w:val="decimal"/>
      <w:suff w:val="nothing"/>
      <w:lvlText w:val="（%1）"/>
      <w:lvlJc w:val="left"/>
      <w:pPr>
        <w:ind w:left="0" w:firstLine="0"/>
      </w:pPr>
      <w:rPr>
        <w:rFonts w:hint="eastAsia"/>
        <w:lang w:val="en-US"/>
      </w:rPr>
    </w:lvl>
    <w:lvl w:ilvl="1" w:tentative="0">
      <w:start w:val="1"/>
      <w:numFmt w:val="decimalEnclosedCircle"/>
      <w:lvlText w:val="%2"/>
      <w:lvlJc w:val="left"/>
      <w:pPr>
        <w:ind w:left="800" w:hanging="36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2D2F1C1C"/>
    <w:multiLevelType w:val="multilevel"/>
    <w:tmpl w:val="2D2F1C1C"/>
    <w:lvl w:ilvl="0" w:tentative="0">
      <w:start w:val="1"/>
      <w:numFmt w:val="decimal"/>
      <w:suff w:val="nothing"/>
      <w:lvlText w:val="%1"/>
      <w:lvlJc w:val="center"/>
      <w:pPr>
        <w:ind w:left="0" w:firstLine="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371B4458"/>
    <w:multiLevelType w:val="multilevel"/>
    <w:tmpl w:val="371B4458"/>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39912C15"/>
    <w:multiLevelType w:val="multilevel"/>
    <w:tmpl w:val="39912C15"/>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497D0EAB"/>
    <w:multiLevelType w:val="multilevel"/>
    <w:tmpl w:val="497D0EAB"/>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8">
    <w:nsid w:val="5F883F16"/>
    <w:multiLevelType w:val="multilevel"/>
    <w:tmpl w:val="5F883F16"/>
    <w:lvl w:ilvl="0" w:tentative="0">
      <w:start w:val="1"/>
      <w:numFmt w:val="decimal"/>
      <w:pStyle w:val="7"/>
      <w:suff w:val="space"/>
      <w:lvlText w:val="%1"/>
      <w:lvlJc w:val="center"/>
      <w:pPr>
        <w:ind w:left="0" w:firstLine="0"/>
      </w:pPr>
      <w:rPr>
        <w:rFonts w:hint="eastAsia"/>
      </w:rPr>
    </w:lvl>
    <w:lvl w:ilvl="1" w:tentative="0">
      <w:start w:val="2"/>
      <w:numFmt w:val="decimal"/>
      <w:pStyle w:val="8"/>
      <w:suff w:val="space"/>
      <w:lvlText w:val="%1.%2"/>
      <w:lvlJc w:val="left"/>
      <w:pPr>
        <w:ind w:left="0" w:firstLine="0"/>
      </w:pPr>
      <w:rPr>
        <w:rFonts w:hint="eastAsia"/>
        <w:sz w:val="30"/>
        <w:szCs w:val="30"/>
      </w:rPr>
    </w:lvl>
    <w:lvl w:ilvl="2" w:tentative="0">
      <w:start w:val="1"/>
      <w:numFmt w:val="decimal"/>
      <w:pStyle w:val="9"/>
      <w:suff w:val="space"/>
      <w:lvlText w:val="%1.%2.%3"/>
      <w:lvlJc w:val="left"/>
      <w:pPr>
        <w:ind w:left="0" w:firstLine="0"/>
      </w:pPr>
      <w:rPr>
        <w:rFonts w:hint="eastAsia"/>
      </w:rPr>
    </w:lvl>
    <w:lvl w:ilvl="3" w:tentative="0">
      <w:start w:val="1"/>
      <w:numFmt w:val="decimal"/>
      <w:pStyle w:val="10"/>
      <w:suff w:val="space"/>
      <w:lvlText w:val="%1.%2.%3.%4"/>
      <w:lvlJc w:val="left"/>
      <w:pPr>
        <w:ind w:left="0" w:firstLine="0"/>
      </w:pPr>
      <w:rPr>
        <w:rFonts w:hint="eastAsia"/>
      </w:rPr>
    </w:lvl>
    <w:lvl w:ilvl="4" w:tentative="0">
      <w:start w:val="1"/>
      <w:numFmt w:val="decimal"/>
      <w:lvlRestart w:val="2"/>
      <w:pStyle w:val="11"/>
      <w:suff w:val="space"/>
      <w:lvlText w:val="表%1.%2-%5"/>
      <w:lvlJc w:val="center"/>
      <w:pPr>
        <w:ind w:left="0" w:firstLine="0"/>
      </w:pPr>
      <w:rPr>
        <w:rFonts w:hint="eastAsia"/>
        <w:lang w:val="en-US"/>
      </w:rPr>
    </w:lvl>
    <w:lvl w:ilvl="5" w:tentative="0">
      <w:start w:val="1"/>
      <w:numFmt w:val="decimal"/>
      <w:lvlRestart w:val="3"/>
      <w:pStyle w:val="12"/>
      <w:suff w:val="space"/>
      <w:lvlText w:val="图%1.%2-%6"/>
      <w:lvlJc w:val="center"/>
      <w:pPr>
        <w:ind w:left="0" w:firstLine="0"/>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
    <w:nsid w:val="6D0F1AFC"/>
    <w:multiLevelType w:val="multilevel"/>
    <w:tmpl w:val="6D0F1AFC"/>
    <w:lvl w:ilvl="0" w:tentative="0">
      <w:start w:val="1"/>
      <w:numFmt w:val="decimal"/>
      <w:suff w:val="nothing"/>
      <w:lvlText w:val="（%1）"/>
      <w:lvlJc w:val="left"/>
      <w:pPr>
        <w:ind w:left="0" w:firstLine="0"/>
      </w:pPr>
      <w:rPr>
        <w:rFonts w:hint="eastAsia"/>
        <w:lang w:val="en-U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2"/>
    </w:lvlOverride>
    <w:lvlOverride w:ilvl="1">
      <w:startOverride w:val="1"/>
    </w:lvlOverride>
    <w:lvlOverride w:ilvl="2">
      <w:startOverride w:val="1"/>
    </w:lvlOverride>
    <w:lvlOverride w:ilvl="3">
      <w:startOverride w:val="1"/>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9"/>
  </w:num>
  <w:num w:numId="7">
    <w:abstractNumId w:val="1"/>
  </w:num>
  <w:num w:numId="8">
    <w:abstractNumId w:val="3"/>
  </w:num>
  <w:num w:numId="9">
    <w:abstractNumId w:val="8"/>
    <w:lvlOverride w:ilvl="0">
      <w:startOverride w:val="2"/>
    </w:lvlOverride>
    <w:lvlOverride w:ilvl="1">
      <w:startOverride w:val="2"/>
    </w:lvlOverride>
    <w:lvlOverride w:ilvl="2">
      <w:startOverride w:val="1"/>
    </w:lvlOverride>
    <w:lvlOverride w:ilvl="3">
      <w:startOverride w:val="1"/>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2"/>
    </w:lvlOverride>
    <w:lvlOverride w:ilvl="1">
      <w:startOverride w:val="3"/>
    </w:lvlOverride>
    <w:lvlOverride w:ilvl="2">
      <w:startOverride w:val="1"/>
    </w:lvlOverride>
    <w:lvlOverride w:ilvl="3">
      <w:startOverride w:val="1"/>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8"/>
    <w:lvlOverride w:ilvl="0">
      <w:startOverride w:val="2"/>
    </w:lvlOverride>
    <w:lvlOverride w:ilvl="1">
      <w:startOverride w:val="4"/>
    </w:lvlOverride>
    <w:lvlOverride w:ilvl="2">
      <w:startOverride w:val="1"/>
    </w:lvlOverride>
    <w:lvlOverride w:ilvl="3">
      <w:startOverride w:val="1"/>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8"/>
    <w:lvlOverride w:ilvl="0">
      <w:startOverride w:val="2"/>
    </w:lvlOverride>
    <w:lvlOverride w:ilvl="1">
      <w:startOverride w:val="5"/>
    </w:lvlOverride>
    <w:lvlOverride w:ilvl="2">
      <w:startOverride w:val="1"/>
    </w:lvlOverride>
    <w:lvlOverride w:ilvl="3">
      <w:startOverride w:val="1"/>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2"/>
    </w:lvlOverride>
    <w:lvlOverride w:ilvl="1">
      <w:startOverride w:val="5"/>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2"/>
    </w:lvlOverride>
    <w:lvlOverride w:ilvl="1">
      <w:startOverride w:val="5"/>
    </w:lvlOverride>
    <w:lvlOverride w:ilvl="2">
      <w:startOverride w:val="2"/>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2"/>
    </w:lvlOverride>
    <w:lvlOverride w:ilvl="1">
      <w:startOverride w:val="5"/>
    </w:lvlOverride>
    <w:lvlOverride w:ilvl="2">
      <w:startOverride w:val="3"/>
    </w:lvlOverride>
    <w:lvlOverride w:ilvl="3">
      <w:startOverride w:val="1"/>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2"/>
    </w:lvlOverride>
    <w:lvlOverride w:ilvl="1">
      <w:startOverride w:val="5"/>
    </w:lvlOverride>
    <w:lvlOverride w:ilvl="2">
      <w:startOverride w:val="5"/>
    </w:lvlOverride>
    <w:lvlOverride w:ilvl="3">
      <w:startOverride w:val="1"/>
    </w:lvlOverride>
    <w:lvlOverride w:ilvl="4">
      <w:startOverride w:val="9"/>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2"/>
    </w:lvlOverride>
    <w:lvlOverride w:ilvl="1">
      <w:startOverride w:val="5"/>
    </w:lvlOverride>
    <w:lvlOverride w:ilvl="2">
      <w:startOverride w:val="7"/>
    </w:lvlOverride>
    <w:lvlOverride w:ilvl="3">
      <w:startOverride w:val="1"/>
    </w:lvlOverride>
    <w:lvlOverride w:ilvl="4">
      <w:startOverride w:val="1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2"/>
    </w:lvlOverride>
    <w:lvlOverride w:ilvl="1">
      <w:startOverride w:val="5"/>
    </w:lvlOverride>
    <w:lvlOverride w:ilvl="2">
      <w:startOverride w:val="8"/>
    </w:lvlOverride>
    <w:lvlOverride w:ilvl="3">
      <w:startOverride w:val="1"/>
    </w:lvlOverride>
    <w:lvlOverride w:ilvl="4">
      <w:startOverride w:val="12"/>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2"/>
    </w:lvlOverride>
    <w:lvlOverride w:ilvl="1">
      <w:startOverride w:val="7"/>
    </w:lvlOverride>
    <w:lvlOverride w:ilvl="2">
      <w:startOverride w:val="1"/>
    </w:lvlOverride>
    <w:lvlOverride w:ilvl="3">
      <w:startOverride w:val="1"/>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2"/>
    </w:lvlOverride>
    <w:lvlOverride w:ilvl="1">
      <w:startOverride w:val="7"/>
    </w:lvlOverride>
    <w:lvlOverride w:ilvl="2">
      <w:startOverride w:val="2"/>
    </w:lvlOverride>
    <w:lvlOverride w:ilvl="3">
      <w:startOverride w:val="1"/>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3"/>
    </w:lvlOverride>
    <w:lvlOverride w:ilvl="1">
      <w:startOverride w:val="1"/>
    </w:lvlOverride>
    <w:lvlOverride w:ilvl="2">
      <w:startOverride w:val="4"/>
    </w:lvlOverride>
    <w:lvlOverride w:ilvl="3">
      <w:startOverride w:val="1"/>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3"/>
    </w:lvlOverride>
    <w:lvlOverride w:ilvl="1">
      <w:startOverride w:val="2"/>
    </w:lvlOverride>
    <w:lvlOverride w:ilvl="2">
      <w:startOverride w:val="1"/>
    </w:lvlOverride>
    <w:lvlOverride w:ilvl="3">
      <w:startOverride w:val="1"/>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3"/>
    </w:lvlOverride>
    <w:lvlOverride w:ilvl="1">
      <w:startOverride w:val="2"/>
    </w:lvlOverride>
    <w:lvlOverride w:ilvl="2">
      <w:startOverride w:val="6"/>
    </w:lvlOverride>
    <w:lvlOverride w:ilvl="3">
      <w:startOverride w:val="2"/>
    </w:lvlOverride>
    <w:lvlOverride w:ilvl="4">
      <w:startOverride w:val="7"/>
    </w:lvlOverride>
    <w:lvlOverride w:ilvl="5">
      <w:startOverride w:val="2"/>
    </w:lvlOverride>
    <w:lvlOverride w:ilvl="6">
      <w:startOverride w:val="1"/>
    </w:lvlOverride>
    <w:lvlOverride w:ilvl="7">
      <w:startOverride w:val="1"/>
    </w:lvlOverride>
    <w:lvlOverride w:ilvl="8">
      <w:startOverride w:val="1"/>
    </w:lvlOverride>
  </w:num>
  <w:num w:numId="32">
    <w:abstractNumId w:val="8"/>
    <w:lvlOverride w:ilvl="0">
      <w:startOverride w:val="3"/>
    </w:lvlOverride>
    <w:lvlOverride w:ilvl="1">
      <w:startOverride w:val="2"/>
    </w:lvlOverride>
    <w:lvlOverride w:ilvl="2">
      <w:startOverride w:val="6"/>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3"/>
    </w:lvlOverride>
    <w:lvlOverride w:ilvl="1">
      <w:startOverride w:val="3"/>
    </w:lvlOverride>
    <w:lvlOverride w:ilvl="2">
      <w:startOverride w:val="1"/>
    </w:lvlOverride>
    <w:lvlOverride w:ilvl="3">
      <w:startOverride w:val="1"/>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3"/>
    </w:lvlOverride>
    <w:lvlOverride w:ilvl="1">
      <w:startOverride w:val="3"/>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4"/>
    </w:lvlOverride>
    <w:lvlOverride w:ilvl="1">
      <w:startOverride w:val="1"/>
    </w:lvlOverride>
    <w:lvlOverride w:ilvl="2">
      <w:startOverride w:val="1"/>
    </w:lvlOverride>
    <w:lvlOverride w:ilvl="3">
      <w:startOverride w:val="1"/>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4"/>
    </w:lvlOverride>
    <w:lvlOverride w:ilvl="1">
      <w:startOverride w:val="2"/>
    </w:lvlOverride>
    <w:lvlOverride w:ilvl="2">
      <w:startOverride w:val="1"/>
    </w:lvlOverride>
    <w:lvlOverride w:ilvl="3">
      <w:startOverride w:val="1"/>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4"/>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8"/>
    <w:lvlOverride w:ilvl="0">
      <w:startOverride w:val="4"/>
    </w:lvlOverride>
    <w:lvlOverride w:ilvl="1">
      <w:startOverride w:val="3"/>
    </w:lvlOverride>
    <w:lvlOverride w:ilvl="2">
      <w:startOverride w:val="1"/>
    </w:lvlOverride>
    <w:lvlOverride w:ilvl="3">
      <w:startOverride w:val="1"/>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5"/>
    </w:lvlOverride>
    <w:lvlOverride w:ilvl="1">
      <w:startOverride w:val="1"/>
    </w:lvlOverride>
    <w:lvlOverride w:ilvl="2">
      <w:startOverride w:val="1"/>
    </w:lvlOverride>
    <w:lvlOverride w:ilvl="3">
      <w:startOverride w:val="1"/>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5"/>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5"/>
    </w:lvlOverride>
    <w:lvlOverride w:ilvl="1">
      <w:startOverride w:val="2"/>
    </w:lvlOverride>
    <w:lvlOverride w:ilvl="2">
      <w:startOverride w:val="1"/>
    </w:lvlOverride>
    <w:lvlOverride w:ilvl="3">
      <w:startOverride w:val="1"/>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5"/>
    </w:lvlOverride>
    <w:lvlOverride w:ilvl="1">
      <w:startOverride w:val="3"/>
    </w:lvlOverride>
    <w:lvlOverride w:ilvl="2">
      <w:startOverride w:val="1"/>
    </w:lvlOverride>
    <w:lvlOverride w:ilvl="3">
      <w:startOverride w:val="1"/>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5"/>
    </w:lvlOverride>
    <w:lvlOverride w:ilvl="1">
      <w:startOverride w:val="5"/>
    </w:lvlOverride>
    <w:lvlOverride w:ilvl="2">
      <w:startOverride w:val="1"/>
    </w:lvlOverride>
    <w:lvlOverride w:ilvl="3">
      <w:startOverride w:val="1"/>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5"/>
    </w:lvlOverride>
    <w:lvlOverride w:ilvl="1">
      <w:startOverride w:val="6"/>
    </w:lvlOverride>
    <w:lvlOverride w:ilvl="2">
      <w:startOverride w:val="1"/>
    </w:lvlOverride>
    <w:lvlOverride w:ilvl="3">
      <w:startOverride w:val="1"/>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5"/>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lvlOverride w:ilvl="0">
      <w:startOverride w:val="5"/>
    </w:lvlOverride>
    <w:lvlOverride w:ilvl="1">
      <w:startOverride w:val="9"/>
    </w:lvlOverride>
    <w:lvlOverride w:ilvl="2">
      <w:startOverride w:val="1"/>
    </w:lvlOverride>
    <w:lvlOverride w:ilvl="3">
      <w:startOverride w:val="1"/>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52">
    <w:abstractNumId w:val="8"/>
    <w:lvlOverride w:ilvl="0">
      <w:startOverride w:val="5"/>
    </w:lvlOverride>
    <w:lvlOverride w:ilvl="1">
      <w:startOverride w:val="9"/>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
  </w:num>
  <w:num w:numId="55">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
    <w:lvlOverride w:ilvl="0">
      <w:startOverride w:val="6"/>
    </w:lvlOverride>
    <w:lvlOverride w:ilvl="1">
      <w:startOverride w:val="1"/>
    </w:lvlOverride>
    <w:lvlOverride w:ilvl="2">
      <w:startOverride w:val="1"/>
    </w:lvlOverride>
    <w:lvlOverride w:ilvl="3">
      <w:startOverride w:val="1"/>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57">
    <w:abstractNumId w:val="8"/>
    <w:lvlOverride w:ilvl="0">
      <w:startOverride w:val="6"/>
    </w:lvlOverride>
    <w:lvlOverride w:ilvl="1">
      <w:startOverride w:val="2"/>
    </w:lvlOverride>
    <w:lvlOverride w:ilvl="2">
      <w:startOverride w:val="1"/>
    </w:lvlOverride>
    <w:lvlOverride w:ilvl="3">
      <w:startOverride w:val="1"/>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58">
    <w:abstractNumId w:val="8"/>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
    <w:lvlOverride w:ilvl="0">
      <w:startOverride w:val="6"/>
    </w:lvlOverride>
    <w:lvlOverride w:ilvl="1">
      <w:startOverride w:val="3"/>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
    <w:lvlOverride w:ilvl="0">
      <w:startOverride w:val="7"/>
    </w:lvlOverride>
    <w:lvlOverride w:ilvl="1">
      <w:startOverride w:val="2"/>
    </w:lvlOverride>
    <w:lvlOverride w:ilvl="2">
      <w:startOverride w:val="1"/>
    </w:lvlOverride>
    <w:lvlOverride w:ilvl="3">
      <w:startOverride w:val="1"/>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62">
    <w:abstractNumId w:val="8"/>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
    <w:lvlOverride w:ilvl="0">
      <w:startOverride w:val="7"/>
    </w:lvlOverride>
    <w:lvlOverride w:ilvl="1">
      <w:startOverride w:val="3"/>
    </w:lvlOverride>
    <w:lvlOverride w:ilvl="2">
      <w:startOverride w:val="1"/>
    </w:lvlOverride>
    <w:lvlOverride w:ilvl="3">
      <w:startOverride w:val="1"/>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64">
    <w:abstractNumId w:val="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
    <w:lvlOverride w:ilvl="0">
      <w:startOverride w:val="8"/>
    </w:lvlOverride>
    <w:lvlOverride w:ilvl="1">
      <w:startOverride w:val="1"/>
    </w:lvlOverride>
    <w:lvlOverride w:ilvl="2">
      <w:startOverride w:val="1"/>
    </w:lvlOverride>
    <w:lvlOverride w:ilvl="3">
      <w:startOverride w:val="1"/>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66">
    <w:abstractNumId w:val="8"/>
    <w:lvlOverride w:ilvl="0">
      <w:startOverride w:val="8"/>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
    <w:lvlOverride w:ilvl="0">
      <w:startOverride w:val="8"/>
    </w:lvlOverride>
    <w:lvlOverride w:ilvl="1">
      <w:startOverride w:val="2"/>
    </w:lvlOverride>
    <w:lvlOverride w:ilvl="2">
      <w:startOverride w:val="1"/>
    </w:lvlOverride>
    <w:lvlOverride w:ilvl="3">
      <w:startOverride w:val="1"/>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68">
    <w:abstractNumId w:val="8"/>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
    <w:lvlOverride w:ilvl="0">
      <w:startOverride w:val="8"/>
    </w:lvlOverride>
    <w:lvlOverride w:ilvl="1">
      <w:startOverride w:val="3"/>
    </w:lvlOverride>
    <w:lvlOverride w:ilvl="2">
      <w:startOverride w:val="1"/>
    </w:lvlOverride>
    <w:lvlOverride w:ilvl="3">
      <w:startOverride w:val="1"/>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70">
    <w:abstractNumId w:val="8"/>
    <w:lvlOverride w:ilvl="0">
      <w:startOverride w:val="8"/>
    </w:lvlOverride>
    <w:lvlOverride w:ilvl="1">
      <w:startOverride w:val="4"/>
    </w:lvlOverride>
    <w:lvlOverride w:ilvl="2">
      <w:startOverride w:val="1"/>
    </w:lvlOverride>
    <w:lvlOverride w:ilvl="3">
      <w:startOverride w:val="1"/>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71">
    <w:abstractNumId w:val="8"/>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
    <w:lvlOverride w:ilvl="0">
      <w:startOverride w:val="8"/>
    </w:lvlOverride>
    <w:lvlOverride w:ilvl="1">
      <w:startOverride w:val="5"/>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852"/>
    <w:rsid w:val="000004F3"/>
    <w:rsid w:val="0000096B"/>
    <w:rsid w:val="000009B8"/>
    <w:rsid w:val="00002E70"/>
    <w:rsid w:val="00003A7C"/>
    <w:rsid w:val="00010AA8"/>
    <w:rsid w:val="000140D8"/>
    <w:rsid w:val="00017105"/>
    <w:rsid w:val="0001785F"/>
    <w:rsid w:val="00020102"/>
    <w:rsid w:val="00020563"/>
    <w:rsid w:val="00021574"/>
    <w:rsid w:val="0002166E"/>
    <w:rsid w:val="00030F0E"/>
    <w:rsid w:val="000341EF"/>
    <w:rsid w:val="00035DB2"/>
    <w:rsid w:val="00036363"/>
    <w:rsid w:val="000374A3"/>
    <w:rsid w:val="00042123"/>
    <w:rsid w:val="00043BC0"/>
    <w:rsid w:val="000457CC"/>
    <w:rsid w:val="00047923"/>
    <w:rsid w:val="00051518"/>
    <w:rsid w:val="00051B87"/>
    <w:rsid w:val="0005232F"/>
    <w:rsid w:val="00054F7F"/>
    <w:rsid w:val="00057224"/>
    <w:rsid w:val="00057566"/>
    <w:rsid w:val="00061C11"/>
    <w:rsid w:val="00063187"/>
    <w:rsid w:val="00064367"/>
    <w:rsid w:val="00065644"/>
    <w:rsid w:val="00066CFE"/>
    <w:rsid w:val="00067DAC"/>
    <w:rsid w:val="00067ED9"/>
    <w:rsid w:val="000716EB"/>
    <w:rsid w:val="00071E50"/>
    <w:rsid w:val="00076713"/>
    <w:rsid w:val="000811DC"/>
    <w:rsid w:val="0008436A"/>
    <w:rsid w:val="00086006"/>
    <w:rsid w:val="00090012"/>
    <w:rsid w:val="00090AAC"/>
    <w:rsid w:val="000926D9"/>
    <w:rsid w:val="0009443C"/>
    <w:rsid w:val="000959D1"/>
    <w:rsid w:val="000979CA"/>
    <w:rsid w:val="000A16BE"/>
    <w:rsid w:val="000A1F0D"/>
    <w:rsid w:val="000A373E"/>
    <w:rsid w:val="000A42C6"/>
    <w:rsid w:val="000A4EB3"/>
    <w:rsid w:val="000A7879"/>
    <w:rsid w:val="000A7BA8"/>
    <w:rsid w:val="000B2240"/>
    <w:rsid w:val="000B6683"/>
    <w:rsid w:val="000C5BC9"/>
    <w:rsid w:val="000C6E66"/>
    <w:rsid w:val="000D2A70"/>
    <w:rsid w:val="000D3C55"/>
    <w:rsid w:val="000D5DBA"/>
    <w:rsid w:val="000D6632"/>
    <w:rsid w:val="000D7C91"/>
    <w:rsid w:val="000F2D5F"/>
    <w:rsid w:val="000F4BCE"/>
    <w:rsid w:val="0010134D"/>
    <w:rsid w:val="001018AC"/>
    <w:rsid w:val="001048A6"/>
    <w:rsid w:val="00107253"/>
    <w:rsid w:val="0010735A"/>
    <w:rsid w:val="00107C03"/>
    <w:rsid w:val="00110260"/>
    <w:rsid w:val="00110576"/>
    <w:rsid w:val="00110B55"/>
    <w:rsid w:val="00111E36"/>
    <w:rsid w:val="00112929"/>
    <w:rsid w:val="00117B65"/>
    <w:rsid w:val="00121F01"/>
    <w:rsid w:val="00123FFB"/>
    <w:rsid w:val="00124799"/>
    <w:rsid w:val="00132EC9"/>
    <w:rsid w:val="00132F93"/>
    <w:rsid w:val="00133892"/>
    <w:rsid w:val="00133CC7"/>
    <w:rsid w:val="0013450A"/>
    <w:rsid w:val="00135C72"/>
    <w:rsid w:val="0013728B"/>
    <w:rsid w:val="0013737F"/>
    <w:rsid w:val="0014084E"/>
    <w:rsid w:val="00142444"/>
    <w:rsid w:val="00146428"/>
    <w:rsid w:val="00155150"/>
    <w:rsid w:val="00160A93"/>
    <w:rsid w:val="00162E7F"/>
    <w:rsid w:val="0016312D"/>
    <w:rsid w:val="00165625"/>
    <w:rsid w:val="00165799"/>
    <w:rsid w:val="00170DB3"/>
    <w:rsid w:val="001710F4"/>
    <w:rsid w:val="0017280E"/>
    <w:rsid w:val="00172C79"/>
    <w:rsid w:val="00172EEA"/>
    <w:rsid w:val="001730BF"/>
    <w:rsid w:val="00174E41"/>
    <w:rsid w:val="00175A98"/>
    <w:rsid w:val="00176EE1"/>
    <w:rsid w:val="00176F95"/>
    <w:rsid w:val="00180499"/>
    <w:rsid w:val="00181CBB"/>
    <w:rsid w:val="0018259C"/>
    <w:rsid w:val="00182857"/>
    <w:rsid w:val="0018535B"/>
    <w:rsid w:val="001931C7"/>
    <w:rsid w:val="00197383"/>
    <w:rsid w:val="001A5844"/>
    <w:rsid w:val="001A58C7"/>
    <w:rsid w:val="001B45EA"/>
    <w:rsid w:val="001B5D75"/>
    <w:rsid w:val="001B6760"/>
    <w:rsid w:val="001C193F"/>
    <w:rsid w:val="001C3DA9"/>
    <w:rsid w:val="001C4B5F"/>
    <w:rsid w:val="001C4D55"/>
    <w:rsid w:val="001C5170"/>
    <w:rsid w:val="001C5C72"/>
    <w:rsid w:val="001C65E7"/>
    <w:rsid w:val="001C7839"/>
    <w:rsid w:val="001D0CE8"/>
    <w:rsid w:val="001D2733"/>
    <w:rsid w:val="001D4550"/>
    <w:rsid w:val="001D572A"/>
    <w:rsid w:val="001D6FF9"/>
    <w:rsid w:val="001E2054"/>
    <w:rsid w:val="001E2D3F"/>
    <w:rsid w:val="001E5241"/>
    <w:rsid w:val="001E5BF2"/>
    <w:rsid w:val="001F1FF3"/>
    <w:rsid w:val="001F2736"/>
    <w:rsid w:val="001F30BF"/>
    <w:rsid w:val="001F448C"/>
    <w:rsid w:val="001F5DDF"/>
    <w:rsid w:val="001F7263"/>
    <w:rsid w:val="00200BF6"/>
    <w:rsid w:val="00202B21"/>
    <w:rsid w:val="002037E2"/>
    <w:rsid w:val="00205E6D"/>
    <w:rsid w:val="002072FD"/>
    <w:rsid w:val="002103A5"/>
    <w:rsid w:val="00211345"/>
    <w:rsid w:val="002122C5"/>
    <w:rsid w:val="002171B0"/>
    <w:rsid w:val="00217DDA"/>
    <w:rsid w:val="00221CD7"/>
    <w:rsid w:val="002226FD"/>
    <w:rsid w:val="00223EAE"/>
    <w:rsid w:val="00226F86"/>
    <w:rsid w:val="00230CFA"/>
    <w:rsid w:val="002315EF"/>
    <w:rsid w:val="0023191D"/>
    <w:rsid w:val="00233571"/>
    <w:rsid w:val="0023386A"/>
    <w:rsid w:val="00233880"/>
    <w:rsid w:val="0023499D"/>
    <w:rsid w:val="00234AEE"/>
    <w:rsid w:val="00236381"/>
    <w:rsid w:val="00236403"/>
    <w:rsid w:val="0024629C"/>
    <w:rsid w:val="002470E8"/>
    <w:rsid w:val="00251A99"/>
    <w:rsid w:val="00265E2A"/>
    <w:rsid w:val="00266843"/>
    <w:rsid w:val="0026783E"/>
    <w:rsid w:val="0027339B"/>
    <w:rsid w:val="00273D91"/>
    <w:rsid w:val="0027574F"/>
    <w:rsid w:val="00284120"/>
    <w:rsid w:val="00284E5F"/>
    <w:rsid w:val="002855D5"/>
    <w:rsid w:val="002861EA"/>
    <w:rsid w:val="00287410"/>
    <w:rsid w:val="00287F6A"/>
    <w:rsid w:val="00290D8D"/>
    <w:rsid w:val="0029366F"/>
    <w:rsid w:val="00293BE8"/>
    <w:rsid w:val="00294CBA"/>
    <w:rsid w:val="002B2468"/>
    <w:rsid w:val="002B2F43"/>
    <w:rsid w:val="002B3497"/>
    <w:rsid w:val="002B3D62"/>
    <w:rsid w:val="002B628D"/>
    <w:rsid w:val="002B68E0"/>
    <w:rsid w:val="002B6F28"/>
    <w:rsid w:val="002B72EF"/>
    <w:rsid w:val="002B77FB"/>
    <w:rsid w:val="002B7D52"/>
    <w:rsid w:val="002C1FCF"/>
    <w:rsid w:val="002C4FD0"/>
    <w:rsid w:val="002C50D9"/>
    <w:rsid w:val="002C703D"/>
    <w:rsid w:val="002C7108"/>
    <w:rsid w:val="002C7AA6"/>
    <w:rsid w:val="002D2F5B"/>
    <w:rsid w:val="002E0363"/>
    <w:rsid w:val="002E24DB"/>
    <w:rsid w:val="002E40C9"/>
    <w:rsid w:val="002E569A"/>
    <w:rsid w:val="002E75D2"/>
    <w:rsid w:val="002F086F"/>
    <w:rsid w:val="002F0996"/>
    <w:rsid w:val="002F1518"/>
    <w:rsid w:val="002F220A"/>
    <w:rsid w:val="002F3644"/>
    <w:rsid w:val="002F4450"/>
    <w:rsid w:val="002F71E1"/>
    <w:rsid w:val="003014EF"/>
    <w:rsid w:val="00303393"/>
    <w:rsid w:val="003044DE"/>
    <w:rsid w:val="0030521C"/>
    <w:rsid w:val="00306B85"/>
    <w:rsid w:val="00307AA9"/>
    <w:rsid w:val="00311794"/>
    <w:rsid w:val="00313CE6"/>
    <w:rsid w:val="00317206"/>
    <w:rsid w:val="003203E8"/>
    <w:rsid w:val="0032060D"/>
    <w:rsid w:val="0032130E"/>
    <w:rsid w:val="003232D7"/>
    <w:rsid w:val="003270CC"/>
    <w:rsid w:val="00327DC7"/>
    <w:rsid w:val="00333793"/>
    <w:rsid w:val="003345A4"/>
    <w:rsid w:val="00341BB2"/>
    <w:rsid w:val="00342425"/>
    <w:rsid w:val="003451C9"/>
    <w:rsid w:val="00345418"/>
    <w:rsid w:val="00350D66"/>
    <w:rsid w:val="00351EDA"/>
    <w:rsid w:val="00354BE4"/>
    <w:rsid w:val="00356180"/>
    <w:rsid w:val="00356645"/>
    <w:rsid w:val="00357482"/>
    <w:rsid w:val="003627F4"/>
    <w:rsid w:val="00363303"/>
    <w:rsid w:val="00363C78"/>
    <w:rsid w:val="00366B02"/>
    <w:rsid w:val="003672BA"/>
    <w:rsid w:val="00367AE7"/>
    <w:rsid w:val="00386B97"/>
    <w:rsid w:val="00387E88"/>
    <w:rsid w:val="00391881"/>
    <w:rsid w:val="003926DC"/>
    <w:rsid w:val="003927C7"/>
    <w:rsid w:val="00393338"/>
    <w:rsid w:val="00394569"/>
    <w:rsid w:val="003945BE"/>
    <w:rsid w:val="00396358"/>
    <w:rsid w:val="003A2650"/>
    <w:rsid w:val="003A54A2"/>
    <w:rsid w:val="003A6A73"/>
    <w:rsid w:val="003A77B4"/>
    <w:rsid w:val="003B0AE4"/>
    <w:rsid w:val="003B0CA2"/>
    <w:rsid w:val="003B171B"/>
    <w:rsid w:val="003B2C92"/>
    <w:rsid w:val="003B4813"/>
    <w:rsid w:val="003B66B9"/>
    <w:rsid w:val="003B7AED"/>
    <w:rsid w:val="003C3778"/>
    <w:rsid w:val="003C568B"/>
    <w:rsid w:val="003C5DC0"/>
    <w:rsid w:val="003D3D97"/>
    <w:rsid w:val="003D6992"/>
    <w:rsid w:val="003D79E3"/>
    <w:rsid w:val="003E02B0"/>
    <w:rsid w:val="003E346D"/>
    <w:rsid w:val="003E4685"/>
    <w:rsid w:val="003E568E"/>
    <w:rsid w:val="003E5D88"/>
    <w:rsid w:val="003E5DD6"/>
    <w:rsid w:val="003E6F93"/>
    <w:rsid w:val="003E7BF6"/>
    <w:rsid w:val="003F0FF7"/>
    <w:rsid w:val="003F3035"/>
    <w:rsid w:val="003F502D"/>
    <w:rsid w:val="00401431"/>
    <w:rsid w:val="00405DF2"/>
    <w:rsid w:val="00406AC7"/>
    <w:rsid w:val="004070D2"/>
    <w:rsid w:val="00407CA4"/>
    <w:rsid w:val="00410965"/>
    <w:rsid w:val="00411A2A"/>
    <w:rsid w:val="00411BF8"/>
    <w:rsid w:val="004120E2"/>
    <w:rsid w:val="004120F8"/>
    <w:rsid w:val="00413726"/>
    <w:rsid w:val="00414B2D"/>
    <w:rsid w:val="00414CA6"/>
    <w:rsid w:val="0041737C"/>
    <w:rsid w:val="00421286"/>
    <w:rsid w:val="004216EA"/>
    <w:rsid w:val="0042510D"/>
    <w:rsid w:val="004251A6"/>
    <w:rsid w:val="004260A6"/>
    <w:rsid w:val="00427950"/>
    <w:rsid w:val="0043009D"/>
    <w:rsid w:val="004316E7"/>
    <w:rsid w:val="00432584"/>
    <w:rsid w:val="00440100"/>
    <w:rsid w:val="00441EC2"/>
    <w:rsid w:val="00442D51"/>
    <w:rsid w:val="00444FB7"/>
    <w:rsid w:val="00445904"/>
    <w:rsid w:val="00446079"/>
    <w:rsid w:val="00450CD2"/>
    <w:rsid w:val="00450FAD"/>
    <w:rsid w:val="00451390"/>
    <w:rsid w:val="0045356B"/>
    <w:rsid w:val="00454A97"/>
    <w:rsid w:val="0045659A"/>
    <w:rsid w:val="0046210F"/>
    <w:rsid w:val="0046451B"/>
    <w:rsid w:val="0046572B"/>
    <w:rsid w:val="0047026A"/>
    <w:rsid w:val="0047118A"/>
    <w:rsid w:val="004712B3"/>
    <w:rsid w:val="0047380C"/>
    <w:rsid w:val="004762A4"/>
    <w:rsid w:val="00482E28"/>
    <w:rsid w:val="00483117"/>
    <w:rsid w:val="00485AF6"/>
    <w:rsid w:val="0048609A"/>
    <w:rsid w:val="00490018"/>
    <w:rsid w:val="00490552"/>
    <w:rsid w:val="00490B30"/>
    <w:rsid w:val="00490D53"/>
    <w:rsid w:val="004A38EF"/>
    <w:rsid w:val="004A715B"/>
    <w:rsid w:val="004B0CA2"/>
    <w:rsid w:val="004B3BEB"/>
    <w:rsid w:val="004B5592"/>
    <w:rsid w:val="004C080E"/>
    <w:rsid w:val="004C6638"/>
    <w:rsid w:val="004C707F"/>
    <w:rsid w:val="004D1544"/>
    <w:rsid w:val="004D1E13"/>
    <w:rsid w:val="004D3965"/>
    <w:rsid w:val="004D4E03"/>
    <w:rsid w:val="004E1B30"/>
    <w:rsid w:val="004E1EAA"/>
    <w:rsid w:val="004E399A"/>
    <w:rsid w:val="004E507F"/>
    <w:rsid w:val="004E5713"/>
    <w:rsid w:val="004E5E9A"/>
    <w:rsid w:val="004E65BF"/>
    <w:rsid w:val="004E6662"/>
    <w:rsid w:val="004E712C"/>
    <w:rsid w:val="004F1D86"/>
    <w:rsid w:val="004F25AD"/>
    <w:rsid w:val="004F3580"/>
    <w:rsid w:val="004F6D47"/>
    <w:rsid w:val="00511FF2"/>
    <w:rsid w:val="00513435"/>
    <w:rsid w:val="0051366A"/>
    <w:rsid w:val="00513BEF"/>
    <w:rsid w:val="00517050"/>
    <w:rsid w:val="005178D2"/>
    <w:rsid w:val="00517C71"/>
    <w:rsid w:val="0052538A"/>
    <w:rsid w:val="00530089"/>
    <w:rsid w:val="00533482"/>
    <w:rsid w:val="005463DD"/>
    <w:rsid w:val="00547CF5"/>
    <w:rsid w:val="00550AF7"/>
    <w:rsid w:val="0055103B"/>
    <w:rsid w:val="0055225E"/>
    <w:rsid w:val="00553672"/>
    <w:rsid w:val="00553796"/>
    <w:rsid w:val="00556237"/>
    <w:rsid w:val="00557E62"/>
    <w:rsid w:val="00561AD8"/>
    <w:rsid w:val="005638F3"/>
    <w:rsid w:val="00565DBD"/>
    <w:rsid w:val="00566A54"/>
    <w:rsid w:val="00572EB5"/>
    <w:rsid w:val="005736C8"/>
    <w:rsid w:val="0057470B"/>
    <w:rsid w:val="005748E0"/>
    <w:rsid w:val="005751A9"/>
    <w:rsid w:val="0057725C"/>
    <w:rsid w:val="00581270"/>
    <w:rsid w:val="0058138F"/>
    <w:rsid w:val="00582DFF"/>
    <w:rsid w:val="0058396D"/>
    <w:rsid w:val="005902D7"/>
    <w:rsid w:val="0059144A"/>
    <w:rsid w:val="005924AA"/>
    <w:rsid w:val="00592EA2"/>
    <w:rsid w:val="005940E6"/>
    <w:rsid w:val="0059479D"/>
    <w:rsid w:val="00594CD6"/>
    <w:rsid w:val="00597E5B"/>
    <w:rsid w:val="005A049F"/>
    <w:rsid w:val="005A148A"/>
    <w:rsid w:val="005A1E03"/>
    <w:rsid w:val="005A4826"/>
    <w:rsid w:val="005A548A"/>
    <w:rsid w:val="005A7218"/>
    <w:rsid w:val="005C079A"/>
    <w:rsid w:val="005C1280"/>
    <w:rsid w:val="005C1339"/>
    <w:rsid w:val="005C2E8F"/>
    <w:rsid w:val="005C638D"/>
    <w:rsid w:val="005D0EDD"/>
    <w:rsid w:val="005D19FD"/>
    <w:rsid w:val="005D21F5"/>
    <w:rsid w:val="005D27EA"/>
    <w:rsid w:val="005D2CE7"/>
    <w:rsid w:val="005D468D"/>
    <w:rsid w:val="005D6255"/>
    <w:rsid w:val="005D6712"/>
    <w:rsid w:val="005E0793"/>
    <w:rsid w:val="005E0DE5"/>
    <w:rsid w:val="005E1621"/>
    <w:rsid w:val="005E1A58"/>
    <w:rsid w:val="005E6D33"/>
    <w:rsid w:val="005F0A9E"/>
    <w:rsid w:val="005F4717"/>
    <w:rsid w:val="005F6AF4"/>
    <w:rsid w:val="005F7D82"/>
    <w:rsid w:val="0060195C"/>
    <w:rsid w:val="006020CE"/>
    <w:rsid w:val="006027D8"/>
    <w:rsid w:val="00604C94"/>
    <w:rsid w:val="0060546D"/>
    <w:rsid w:val="0060565B"/>
    <w:rsid w:val="0060615A"/>
    <w:rsid w:val="006063C4"/>
    <w:rsid w:val="00614B4A"/>
    <w:rsid w:val="00616AD5"/>
    <w:rsid w:val="006205D7"/>
    <w:rsid w:val="006209E8"/>
    <w:rsid w:val="00620D3D"/>
    <w:rsid w:val="0062177A"/>
    <w:rsid w:val="00622353"/>
    <w:rsid w:val="006233FA"/>
    <w:rsid w:val="006269EE"/>
    <w:rsid w:val="006276B2"/>
    <w:rsid w:val="006302C4"/>
    <w:rsid w:val="00631562"/>
    <w:rsid w:val="00634FF2"/>
    <w:rsid w:val="00635F9B"/>
    <w:rsid w:val="0064057B"/>
    <w:rsid w:val="00640CA9"/>
    <w:rsid w:val="0064253A"/>
    <w:rsid w:val="0064332A"/>
    <w:rsid w:val="00647ECC"/>
    <w:rsid w:val="00651A59"/>
    <w:rsid w:val="00651C02"/>
    <w:rsid w:val="006544C4"/>
    <w:rsid w:val="006558D5"/>
    <w:rsid w:val="00656442"/>
    <w:rsid w:val="0066282E"/>
    <w:rsid w:val="00666C5B"/>
    <w:rsid w:val="00673117"/>
    <w:rsid w:val="00673127"/>
    <w:rsid w:val="006745DA"/>
    <w:rsid w:val="0068040F"/>
    <w:rsid w:val="006854D4"/>
    <w:rsid w:val="0068622A"/>
    <w:rsid w:val="00686699"/>
    <w:rsid w:val="0068781B"/>
    <w:rsid w:val="00690889"/>
    <w:rsid w:val="00691F38"/>
    <w:rsid w:val="00691F64"/>
    <w:rsid w:val="006948B2"/>
    <w:rsid w:val="00695764"/>
    <w:rsid w:val="006A4414"/>
    <w:rsid w:val="006A45A5"/>
    <w:rsid w:val="006A50D5"/>
    <w:rsid w:val="006A58BF"/>
    <w:rsid w:val="006A5AA7"/>
    <w:rsid w:val="006A787A"/>
    <w:rsid w:val="006B08FA"/>
    <w:rsid w:val="006B5534"/>
    <w:rsid w:val="006B5965"/>
    <w:rsid w:val="006B77B1"/>
    <w:rsid w:val="006C01BA"/>
    <w:rsid w:val="006C1377"/>
    <w:rsid w:val="006C3D7C"/>
    <w:rsid w:val="006C414B"/>
    <w:rsid w:val="006C63E5"/>
    <w:rsid w:val="006D3078"/>
    <w:rsid w:val="006D3AEC"/>
    <w:rsid w:val="006D3BB8"/>
    <w:rsid w:val="006D4E31"/>
    <w:rsid w:val="006D65C1"/>
    <w:rsid w:val="006E09A0"/>
    <w:rsid w:val="006E1728"/>
    <w:rsid w:val="006E4C9D"/>
    <w:rsid w:val="006E79E1"/>
    <w:rsid w:val="006F791B"/>
    <w:rsid w:val="00707EDA"/>
    <w:rsid w:val="00711C0A"/>
    <w:rsid w:val="00711D21"/>
    <w:rsid w:val="00712357"/>
    <w:rsid w:val="0071603E"/>
    <w:rsid w:val="00721C87"/>
    <w:rsid w:val="00722F01"/>
    <w:rsid w:val="007237FE"/>
    <w:rsid w:val="00724D33"/>
    <w:rsid w:val="007259BA"/>
    <w:rsid w:val="00725AED"/>
    <w:rsid w:val="00726610"/>
    <w:rsid w:val="00727285"/>
    <w:rsid w:val="00730366"/>
    <w:rsid w:val="00733F06"/>
    <w:rsid w:val="00735423"/>
    <w:rsid w:val="00741174"/>
    <w:rsid w:val="007416DB"/>
    <w:rsid w:val="007473D0"/>
    <w:rsid w:val="007474C0"/>
    <w:rsid w:val="007617CF"/>
    <w:rsid w:val="00761EEB"/>
    <w:rsid w:val="0076223A"/>
    <w:rsid w:val="00763BDC"/>
    <w:rsid w:val="00773FCB"/>
    <w:rsid w:val="00774213"/>
    <w:rsid w:val="0077450C"/>
    <w:rsid w:val="007824D3"/>
    <w:rsid w:val="00787564"/>
    <w:rsid w:val="007A074B"/>
    <w:rsid w:val="007A188D"/>
    <w:rsid w:val="007A1ED1"/>
    <w:rsid w:val="007A47A5"/>
    <w:rsid w:val="007A5488"/>
    <w:rsid w:val="007B3363"/>
    <w:rsid w:val="007B5FA0"/>
    <w:rsid w:val="007B748A"/>
    <w:rsid w:val="007C13CB"/>
    <w:rsid w:val="007C1557"/>
    <w:rsid w:val="007C1DD8"/>
    <w:rsid w:val="007C56A6"/>
    <w:rsid w:val="007C7318"/>
    <w:rsid w:val="007D4196"/>
    <w:rsid w:val="007D5490"/>
    <w:rsid w:val="007D5BEC"/>
    <w:rsid w:val="007D60CD"/>
    <w:rsid w:val="007E2DC0"/>
    <w:rsid w:val="007E2E0E"/>
    <w:rsid w:val="007E45DC"/>
    <w:rsid w:val="007E4629"/>
    <w:rsid w:val="007E5FA0"/>
    <w:rsid w:val="007F2864"/>
    <w:rsid w:val="007F2B8C"/>
    <w:rsid w:val="007F2DD2"/>
    <w:rsid w:val="007F3B72"/>
    <w:rsid w:val="007F4762"/>
    <w:rsid w:val="007F4BF8"/>
    <w:rsid w:val="007F7513"/>
    <w:rsid w:val="007F7F27"/>
    <w:rsid w:val="008011A1"/>
    <w:rsid w:val="00801BA3"/>
    <w:rsid w:val="00802756"/>
    <w:rsid w:val="00805E25"/>
    <w:rsid w:val="0081007F"/>
    <w:rsid w:val="008106F1"/>
    <w:rsid w:val="00810FF4"/>
    <w:rsid w:val="00811B49"/>
    <w:rsid w:val="00827133"/>
    <w:rsid w:val="0083079E"/>
    <w:rsid w:val="00832205"/>
    <w:rsid w:val="00832255"/>
    <w:rsid w:val="00832B9B"/>
    <w:rsid w:val="00833E1D"/>
    <w:rsid w:val="00836690"/>
    <w:rsid w:val="00836D7E"/>
    <w:rsid w:val="00836F96"/>
    <w:rsid w:val="00837456"/>
    <w:rsid w:val="00837AF7"/>
    <w:rsid w:val="008423D2"/>
    <w:rsid w:val="00842F93"/>
    <w:rsid w:val="00846117"/>
    <w:rsid w:val="00847C26"/>
    <w:rsid w:val="00850225"/>
    <w:rsid w:val="00852896"/>
    <w:rsid w:val="008613B4"/>
    <w:rsid w:val="00861B49"/>
    <w:rsid w:val="00862EF8"/>
    <w:rsid w:val="00862F77"/>
    <w:rsid w:val="00863AF8"/>
    <w:rsid w:val="008668DB"/>
    <w:rsid w:val="00871041"/>
    <w:rsid w:val="00872898"/>
    <w:rsid w:val="008748C3"/>
    <w:rsid w:val="00876E89"/>
    <w:rsid w:val="00880CAB"/>
    <w:rsid w:val="00881E04"/>
    <w:rsid w:val="008826E0"/>
    <w:rsid w:val="00883969"/>
    <w:rsid w:val="00883A48"/>
    <w:rsid w:val="00883EC6"/>
    <w:rsid w:val="008900A4"/>
    <w:rsid w:val="008903B7"/>
    <w:rsid w:val="00890A67"/>
    <w:rsid w:val="00890DFA"/>
    <w:rsid w:val="00891C31"/>
    <w:rsid w:val="00892C16"/>
    <w:rsid w:val="0089440C"/>
    <w:rsid w:val="00895FC1"/>
    <w:rsid w:val="0089680B"/>
    <w:rsid w:val="00896E8D"/>
    <w:rsid w:val="00896EE2"/>
    <w:rsid w:val="00897AC8"/>
    <w:rsid w:val="00897F7F"/>
    <w:rsid w:val="008A2045"/>
    <w:rsid w:val="008A5CB8"/>
    <w:rsid w:val="008A7596"/>
    <w:rsid w:val="008A7D82"/>
    <w:rsid w:val="008B0750"/>
    <w:rsid w:val="008B201B"/>
    <w:rsid w:val="008B63A6"/>
    <w:rsid w:val="008C0F46"/>
    <w:rsid w:val="008C2618"/>
    <w:rsid w:val="008C3C3D"/>
    <w:rsid w:val="008C41C6"/>
    <w:rsid w:val="008C5C49"/>
    <w:rsid w:val="008D397B"/>
    <w:rsid w:val="008D7ABE"/>
    <w:rsid w:val="008E0987"/>
    <w:rsid w:val="008E4FCE"/>
    <w:rsid w:val="008E54CB"/>
    <w:rsid w:val="008E57D2"/>
    <w:rsid w:val="008E5C98"/>
    <w:rsid w:val="008E6F11"/>
    <w:rsid w:val="008F3489"/>
    <w:rsid w:val="008F3C95"/>
    <w:rsid w:val="008F5515"/>
    <w:rsid w:val="008F56D2"/>
    <w:rsid w:val="008F7581"/>
    <w:rsid w:val="0090062C"/>
    <w:rsid w:val="00900FE9"/>
    <w:rsid w:val="00901B1F"/>
    <w:rsid w:val="0090644F"/>
    <w:rsid w:val="00910598"/>
    <w:rsid w:val="009145DC"/>
    <w:rsid w:val="00916BDD"/>
    <w:rsid w:val="00922BDB"/>
    <w:rsid w:val="00923E84"/>
    <w:rsid w:val="009312CC"/>
    <w:rsid w:val="00933AED"/>
    <w:rsid w:val="00935091"/>
    <w:rsid w:val="00936093"/>
    <w:rsid w:val="009377E6"/>
    <w:rsid w:val="009430DD"/>
    <w:rsid w:val="00951267"/>
    <w:rsid w:val="009522DB"/>
    <w:rsid w:val="00953619"/>
    <w:rsid w:val="009569CB"/>
    <w:rsid w:val="00957431"/>
    <w:rsid w:val="00962805"/>
    <w:rsid w:val="00966BF4"/>
    <w:rsid w:val="0096751A"/>
    <w:rsid w:val="009675FE"/>
    <w:rsid w:val="00974ADC"/>
    <w:rsid w:val="00976E7D"/>
    <w:rsid w:val="00976F16"/>
    <w:rsid w:val="009802E8"/>
    <w:rsid w:val="00983452"/>
    <w:rsid w:val="0098352C"/>
    <w:rsid w:val="00984FCC"/>
    <w:rsid w:val="00993BC8"/>
    <w:rsid w:val="00995852"/>
    <w:rsid w:val="00997CD1"/>
    <w:rsid w:val="009A08F9"/>
    <w:rsid w:val="009A2CBF"/>
    <w:rsid w:val="009A402F"/>
    <w:rsid w:val="009A4B2E"/>
    <w:rsid w:val="009A72BC"/>
    <w:rsid w:val="009B18DE"/>
    <w:rsid w:val="009B47F3"/>
    <w:rsid w:val="009C0EE0"/>
    <w:rsid w:val="009C31E2"/>
    <w:rsid w:val="009C3FAE"/>
    <w:rsid w:val="009C53B4"/>
    <w:rsid w:val="009C67E9"/>
    <w:rsid w:val="009C68C8"/>
    <w:rsid w:val="009C7B7B"/>
    <w:rsid w:val="009D05EA"/>
    <w:rsid w:val="009D3875"/>
    <w:rsid w:val="009D5640"/>
    <w:rsid w:val="009D5955"/>
    <w:rsid w:val="009E051A"/>
    <w:rsid w:val="009E40FA"/>
    <w:rsid w:val="009E5C65"/>
    <w:rsid w:val="009F0706"/>
    <w:rsid w:val="009F2787"/>
    <w:rsid w:val="009F428F"/>
    <w:rsid w:val="00A01321"/>
    <w:rsid w:val="00A019A8"/>
    <w:rsid w:val="00A02498"/>
    <w:rsid w:val="00A06F91"/>
    <w:rsid w:val="00A10996"/>
    <w:rsid w:val="00A10FCE"/>
    <w:rsid w:val="00A153F2"/>
    <w:rsid w:val="00A21309"/>
    <w:rsid w:val="00A220E5"/>
    <w:rsid w:val="00A23C17"/>
    <w:rsid w:val="00A258ED"/>
    <w:rsid w:val="00A25904"/>
    <w:rsid w:val="00A279AD"/>
    <w:rsid w:val="00A30104"/>
    <w:rsid w:val="00A30588"/>
    <w:rsid w:val="00A311EA"/>
    <w:rsid w:val="00A33AD8"/>
    <w:rsid w:val="00A3621F"/>
    <w:rsid w:val="00A372AE"/>
    <w:rsid w:val="00A400C1"/>
    <w:rsid w:val="00A45523"/>
    <w:rsid w:val="00A456B0"/>
    <w:rsid w:val="00A51ED0"/>
    <w:rsid w:val="00A54B7C"/>
    <w:rsid w:val="00A57188"/>
    <w:rsid w:val="00A57BD1"/>
    <w:rsid w:val="00A60DD1"/>
    <w:rsid w:val="00A63AE1"/>
    <w:rsid w:val="00A66190"/>
    <w:rsid w:val="00A66B38"/>
    <w:rsid w:val="00A67CF2"/>
    <w:rsid w:val="00A709C0"/>
    <w:rsid w:val="00A7117D"/>
    <w:rsid w:val="00A76462"/>
    <w:rsid w:val="00A76782"/>
    <w:rsid w:val="00A77474"/>
    <w:rsid w:val="00A775B4"/>
    <w:rsid w:val="00A823E9"/>
    <w:rsid w:val="00A83550"/>
    <w:rsid w:val="00A8545E"/>
    <w:rsid w:val="00A85F32"/>
    <w:rsid w:val="00A87842"/>
    <w:rsid w:val="00A90E2E"/>
    <w:rsid w:val="00A958A1"/>
    <w:rsid w:val="00AA1851"/>
    <w:rsid w:val="00AA3B99"/>
    <w:rsid w:val="00AA6436"/>
    <w:rsid w:val="00AB13CE"/>
    <w:rsid w:val="00AB25E0"/>
    <w:rsid w:val="00AB283A"/>
    <w:rsid w:val="00AC0F7E"/>
    <w:rsid w:val="00AC3DCB"/>
    <w:rsid w:val="00AC47EC"/>
    <w:rsid w:val="00AC5FDA"/>
    <w:rsid w:val="00AD3A75"/>
    <w:rsid w:val="00AD76DB"/>
    <w:rsid w:val="00AE0CAD"/>
    <w:rsid w:val="00AE3FB0"/>
    <w:rsid w:val="00AE589A"/>
    <w:rsid w:val="00AE6479"/>
    <w:rsid w:val="00AE67CF"/>
    <w:rsid w:val="00AF0D6C"/>
    <w:rsid w:val="00AF5D3E"/>
    <w:rsid w:val="00B04EC7"/>
    <w:rsid w:val="00B052AA"/>
    <w:rsid w:val="00B114DF"/>
    <w:rsid w:val="00B124E1"/>
    <w:rsid w:val="00B14761"/>
    <w:rsid w:val="00B15AFE"/>
    <w:rsid w:val="00B21BFF"/>
    <w:rsid w:val="00B222AE"/>
    <w:rsid w:val="00B250E8"/>
    <w:rsid w:val="00B26BBC"/>
    <w:rsid w:val="00B33B70"/>
    <w:rsid w:val="00B375F3"/>
    <w:rsid w:val="00B4342A"/>
    <w:rsid w:val="00B442D5"/>
    <w:rsid w:val="00B45831"/>
    <w:rsid w:val="00B45FDB"/>
    <w:rsid w:val="00B525DA"/>
    <w:rsid w:val="00B526AF"/>
    <w:rsid w:val="00B53942"/>
    <w:rsid w:val="00B56051"/>
    <w:rsid w:val="00B57BCC"/>
    <w:rsid w:val="00B6001D"/>
    <w:rsid w:val="00B65D83"/>
    <w:rsid w:val="00B671DD"/>
    <w:rsid w:val="00B703B9"/>
    <w:rsid w:val="00B71F04"/>
    <w:rsid w:val="00B722AE"/>
    <w:rsid w:val="00B7786B"/>
    <w:rsid w:val="00B77B57"/>
    <w:rsid w:val="00B801AE"/>
    <w:rsid w:val="00B824BC"/>
    <w:rsid w:val="00B83271"/>
    <w:rsid w:val="00B8386F"/>
    <w:rsid w:val="00B90D66"/>
    <w:rsid w:val="00B917F0"/>
    <w:rsid w:val="00B93535"/>
    <w:rsid w:val="00B94277"/>
    <w:rsid w:val="00B95CA6"/>
    <w:rsid w:val="00B9644A"/>
    <w:rsid w:val="00BA065E"/>
    <w:rsid w:val="00BA3DDE"/>
    <w:rsid w:val="00BB16EA"/>
    <w:rsid w:val="00BB4AA0"/>
    <w:rsid w:val="00BB4AB5"/>
    <w:rsid w:val="00BB5D30"/>
    <w:rsid w:val="00BC0459"/>
    <w:rsid w:val="00BC1555"/>
    <w:rsid w:val="00BC15FB"/>
    <w:rsid w:val="00BC28D1"/>
    <w:rsid w:val="00BC2D47"/>
    <w:rsid w:val="00BC3C20"/>
    <w:rsid w:val="00BD0BC3"/>
    <w:rsid w:val="00BD4BC6"/>
    <w:rsid w:val="00BD58D6"/>
    <w:rsid w:val="00BD625C"/>
    <w:rsid w:val="00BD6C04"/>
    <w:rsid w:val="00BD7811"/>
    <w:rsid w:val="00BE50E8"/>
    <w:rsid w:val="00BF0AAA"/>
    <w:rsid w:val="00BF32E2"/>
    <w:rsid w:val="00BF7096"/>
    <w:rsid w:val="00C05F21"/>
    <w:rsid w:val="00C106CE"/>
    <w:rsid w:val="00C1107A"/>
    <w:rsid w:val="00C17532"/>
    <w:rsid w:val="00C21CA1"/>
    <w:rsid w:val="00C2351B"/>
    <w:rsid w:val="00C25090"/>
    <w:rsid w:val="00C27166"/>
    <w:rsid w:val="00C30F48"/>
    <w:rsid w:val="00C34F71"/>
    <w:rsid w:val="00C379FB"/>
    <w:rsid w:val="00C51B99"/>
    <w:rsid w:val="00C55EF4"/>
    <w:rsid w:val="00C56FAC"/>
    <w:rsid w:val="00C604F5"/>
    <w:rsid w:val="00C633B9"/>
    <w:rsid w:val="00C6518F"/>
    <w:rsid w:val="00C670BC"/>
    <w:rsid w:val="00C670FB"/>
    <w:rsid w:val="00C74048"/>
    <w:rsid w:val="00C76AEF"/>
    <w:rsid w:val="00C776B1"/>
    <w:rsid w:val="00C810FF"/>
    <w:rsid w:val="00C8474C"/>
    <w:rsid w:val="00C8693A"/>
    <w:rsid w:val="00C903C6"/>
    <w:rsid w:val="00C92303"/>
    <w:rsid w:val="00C926F1"/>
    <w:rsid w:val="00C95A0B"/>
    <w:rsid w:val="00C95FE7"/>
    <w:rsid w:val="00C975B3"/>
    <w:rsid w:val="00C9770F"/>
    <w:rsid w:val="00C97B1E"/>
    <w:rsid w:val="00CA1302"/>
    <w:rsid w:val="00CA569B"/>
    <w:rsid w:val="00CA7E56"/>
    <w:rsid w:val="00CB0D45"/>
    <w:rsid w:val="00CB2C3D"/>
    <w:rsid w:val="00CB33CD"/>
    <w:rsid w:val="00CB51A3"/>
    <w:rsid w:val="00CB67EA"/>
    <w:rsid w:val="00CC0B52"/>
    <w:rsid w:val="00CC1A42"/>
    <w:rsid w:val="00CC29E9"/>
    <w:rsid w:val="00CC56A6"/>
    <w:rsid w:val="00CC5EC1"/>
    <w:rsid w:val="00CC6746"/>
    <w:rsid w:val="00CC78B7"/>
    <w:rsid w:val="00CD0E4C"/>
    <w:rsid w:val="00CD0F47"/>
    <w:rsid w:val="00CD1A0E"/>
    <w:rsid w:val="00CD1D89"/>
    <w:rsid w:val="00CD3272"/>
    <w:rsid w:val="00CD417A"/>
    <w:rsid w:val="00CD4B96"/>
    <w:rsid w:val="00CD6BFE"/>
    <w:rsid w:val="00CE1A25"/>
    <w:rsid w:val="00CE2693"/>
    <w:rsid w:val="00CE307F"/>
    <w:rsid w:val="00CE3559"/>
    <w:rsid w:val="00CE52E5"/>
    <w:rsid w:val="00CE75C5"/>
    <w:rsid w:val="00CE7923"/>
    <w:rsid w:val="00CF2252"/>
    <w:rsid w:val="00CF24F5"/>
    <w:rsid w:val="00CF2502"/>
    <w:rsid w:val="00CF25B7"/>
    <w:rsid w:val="00CF3D75"/>
    <w:rsid w:val="00CF44D3"/>
    <w:rsid w:val="00D01D2E"/>
    <w:rsid w:val="00D0347A"/>
    <w:rsid w:val="00D03FD1"/>
    <w:rsid w:val="00D0414F"/>
    <w:rsid w:val="00D041B5"/>
    <w:rsid w:val="00D05195"/>
    <w:rsid w:val="00D060C0"/>
    <w:rsid w:val="00D0615E"/>
    <w:rsid w:val="00D11980"/>
    <w:rsid w:val="00D122A4"/>
    <w:rsid w:val="00D12524"/>
    <w:rsid w:val="00D15026"/>
    <w:rsid w:val="00D23370"/>
    <w:rsid w:val="00D25F86"/>
    <w:rsid w:val="00D2632C"/>
    <w:rsid w:val="00D35B9A"/>
    <w:rsid w:val="00D37919"/>
    <w:rsid w:val="00D37A78"/>
    <w:rsid w:val="00D40675"/>
    <w:rsid w:val="00D42400"/>
    <w:rsid w:val="00D44662"/>
    <w:rsid w:val="00D50C55"/>
    <w:rsid w:val="00D52581"/>
    <w:rsid w:val="00D55EED"/>
    <w:rsid w:val="00D62120"/>
    <w:rsid w:val="00D65EF6"/>
    <w:rsid w:val="00D661C7"/>
    <w:rsid w:val="00D67353"/>
    <w:rsid w:val="00D67E6D"/>
    <w:rsid w:val="00D72899"/>
    <w:rsid w:val="00D74307"/>
    <w:rsid w:val="00D75E27"/>
    <w:rsid w:val="00D76822"/>
    <w:rsid w:val="00D810E6"/>
    <w:rsid w:val="00D815D6"/>
    <w:rsid w:val="00D8312E"/>
    <w:rsid w:val="00D8346F"/>
    <w:rsid w:val="00D83B53"/>
    <w:rsid w:val="00D8484D"/>
    <w:rsid w:val="00D854F0"/>
    <w:rsid w:val="00D87094"/>
    <w:rsid w:val="00D87D29"/>
    <w:rsid w:val="00D9282C"/>
    <w:rsid w:val="00D950F3"/>
    <w:rsid w:val="00D9700B"/>
    <w:rsid w:val="00D97242"/>
    <w:rsid w:val="00DA0E65"/>
    <w:rsid w:val="00DA15FD"/>
    <w:rsid w:val="00DA25F5"/>
    <w:rsid w:val="00DA34CC"/>
    <w:rsid w:val="00DA53AD"/>
    <w:rsid w:val="00DA7A54"/>
    <w:rsid w:val="00DB10A0"/>
    <w:rsid w:val="00DB73BE"/>
    <w:rsid w:val="00DC0EAD"/>
    <w:rsid w:val="00DC37E5"/>
    <w:rsid w:val="00DC6005"/>
    <w:rsid w:val="00DC6DA2"/>
    <w:rsid w:val="00DC7DEE"/>
    <w:rsid w:val="00DD001C"/>
    <w:rsid w:val="00DD2057"/>
    <w:rsid w:val="00DD7846"/>
    <w:rsid w:val="00DE2218"/>
    <w:rsid w:val="00DE34D1"/>
    <w:rsid w:val="00DF4EFD"/>
    <w:rsid w:val="00DF728A"/>
    <w:rsid w:val="00E00044"/>
    <w:rsid w:val="00E041F6"/>
    <w:rsid w:val="00E07422"/>
    <w:rsid w:val="00E21BCC"/>
    <w:rsid w:val="00E23D75"/>
    <w:rsid w:val="00E3089E"/>
    <w:rsid w:val="00E32277"/>
    <w:rsid w:val="00E338D1"/>
    <w:rsid w:val="00E36755"/>
    <w:rsid w:val="00E40DC8"/>
    <w:rsid w:val="00E429C6"/>
    <w:rsid w:val="00E44956"/>
    <w:rsid w:val="00E461B8"/>
    <w:rsid w:val="00E47681"/>
    <w:rsid w:val="00E5170E"/>
    <w:rsid w:val="00E51AD8"/>
    <w:rsid w:val="00E537EF"/>
    <w:rsid w:val="00E53F5F"/>
    <w:rsid w:val="00E571AB"/>
    <w:rsid w:val="00E576BA"/>
    <w:rsid w:val="00E61E85"/>
    <w:rsid w:val="00E6480F"/>
    <w:rsid w:val="00E64FC4"/>
    <w:rsid w:val="00E6671B"/>
    <w:rsid w:val="00E6694C"/>
    <w:rsid w:val="00E70E0B"/>
    <w:rsid w:val="00E74AE1"/>
    <w:rsid w:val="00E7627A"/>
    <w:rsid w:val="00E777EA"/>
    <w:rsid w:val="00E77B0F"/>
    <w:rsid w:val="00E82409"/>
    <w:rsid w:val="00E824A5"/>
    <w:rsid w:val="00E8295A"/>
    <w:rsid w:val="00E84013"/>
    <w:rsid w:val="00E8586F"/>
    <w:rsid w:val="00E90F45"/>
    <w:rsid w:val="00E95768"/>
    <w:rsid w:val="00EA2314"/>
    <w:rsid w:val="00EA3F09"/>
    <w:rsid w:val="00EA455D"/>
    <w:rsid w:val="00EA4FBB"/>
    <w:rsid w:val="00EB21F4"/>
    <w:rsid w:val="00EB3FD5"/>
    <w:rsid w:val="00EB5F1E"/>
    <w:rsid w:val="00EB7359"/>
    <w:rsid w:val="00EB7E82"/>
    <w:rsid w:val="00EC250C"/>
    <w:rsid w:val="00EC4F4E"/>
    <w:rsid w:val="00EC6EF6"/>
    <w:rsid w:val="00ED14D1"/>
    <w:rsid w:val="00ED1DA1"/>
    <w:rsid w:val="00ED58D0"/>
    <w:rsid w:val="00ED5FB4"/>
    <w:rsid w:val="00EE0894"/>
    <w:rsid w:val="00EE5F1F"/>
    <w:rsid w:val="00EE61E7"/>
    <w:rsid w:val="00EF1194"/>
    <w:rsid w:val="00EF350F"/>
    <w:rsid w:val="00EF46A5"/>
    <w:rsid w:val="00F03901"/>
    <w:rsid w:val="00F04888"/>
    <w:rsid w:val="00F04CD9"/>
    <w:rsid w:val="00F064C1"/>
    <w:rsid w:val="00F068E7"/>
    <w:rsid w:val="00F073DB"/>
    <w:rsid w:val="00F101F5"/>
    <w:rsid w:val="00F1025A"/>
    <w:rsid w:val="00F10992"/>
    <w:rsid w:val="00F114CA"/>
    <w:rsid w:val="00F12686"/>
    <w:rsid w:val="00F12A0F"/>
    <w:rsid w:val="00F13117"/>
    <w:rsid w:val="00F13327"/>
    <w:rsid w:val="00F15ECB"/>
    <w:rsid w:val="00F1756A"/>
    <w:rsid w:val="00F179EB"/>
    <w:rsid w:val="00F20487"/>
    <w:rsid w:val="00F205AD"/>
    <w:rsid w:val="00F2239E"/>
    <w:rsid w:val="00F2610D"/>
    <w:rsid w:val="00F30F0E"/>
    <w:rsid w:val="00F3283C"/>
    <w:rsid w:val="00F34100"/>
    <w:rsid w:val="00F34F3D"/>
    <w:rsid w:val="00F46C1A"/>
    <w:rsid w:val="00F520A9"/>
    <w:rsid w:val="00F53F07"/>
    <w:rsid w:val="00F55DAC"/>
    <w:rsid w:val="00F57A55"/>
    <w:rsid w:val="00F60D97"/>
    <w:rsid w:val="00F63265"/>
    <w:rsid w:val="00F671C4"/>
    <w:rsid w:val="00F679CB"/>
    <w:rsid w:val="00F70DFE"/>
    <w:rsid w:val="00F7107D"/>
    <w:rsid w:val="00F7218D"/>
    <w:rsid w:val="00F74470"/>
    <w:rsid w:val="00F75E3C"/>
    <w:rsid w:val="00F77252"/>
    <w:rsid w:val="00F83CD2"/>
    <w:rsid w:val="00F86222"/>
    <w:rsid w:val="00F866B5"/>
    <w:rsid w:val="00F919DE"/>
    <w:rsid w:val="00F95426"/>
    <w:rsid w:val="00FB342D"/>
    <w:rsid w:val="00FB387A"/>
    <w:rsid w:val="00FB6C65"/>
    <w:rsid w:val="00FB72D9"/>
    <w:rsid w:val="00FC0411"/>
    <w:rsid w:val="00FC24F7"/>
    <w:rsid w:val="00FC4295"/>
    <w:rsid w:val="00FC692E"/>
    <w:rsid w:val="00FC7006"/>
    <w:rsid w:val="00FD26FF"/>
    <w:rsid w:val="00FD3067"/>
    <w:rsid w:val="00FD5478"/>
    <w:rsid w:val="00FD75BD"/>
    <w:rsid w:val="00FE41C2"/>
    <w:rsid w:val="00FE576E"/>
    <w:rsid w:val="00FE6135"/>
    <w:rsid w:val="00FF1B51"/>
    <w:rsid w:val="00FF2686"/>
    <w:rsid w:val="00FF44C9"/>
    <w:rsid w:val="00FF5313"/>
    <w:rsid w:val="00FF75AD"/>
    <w:rsid w:val="00FF77D0"/>
    <w:rsid w:val="04EB48D3"/>
    <w:rsid w:val="06295005"/>
    <w:rsid w:val="08AA7420"/>
    <w:rsid w:val="08C813EC"/>
    <w:rsid w:val="095E1B17"/>
    <w:rsid w:val="097C7C3C"/>
    <w:rsid w:val="0CC02040"/>
    <w:rsid w:val="0E8A515C"/>
    <w:rsid w:val="12F15453"/>
    <w:rsid w:val="16702E8A"/>
    <w:rsid w:val="170344A1"/>
    <w:rsid w:val="19921369"/>
    <w:rsid w:val="1AA94BBC"/>
    <w:rsid w:val="21555AB2"/>
    <w:rsid w:val="25FC1FD4"/>
    <w:rsid w:val="27B4797D"/>
    <w:rsid w:val="285C6DCA"/>
    <w:rsid w:val="28A6098D"/>
    <w:rsid w:val="2BEE68D3"/>
    <w:rsid w:val="2D16030D"/>
    <w:rsid w:val="2F8D6403"/>
    <w:rsid w:val="31576CC8"/>
    <w:rsid w:val="322C1F03"/>
    <w:rsid w:val="35D94150"/>
    <w:rsid w:val="40CB6D8B"/>
    <w:rsid w:val="45803ABB"/>
    <w:rsid w:val="4A377AE5"/>
    <w:rsid w:val="4A510301"/>
    <w:rsid w:val="4CD66060"/>
    <w:rsid w:val="4EE31FE7"/>
    <w:rsid w:val="513E2C61"/>
    <w:rsid w:val="54322F51"/>
    <w:rsid w:val="556836FF"/>
    <w:rsid w:val="56860FB5"/>
    <w:rsid w:val="57961A49"/>
    <w:rsid w:val="57DD3B37"/>
    <w:rsid w:val="5FF334D8"/>
    <w:rsid w:val="602C15CA"/>
    <w:rsid w:val="626A5FAC"/>
    <w:rsid w:val="659B022A"/>
    <w:rsid w:val="6DBE53FE"/>
    <w:rsid w:val="6EF235B1"/>
    <w:rsid w:val="6F3658EA"/>
    <w:rsid w:val="7E3E02E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heme="minorBidi"/>
      <w:kern w:val="2"/>
      <w:sz w:val="24"/>
      <w:szCs w:val="22"/>
      <w:lang w:val="en-US" w:eastAsia="zh-CN" w:bidi="ar-SA"/>
    </w:rPr>
  </w:style>
  <w:style w:type="paragraph" w:styleId="7">
    <w:name w:val="heading 1"/>
    <w:basedOn w:val="1"/>
    <w:next w:val="1"/>
    <w:link w:val="35"/>
    <w:autoRedefine/>
    <w:qFormat/>
    <w:uiPriority w:val="99"/>
    <w:pPr>
      <w:keepNext/>
      <w:keepLines/>
      <w:numPr>
        <w:ilvl w:val="0"/>
        <w:numId w:val="1"/>
      </w:numPr>
      <w:spacing w:before="156" w:beforeLines="50" w:after="156" w:afterLines="50" w:line="480" w:lineRule="auto"/>
      <w:jc w:val="center"/>
      <w:outlineLvl w:val="0"/>
    </w:pPr>
    <w:rPr>
      <w:rFonts w:cstheme="majorBidi"/>
      <w:b/>
      <w:color w:val="0D0D0D" w:themeColor="text1" w:themeTint="F2"/>
      <w:sz w:val="36"/>
      <w:szCs w:val="48"/>
      <w14:textFill>
        <w14:solidFill>
          <w14:schemeClr w14:val="tx1">
            <w14:lumMod w14:val="95000"/>
            <w14:lumOff w14:val="5000"/>
          </w14:schemeClr>
        </w14:solidFill>
      </w14:textFill>
    </w:rPr>
  </w:style>
  <w:style w:type="paragraph" w:styleId="8">
    <w:name w:val="heading 2"/>
    <w:basedOn w:val="1"/>
    <w:next w:val="1"/>
    <w:link w:val="36"/>
    <w:autoRedefine/>
    <w:unhideWhenUsed/>
    <w:qFormat/>
    <w:uiPriority w:val="0"/>
    <w:pPr>
      <w:keepNext/>
      <w:keepLines/>
      <w:numPr>
        <w:ilvl w:val="1"/>
        <w:numId w:val="1"/>
      </w:numPr>
      <w:spacing w:before="156" w:beforeLines="50" w:after="156" w:afterLines="50"/>
      <w:outlineLvl w:val="1"/>
    </w:pPr>
    <w:rPr>
      <w:rFonts w:cstheme="majorBidi"/>
      <w:b/>
      <w:color w:val="0D0D0D" w:themeColor="text1" w:themeTint="F2"/>
      <w:sz w:val="30"/>
      <w:szCs w:val="40"/>
      <w14:textFill>
        <w14:solidFill>
          <w14:schemeClr w14:val="tx1">
            <w14:lumMod w14:val="95000"/>
            <w14:lumOff w14:val="5000"/>
          </w14:schemeClr>
        </w14:solidFill>
      </w14:textFill>
    </w:rPr>
  </w:style>
  <w:style w:type="paragraph" w:styleId="9">
    <w:name w:val="heading 3"/>
    <w:basedOn w:val="1"/>
    <w:next w:val="1"/>
    <w:link w:val="37"/>
    <w:autoRedefine/>
    <w:unhideWhenUsed/>
    <w:qFormat/>
    <w:uiPriority w:val="0"/>
    <w:pPr>
      <w:keepNext/>
      <w:keepLines/>
      <w:numPr>
        <w:ilvl w:val="2"/>
        <w:numId w:val="1"/>
      </w:numPr>
      <w:spacing w:before="156" w:beforeLines="50" w:after="156" w:afterLines="50"/>
      <w:outlineLvl w:val="2"/>
    </w:pPr>
    <w:rPr>
      <w:rFonts w:cstheme="majorBidi"/>
      <w:b/>
      <w:color w:val="0D0D0D" w:themeColor="text1" w:themeTint="F2"/>
      <w:sz w:val="28"/>
      <w:szCs w:val="32"/>
      <w14:textFill>
        <w14:solidFill>
          <w14:schemeClr w14:val="tx1">
            <w14:lumMod w14:val="95000"/>
            <w14:lumOff w14:val="5000"/>
          </w14:schemeClr>
        </w14:solidFill>
      </w14:textFill>
    </w:rPr>
  </w:style>
  <w:style w:type="paragraph" w:styleId="10">
    <w:name w:val="heading 4"/>
    <w:basedOn w:val="1"/>
    <w:next w:val="1"/>
    <w:link w:val="38"/>
    <w:autoRedefine/>
    <w:unhideWhenUsed/>
    <w:qFormat/>
    <w:uiPriority w:val="0"/>
    <w:pPr>
      <w:keepNext/>
      <w:keepLines/>
      <w:numPr>
        <w:ilvl w:val="3"/>
        <w:numId w:val="1"/>
      </w:numPr>
      <w:spacing w:before="156" w:beforeLines="50" w:after="156" w:afterLines="50"/>
      <w:outlineLvl w:val="3"/>
    </w:pPr>
    <w:rPr>
      <w:rFonts w:cstheme="majorBidi"/>
      <w:b/>
      <w:color w:val="0D0D0D" w:themeColor="text1" w:themeTint="F2"/>
      <w:szCs w:val="28"/>
      <w14:textFill>
        <w14:solidFill>
          <w14:schemeClr w14:val="tx1">
            <w14:lumMod w14:val="95000"/>
            <w14:lumOff w14:val="5000"/>
          </w14:schemeClr>
        </w14:solidFill>
      </w14:textFill>
    </w:rPr>
  </w:style>
  <w:style w:type="paragraph" w:styleId="11">
    <w:name w:val="heading 5"/>
    <w:basedOn w:val="1"/>
    <w:next w:val="1"/>
    <w:link w:val="39"/>
    <w:autoRedefine/>
    <w:unhideWhenUsed/>
    <w:qFormat/>
    <w:uiPriority w:val="0"/>
    <w:pPr>
      <w:keepNext/>
      <w:keepLines/>
      <w:widowControl/>
      <w:numPr>
        <w:ilvl w:val="4"/>
        <w:numId w:val="1"/>
      </w:numPr>
      <w:spacing w:line="240" w:lineRule="auto"/>
      <w:jc w:val="center"/>
      <w:outlineLvl w:val="4"/>
    </w:pPr>
    <w:rPr>
      <w:rFonts w:cstheme="majorBidi"/>
      <w:b/>
      <w:color w:val="0D0D0D" w:themeColor="text1" w:themeTint="F2"/>
      <w:sz w:val="21"/>
      <w:szCs w:val="21"/>
      <w14:textFill>
        <w14:solidFill>
          <w14:schemeClr w14:val="tx1">
            <w14:lumMod w14:val="95000"/>
            <w14:lumOff w14:val="5000"/>
          </w14:schemeClr>
        </w14:solidFill>
      </w14:textFill>
    </w:rPr>
  </w:style>
  <w:style w:type="paragraph" w:styleId="12">
    <w:name w:val="heading 6"/>
    <w:basedOn w:val="1"/>
    <w:next w:val="1"/>
    <w:link w:val="40"/>
    <w:autoRedefine/>
    <w:unhideWhenUsed/>
    <w:qFormat/>
    <w:uiPriority w:val="0"/>
    <w:pPr>
      <w:keepLines/>
      <w:widowControl/>
      <w:numPr>
        <w:ilvl w:val="5"/>
        <w:numId w:val="1"/>
      </w:numPr>
      <w:spacing w:line="240" w:lineRule="auto"/>
      <w:jc w:val="center"/>
      <w:outlineLvl w:val="5"/>
    </w:pPr>
    <w:rPr>
      <w:rFonts w:cstheme="majorBidi"/>
      <w:b/>
      <w:bCs/>
      <w:color w:val="0D0D0D" w:themeColor="text1" w:themeTint="F2"/>
      <w:sz w:val="21"/>
      <w14:textFill>
        <w14:solidFill>
          <w14:schemeClr w14:val="tx1">
            <w14:lumMod w14:val="95000"/>
            <w14:lumOff w14:val="5000"/>
          </w14:schemeClr>
        </w14:solidFill>
      </w14:textFill>
    </w:rPr>
  </w:style>
  <w:style w:type="paragraph" w:styleId="13">
    <w:name w:val="heading 7"/>
    <w:basedOn w:val="1"/>
    <w:next w:val="1"/>
    <w:link w:val="41"/>
    <w:unhideWhenUsed/>
    <w:qFormat/>
    <w:uiPriority w:val="0"/>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14">
    <w:name w:val="heading 8"/>
    <w:basedOn w:val="1"/>
    <w:next w:val="1"/>
    <w:link w:val="42"/>
    <w:unhideWhenUsed/>
    <w:qFormat/>
    <w:uiPriority w:val="0"/>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5">
    <w:name w:val="heading 9"/>
    <w:basedOn w:val="1"/>
    <w:next w:val="1"/>
    <w:link w:val="43"/>
    <w:unhideWhenUsed/>
    <w:qFormat/>
    <w:uiPriority w:val="0"/>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link w:val="66"/>
    <w:unhideWhenUsed/>
    <w:qFormat/>
    <w:uiPriority w:val="99"/>
    <w:pPr>
      <w:ind w:firstLine="420" w:firstLineChars="100"/>
    </w:pPr>
  </w:style>
  <w:style w:type="paragraph" w:styleId="3">
    <w:name w:val="Body Text"/>
    <w:basedOn w:val="1"/>
    <w:next w:val="1"/>
    <w:link w:val="65"/>
    <w:semiHidden/>
    <w:unhideWhenUsed/>
    <w:qFormat/>
    <w:uiPriority w:val="99"/>
    <w:pPr>
      <w:spacing w:after="120"/>
    </w:pPr>
  </w:style>
  <w:style w:type="paragraph" w:styleId="4">
    <w:name w:val="Body Text First Indent 2"/>
    <w:basedOn w:val="5"/>
    <w:next w:val="2"/>
    <w:link w:val="73"/>
    <w:qFormat/>
    <w:uiPriority w:val="99"/>
    <w:pPr>
      <w:ind w:firstLine="420" w:firstLineChars="200"/>
    </w:pPr>
  </w:style>
  <w:style w:type="paragraph" w:styleId="5">
    <w:name w:val="Body Text Indent"/>
    <w:basedOn w:val="1"/>
    <w:next w:val="6"/>
    <w:qFormat/>
    <w:uiPriority w:val="99"/>
    <w:pPr>
      <w:spacing w:after="120"/>
      <w:ind w:left="420" w:leftChars="200"/>
    </w:pPr>
    <w:rPr>
      <w:kern w:val="0"/>
      <w:szCs w:val="20"/>
    </w:rPr>
  </w:style>
  <w:style w:type="paragraph" w:styleId="6">
    <w:name w:val="Body Text Indent 2"/>
    <w:basedOn w:val="1"/>
    <w:next w:val="1"/>
    <w:link w:val="59"/>
    <w:qFormat/>
    <w:uiPriority w:val="0"/>
    <w:pPr>
      <w:ind w:firstLine="560" w:firstLineChars="200"/>
    </w:pPr>
    <w:rPr>
      <w:rFonts w:cs="Times New Roman"/>
      <w:sz w:val="28"/>
      <w:szCs w:val="20"/>
    </w:rPr>
  </w:style>
  <w:style w:type="paragraph" w:styleId="16">
    <w:name w:val="toc 7"/>
    <w:basedOn w:val="1"/>
    <w:next w:val="1"/>
    <w:autoRedefine/>
    <w:unhideWhenUsed/>
    <w:qFormat/>
    <w:uiPriority w:val="39"/>
    <w:pPr>
      <w:spacing w:after="160" w:line="278" w:lineRule="auto"/>
      <w:ind w:left="2520" w:leftChars="1200"/>
      <w:jc w:val="left"/>
    </w:pPr>
    <w:rPr>
      <w:rFonts w:asciiTheme="minorHAnsi" w:hAnsiTheme="minorHAnsi" w:eastAsiaTheme="minorEastAsia"/>
      <w:sz w:val="22"/>
      <w:szCs w:val="24"/>
      <w14:ligatures w14:val="standardContextual"/>
    </w:rPr>
  </w:style>
  <w:style w:type="paragraph" w:styleId="17">
    <w:name w:val="Normal Indent"/>
    <w:basedOn w:val="1"/>
    <w:next w:val="1"/>
    <w:link w:val="61"/>
    <w:qFormat/>
    <w:uiPriority w:val="99"/>
    <w:pPr>
      <w:ind w:firstLine="420" w:firstLineChars="200"/>
    </w:pPr>
    <w:rPr>
      <w:rFonts w:asciiTheme="minorHAnsi" w:hAnsiTheme="minorHAnsi"/>
      <w14:ligatures w14:val="standardContextual"/>
    </w:rPr>
  </w:style>
  <w:style w:type="paragraph" w:styleId="18">
    <w:name w:val="annotation text"/>
    <w:basedOn w:val="1"/>
    <w:link w:val="58"/>
    <w:unhideWhenUsed/>
    <w:qFormat/>
    <w:uiPriority w:val="99"/>
    <w:pPr>
      <w:ind w:firstLine="640" w:firstLineChars="200"/>
      <w:jc w:val="left"/>
    </w:pPr>
    <w:rPr>
      <w:rFonts w:cs="宋体"/>
      <w:kern w:val="0"/>
      <w:szCs w:val="21"/>
    </w:rPr>
  </w:style>
  <w:style w:type="paragraph" w:styleId="19">
    <w:name w:val="toc 5"/>
    <w:basedOn w:val="1"/>
    <w:next w:val="1"/>
    <w:autoRedefine/>
    <w:unhideWhenUsed/>
    <w:qFormat/>
    <w:uiPriority w:val="39"/>
    <w:pPr>
      <w:spacing w:after="160" w:line="278" w:lineRule="auto"/>
      <w:ind w:left="1680" w:leftChars="800"/>
      <w:jc w:val="left"/>
    </w:pPr>
    <w:rPr>
      <w:rFonts w:asciiTheme="minorHAnsi" w:hAnsiTheme="minorHAnsi" w:eastAsiaTheme="minorEastAsia"/>
      <w:sz w:val="22"/>
      <w:szCs w:val="24"/>
      <w14:ligatures w14:val="standardContextual"/>
    </w:rPr>
  </w:style>
  <w:style w:type="paragraph" w:styleId="20">
    <w:name w:val="toc 3"/>
    <w:basedOn w:val="1"/>
    <w:next w:val="1"/>
    <w:autoRedefine/>
    <w:unhideWhenUsed/>
    <w:qFormat/>
    <w:uiPriority w:val="39"/>
    <w:pPr>
      <w:ind w:left="840" w:leftChars="400"/>
    </w:pPr>
  </w:style>
  <w:style w:type="paragraph" w:styleId="21">
    <w:name w:val="toc 8"/>
    <w:basedOn w:val="1"/>
    <w:next w:val="1"/>
    <w:autoRedefine/>
    <w:unhideWhenUsed/>
    <w:qFormat/>
    <w:uiPriority w:val="39"/>
    <w:pPr>
      <w:spacing w:after="160" w:line="278" w:lineRule="auto"/>
      <w:ind w:left="2940" w:leftChars="1400"/>
      <w:jc w:val="left"/>
    </w:pPr>
    <w:rPr>
      <w:rFonts w:asciiTheme="minorHAnsi" w:hAnsiTheme="minorHAnsi" w:eastAsiaTheme="minorEastAsia"/>
      <w:sz w:val="22"/>
      <w:szCs w:val="24"/>
      <w14:ligatures w14:val="standardContextual"/>
    </w:rPr>
  </w:style>
  <w:style w:type="paragraph" w:styleId="22">
    <w:name w:val="footer"/>
    <w:basedOn w:val="1"/>
    <w:link w:val="52"/>
    <w:unhideWhenUsed/>
    <w:qFormat/>
    <w:uiPriority w:val="99"/>
    <w:pPr>
      <w:tabs>
        <w:tab w:val="center" w:pos="4153"/>
        <w:tab w:val="right" w:pos="8306"/>
      </w:tabs>
      <w:snapToGrid w:val="0"/>
      <w:spacing w:line="240" w:lineRule="auto"/>
      <w:jc w:val="left"/>
    </w:pPr>
    <w:rPr>
      <w:sz w:val="18"/>
      <w:szCs w:val="18"/>
    </w:rPr>
  </w:style>
  <w:style w:type="paragraph" w:styleId="23">
    <w:name w:val="header"/>
    <w:basedOn w:val="1"/>
    <w:link w:val="51"/>
    <w:unhideWhenUsed/>
    <w:qFormat/>
    <w:uiPriority w:val="99"/>
    <w:pPr>
      <w:tabs>
        <w:tab w:val="center" w:pos="4153"/>
        <w:tab w:val="right" w:pos="8306"/>
      </w:tabs>
      <w:snapToGrid w:val="0"/>
      <w:spacing w:line="240" w:lineRule="auto"/>
      <w:jc w:val="center"/>
    </w:pPr>
    <w:rPr>
      <w:sz w:val="18"/>
      <w:szCs w:val="18"/>
    </w:rPr>
  </w:style>
  <w:style w:type="paragraph" w:styleId="24">
    <w:name w:val="toc 1"/>
    <w:basedOn w:val="1"/>
    <w:next w:val="1"/>
    <w:autoRedefine/>
    <w:unhideWhenUsed/>
    <w:qFormat/>
    <w:uiPriority w:val="39"/>
  </w:style>
  <w:style w:type="paragraph" w:styleId="25">
    <w:name w:val="toc 4"/>
    <w:basedOn w:val="1"/>
    <w:next w:val="1"/>
    <w:autoRedefine/>
    <w:unhideWhenUsed/>
    <w:qFormat/>
    <w:uiPriority w:val="39"/>
    <w:pPr>
      <w:spacing w:after="160" w:line="278" w:lineRule="auto"/>
      <w:ind w:left="1260" w:leftChars="600"/>
      <w:jc w:val="left"/>
    </w:pPr>
    <w:rPr>
      <w:rFonts w:asciiTheme="minorHAnsi" w:hAnsiTheme="minorHAnsi" w:eastAsiaTheme="minorEastAsia"/>
      <w:sz w:val="22"/>
      <w:szCs w:val="24"/>
      <w14:ligatures w14:val="standardContextual"/>
    </w:rPr>
  </w:style>
  <w:style w:type="paragraph" w:styleId="26">
    <w:name w:val="toc 6"/>
    <w:basedOn w:val="1"/>
    <w:next w:val="1"/>
    <w:autoRedefine/>
    <w:unhideWhenUsed/>
    <w:qFormat/>
    <w:uiPriority w:val="39"/>
    <w:pPr>
      <w:spacing w:after="160" w:line="278" w:lineRule="auto"/>
      <w:ind w:left="2100" w:leftChars="1000"/>
      <w:jc w:val="left"/>
    </w:pPr>
    <w:rPr>
      <w:rFonts w:asciiTheme="minorHAnsi" w:hAnsiTheme="minorHAnsi" w:eastAsiaTheme="minorEastAsia"/>
      <w:sz w:val="22"/>
      <w:szCs w:val="24"/>
      <w14:ligatures w14:val="standardContextual"/>
    </w:rPr>
  </w:style>
  <w:style w:type="paragraph" w:styleId="27">
    <w:name w:val="toc 2"/>
    <w:basedOn w:val="1"/>
    <w:next w:val="1"/>
    <w:autoRedefine/>
    <w:unhideWhenUsed/>
    <w:qFormat/>
    <w:uiPriority w:val="39"/>
    <w:pPr>
      <w:ind w:left="420" w:leftChars="200"/>
    </w:pPr>
  </w:style>
  <w:style w:type="paragraph" w:styleId="28">
    <w:name w:val="toc 9"/>
    <w:basedOn w:val="1"/>
    <w:next w:val="1"/>
    <w:autoRedefine/>
    <w:unhideWhenUsed/>
    <w:qFormat/>
    <w:uiPriority w:val="39"/>
    <w:pPr>
      <w:spacing w:after="160" w:line="278" w:lineRule="auto"/>
      <w:ind w:left="3360" w:leftChars="1600"/>
      <w:jc w:val="left"/>
    </w:pPr>
    <w:rPr>
      <w:rFonts w:asciiTheme="minorHAnsi" w:hAnsiTheme="minorHAnsi" w:eastAsiaTheme="minorEastAsia"/>
      <w:sz w:val="22"/>
      <w:szCs w:val="24"/>
      <w14:ligatures w14:val="standardContextual"/>
    </w:rPr>
  </w:style>
  <w:style w:type="paragraph" w:styleId="29">
    <w:name w:val="annotation subject"/>
    <w:basedOn w:val="18"/>
    <w:next w:val="18"/>
    <w:link w:val="72"/>
    <w:semiHidden/>
    <w:unhideWhenUsed/>
    <w:qFormat/>
    <w:uiPriority w:val="99"/>
    <w:pPr>
      <w:ind w:firstLine="0" w:firstLineChars="0"/>
    </w:pPr>
    <w:rPr>
      <w:rFonts w:cstheme="minorBidi"/>
      <w:b/>
      <w:bCs/>
      <w:kern w:val="2"/>
      <w:szCs w:val="22"/>
    </w:r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Hyperlink"/>
    <w:basedOn w:val="32"/>
    <w:unhideWhenUsed/>
    <w:qFormat/>
    <w:uiPriority w:val="99"/>
    <w:rPr>
      <w:color w:val="467886" w:themeColor="hyperlink"/>
      <w:u w:val="single"/>
      <w14:textFill>
        <w14:solidFill>
          <w14:schemeClr w14:val="hlink"/>
        </w14:solidFill>
      </w14:textFill>
    </w:rPr>
  </w:style>
  <w:style w:type="character" w:styleId="34">
    <w:name w:val="annotation reference"/>
    <w:basedOn w:val="32"/>
    <w:unhideWhenUsed/>
    <w:qFormat/>
    <w:uiPriority w:val="99"/>
    <w:rPr>
      <w:sz w:val="21"/>
      <w:szCs w:val="21"/>
    </w:rPr>
  </w:style>
  <w:style w:type="character" w:customStyle="1" w:styleId="35">
    <w:name w:val="标题 1 字符"/>
    <w:basedOn w:val="32"/>
    <w:link w:val="7"/>
    <w:qFormat/>
    <w:uiPriority w:val="99"/>
    <w:rPr>
      <w:rFonts w:cstheme="majorBidi"/>
      <w:b/>
      <w:color w:val="0D0D0D" w:themeColor="text1" w:themeTint="F2"/>
      <w:kern w:val="2"/>
      <w:sz w:val="36"/>
      <w:szCs w:val="48"/>
      <w14:textFill>
        <w14:solidFill>
          <w14:schemeClr w14:val="tx1">
            <w14:lumMod w14:val="95000"/>
            <w14:lumOff w14:val="5000"/>
          </w14:schemeClr>
        </w14:solidFill>
      </w14:textFill>
    </w:rPr>
  </w:style>
  <w:style w:type="character" w:customStyle="1" w:styleId="36">
    <w:name w:val="标题 2 字符"/>
    <w:basedOn w:val="32"/>
    <w:link w:val="8"/>
    <w:qFormat/>
    <w:uiPriority w:val="99"/>
    <w:rPr>
      <w:rFonts w:cstheme="majorBidi"/>
      <w:b/>
      <w:color w:val="0D0D0D" w:themeColor="text1" w:themeTint="F2"/>
      <w:kern w:val="2"/>
      <w:sz w:val="30"/>
      <w:szCs w:val="40"/>
      <w14:textFill>
        <w14:solidFill>
          <w14:schemeClr w14:val="tx1">
            <w14:lumMod w14:val="95000"/>
            <w14:lumOff w14:val="5000"/>
          </w14:schemeClr>
        </w14:solidFill>
      </w14:textFill>
    </w:rPr>
  </w:style>
  <w:style w:type="character" w:customStyle="1" w:styleId="37">
    <w:name w:val="标题 3 字符"/>
    <w:basedOn w:val="32"/>
    <w:link w:val="9"/>
    <w:qFormat/>
    <w:uiPriority w:val="99"/>
    <w:rPr>
      <w:rFonts w:cstheme="majorBidi"/>
      <w:b/>
      <w:color w:val="0D0D0D" w:themeColor="text1" w:themeTint="F2"/>
      <w:kern w:val="2"/>
      <w:sz w:val="28"/>
      <w:szCs w:val="32"/>
      <w14:textFill>
        <w14:solidFill>
          <w14:schemeClr w14:val="tx1">
            <w14:lumMod w14:val="95000"/>
            <w14:lumOff w14:val="5000"/>
          </w14:schemeClr>
        </w14:solidFill>
      </w14:textFill>
    </w:rPr>
  </w:style>
  <w:style w:type="character" w:customStyle="1" w:styleId="38">
    <w:name w:val="标题 4 字符"/>
    <w:basedOn w:val="32"/>
    <w:link w:val="10"/>
    <w:qFormat/>
    <w:uiPriority w:val="99"/>
    <w:rPr>
      <w:rFonts w:cstheme="majorBidi"/>
      <w:b/>
      <w:color w:val="0D0D0D" w:themeColor="text1" w:themeTint="F2"/>
      <w:kern w:val="2"/>
      <w:sz w:val="24"/>
      <w:szCs w:val="28"/>
      <w14:textFill>
        <w14:solidFill>
          <w14:schemeClr w14:val="tx1">
            <w14:lumMod w14:val="95000"/>
            <w14:lumOff w14:val="5000"/>
          </w14:schemeClr>
        </w14:solidFill>
      </w14:textFill>
    </w:rPr>
  </w:style>
  <w:style w:type="character" w:customStyle="1" w:styleId="39">
    <w:name w:val="标题 5 字符"/>
    <w:basedOn w:val="32"/>
    <w:link w:val="11"/>
    <w:qFormat/>
    <w:uiPriority w:val="0"/>
    <w:rPr>
      <w:rFonts w:cstheme="majorBidi"/>
      <w:b/>
      <w:color w:val="0D0D0D" w:themeColor="text1" w:themeTint="F2"/>
      <w:kern w:val="2"/>
      <w:sz w:val="21"/>
      <w:szCs w:val="21"/>
      <w14:textFill>
        <w14:solidFill>
          <w14:schemeClr w14:val="tx1">
            <w14:lumMod w14:val="95000"/>
            <w14:lumOff w14:val="5000"/>
          </w14:schemeClr>
        </w14:solidFill>
      </w14:textFill>
    </w:rPr>
  </w:style>
  <w:style w:type="character" w:customStyle="1" w:styleId="40">
    <w:name w:val="标题 6 字符"/>
    <w:basedOn w:val="32"/>
    <w:link w:val="12"/>
    <w:qFormat/>
    <w:uiPriority w:val="0"/>
    <w:rPr>
      <w:rFonts w:cstheme="majorBidi"/>
      <w:b/>
      <w:bCs/>
      <w:color w:val="0D0D0D" w:themeColor="text1" w:themeTint="F2"/>
      <w:kern w:val="2"/>
      <w:sz w:val="21"/>
      <w:szCs w:val="22"/>
      <w14:textFill>
        <w14:solidFill>
          <w14:schemeClr w14:val="tx1">
            <w14:lumMod w14:val="95000"/>
            <w14:lumOff w14:val="5000"/>
          </w14:schemeClr>
        </w14:solidFill>
      </w14:textFill>
    </w:rPr>
  </w:style>
  <w:style w:type="character" w:customStyle="1" w:styleId="41">
    <w:name w:val="标题 7 字符"/>
    <w:basedOn w:val="32"/>
    <w:link w:val="13"/>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42">
    <w:name w:val="标题 8 字符"/>
    <w:basedOn w:val="32"/>
    <w:link w:val="14"/>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43">
    <w:name w:val="标题 9 字符"/>
    <w:basedOn w:val="32"/>
    <w:link w:val="15"/>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44">
    <w:name w:val="Quote"/>
    <w:basedOn w:val="1"/>
    <w:next w:val="1"/>
    <w:link w:val="45"/>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45">
    <w:name w:val="引用 字符"/>
    <w:basedOn w:val="32"/>
    <w:link w:val="44"/>
    <w:qFormat/>
    <w:uiPriority w:val="29"/>
    <w:rPr>
      <w:i/>
      <w:iCs/>
      <w:color w:val="404040" w:themeColor="text1" w:themeTint="BF"/>
      <w14:textFill>
        <w14:solidFill>
          <w14:schemeClr w14:val="tx1">
            <w14:lumMod w14:val="75000"/>
            <w14:lumOff w14:val="25000"/>
          </w14:schemeClr>
        </w14:solidFill>
      </w14:textFill>
    </w:rPr>
  </w:style>
  <w:style w:type="paragraph" w:styleId="46">
    <w:name w:val="List Paragraph"/>
    <w:basedOn w:val="1"/>
    <w:qFormat/>
    <w:uiPriority w:val="99"/>
    <w:pPr>
      <w:ind w:left="720"/>
      <w:contextualSpacing/>
    </w:pPr>
  </w:style>
  <w:style w:type="character" w:customStyle="1" w:styleId="47">
    <w:name w:val="明显强调1"/>
    <w:basedOn w:val="32"/>
    <w:qFormat/>
    <w:uiPriority w:val="21"/>
    <w:rPr>
      <w:i/>
      <w:iCs/>
      <w:color w:val="104862" w:themeColor="accent1" w:themeShade="BF"/>
    </w:rPr>
  </w:style>
  <w:style w:type="paragraph" w:styleId="48">
    <w:name w:val="Intense Quote"/>
    <w:basedOn w:val="1"/>
    <w:next w:val="1"/>
    <w:link w:val="49"/>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49">
    <w:name w:val="明显引用 字符"/>
    <w:basedOn w:val="32"/>
    <w:link w:val="48"/>
    <w:qFormat/>
    <w:uiPriority w:val="30"/>
    <w:rPr>
      <w:i/>
      <w:iCs/>
      <w:color w:val="104862" w:themeColor="accent1" w:themeShade="BF"/>
    </w:rPr>
  </w:style>
  <w:style w:type="character" w:customStyle="1" w:styleId="50">
    <w:name w:val="明显参考1"/>
    <w:basedOn w:val="32"/>
    <w:qFormat/>
    <w:uiPriority w:val="32"/>
    <w:rPr>
      <w:b/>
      <w:bCs/>
      <w:smallCaps/>
      <w:color w:val="104862" w:themeColor="accent1" w:themeShade="BF"/>
      <w:spacing w:val="5"/>
    </w:rPr>
  </w:style>
  <w:style w:type="character" w:customStyle="1" w:styleId="51">
    <w:name w:val="页眉 字符"/>
    <w:basedOn w:val="32"/>
    <w:link w:val="23"/>
    <w:qFormat/>
    <w:uiPriority w:val="99"/>
    <w:rPr>
      <w:rFonts w:ascii="Times New Roman" w:hAnsi="Times New Roman" w:eastAsia="宋体"/>
      <w:sz w:val="18"/>
      <w:szCs w:val="18"/>
    </w:rPr>
  </w:style>
  <w:style w:type="character" w:customStyle="1" w:styleId="52">
    <w:name w:val="页脚 字符"/>
    <w:basedOn w:val="32"/>
    <w:link w:val="22"/>
    <w:qFormat/>
    <w:uiPriority w:val="99"/>
    <w:rPr>
      <w:rFonts w:ascii="Times New Roman" w:hAnsi="Times New Roman" w:eastAsia="宋体"/>
      <w:sz w:val="18"/>
      <w:szCs w:val="18"/>
    </w:rPr>
  </w:style>
  <w:style w:type="paragraph" w:customStyle="1" w:styleId="53">
    <w:name w:val="TOC 标题1"/>
    <w:basedOn w:val="7"/>
    <w:next w:val="1"/>
    <w:unhideWhenUsed/>
    <w:qFormat/>
    <w:uiPriority w:val="39"/>
    <w:pPr>
      <w:widowControl/>
      <w:numPr>
        <w:numId w:val="0"/>
      </w:numPr>
      <w:spacing w:before="240" w:beforeLines="0" w:after="0" w:afterLines="0" w:line="259" w:lineRule="auto"/>
      <w:jc w:val="left"/>
      <w:outlineLvl w:val="9"/>
    </w:pPr>
    <w:rPr>
      <w:rFonts w:asciiTheme="majorHAnsi" w:hAnsiTheme="majorHAnsi" w:eastAsiaTheme="majorEastAsia"/>
      <w:color w:val="135573" w:themeColor="accent1" w:themeTint="F2"/>
      <w:kern w:val="0"/>
      <w:sz w:val="32"/>
      <w:szCs w:val="32"/>
      <w14:textFill>
        <w14:solidFill>
          <w14:schemeClr w14:val="accent1">
            <w14:lumMod w14:val="75000"/>
            <w14:lumMod w14:val="95000"/>
            <w14:lumOff w14:val="5000"/>
          </w14:schemeClr>
        </w14:solidFill>
      </w14:textFill>
    </w:rPr>
  </w:style>
  <w:style w:type="character" w:customStyle="1" w:styleId="54">
    <w:name w:val="未处理的提及1"/>
    <w:basedOn w:val="32"/>
    <w:semiHidden/>
    <w:unhideWhenUsed/>
    <w:qFormat/>
    <w:uiPriority w:val="99"/>
    <w:rPr>
      <w:color w:val="605E5C"/>
      <w:shd w:val="clear" w:color="auto" w:fill="E1DFDD"/>
    </w:rPr>
  </w:style>
  <w:style w:type="paragraph" w:customStyle="1" w:styleId="55">
    <w:name w:val="表格正文"/>
    <w:basedOn w:val="1"/>
    <w:link w:val="56"/>
    <w:qFormat/>
    <w:uiPriority w:val="0"/>
    <w:pPr>
      <w:adjustRightInd w:val="0"/>
      <w:spacing w:line="0" w:lineRule="atLeast"/>
      <w:textAlignment w:val="baseline"/>
    </w:pPr>
    <w:rPr>
      <w:rFonts w:cs="Times New Roman"/>
      <w:sz w:val="21"/>
      <w:szCs w:val="24"/>
    </w:rPr>
  </w:style>
  <w:style w:type="character" w:customStyle="1" w:styleId="56">
    <w:name w:val="表格正文 字符"/>
    <w:link w:val="55"/>
    <w:qFormat/>
    <w:uiPriority w:val="0"/>
    <w:rPr>
      <w:rFonts w:ascii="Times New Roman" w:hAnsi="Times New Roman" w:eastAsia="宋体" w:cs="Times New Roman"/>
      <w:szCs w:val="24"/>
    </w:rPr>
  </w:style>
  <w:style w:type="paragraph" w:customStyle="1" w:styleId="57">
    <w:name w:val="1表格"/>
    <w:basedOn w:val="1"/>
    <w:qFormat/>
    <w:uiPriority w:val="0"/>
    <w:pPr>
      <w:ind w:firstLine="200" w:firstLineChars="200"/>
      <w:jc w:val="center"/>
    </w:pPr>
    <w:rPr>
      <w:rFonts w:cs="Times New Roman"/>
      <w:szCs w:val="20"/>
    </w:rPr>
  </w:style>
  <w:style w:type="character" w:customStyle="1" w:styleId="58">
    <w:name w:val="批注文字 字符"/>
    <w:basedOn w:val="32"/>
    <w:link w:val="18"/>
    <w:qFormat/>
    <w:uiPriority w:val="99"/>
    <w:rPr>
      <w:rFonts w:ascii="Times New Roman" w:hAnsi="Times New Roman" w:eastAsia="宋体" w:cs="宋体"/>
      <w:kern w:val="0"/>
      <w:sz w:val="24"/>
      <w:szCs w:val="21"/>
    </w:rPr>
  </w:style>
  <w:style w:type="character" w:customStyle="1" w:styleId="59">
    <w:name w:val="正文文本缩进 2 字符"/>
    <w:basedOn w:val="32"/>
    <w:link w:val="6"/>
    <w:qFormat/>
    <w:uiPriority w:val="0"/>
    <w:rPr>
      <w:rFonts w:ascii="Times New Roman" w:hAnsi="Times New Roman" w:eastAsia="宋体" w:cs="Times New Roman"/>
      <w:sz w:val="28"/>
      <w:szCs w:val="20"/>
    </w:rPr>
  </w:style>
  <w:style w:type="paragraph" w:customStyle="1" w:styleId="60">
    <w:name w:val="默认段落字体 Para Char Char Char Char"/>
    <w:basedOn w:val="1"/>
    <w:qFormat/>
    <w:uiPriority w:val="0"/>
    <w:pPr>
      <w:spacing w:line="240" w:lineRule="auto"/>
    </w:pPr>
    <w:rPr>
      <w:rFonts w:cs="Times New Roman"/>
      <w:bCs/>
      <w:szCs w:val="28"/>
    </w:rPr>
  </w:style>
  <w:style w:type="character" w:customStyle="1" w:styleId="61">
    <w:name w:val="正文缩进 字符"/>
    <w:link w:val="17"/>
    <w:qFormat/>
    <w:uiPriority w:val="99"/>
    <w:rPr>
      <w:rFonts w:eastAsia="宋体"/>
      <w:sz w:val="24"/>
      <w14:ligatures w14:val="standardContextual"/>
    </w:rPr>
  </w:style>
  <w:style w:type="character" w:styleId="62">
    <w:name w:val="Placeholder Text"/>
    <w:basedOn w:val="32"/>
    <w:semiHidden/>
    <w:qFormat/>
    <w:uiPriority w:val="99"/>
    <w:rPr>
      <w:color w:val="666666"/>
    </w:rPr>
  </w:style>
  <w:style w:type="character" w:customStyle="1" w:styleId="63">
    <w:name w:val="正文缩进 Char2"/>
    <w:qFormat/>
    <w:uiPriority w:val="99"/>
    <w:rPr>
      <w:rFonts w:ascii="等线" w:hAnsi="等线" w:cs="Times New Roman"/>
      <w:kern w:val="2"/>
      <w:sz w:val="24"/>
      <w:szCs w:val="22"/>
    </w:rPr>
  </w:style>
  <w:style w:type="character" w:customStyle="1" w:styleId="64">
    <w:name w:val="批注文字 Char3"/>
    <w:qFormat/>
    <w:uiPriority w:val="99"/>
    <w:rPr>
      <w:rFonts w:cs="宋体"/>
      <w:sz w:val="24"/>
      <w:szCs w:val="21"/>
    </w:rPr>
  </w:style>
  <w:style w:type="character" w:customStyle="1" w:styleId="65">
    <w:name w:val="正文文本 字符"/>
    <w:basedOn w:val="32"/>
    <w:link w:val="3"/>
    <w:semiHidden/>
    <w:qFormat/>
    <w:uiPriority w:val="99"/>
    <w:rPr>
      <w:rFonts w:ascii="Times New Roman" w:hAnsi="Times New Roman" w:eastAsia="宋体"/>
      <w:sz w:val="24"/>
    </w:rPr>
  </w:style>
  <w:style w:type="character" w:customStyle="1" w:styleId="66">
    <w:name w:val="正文文本首行缩进 字符"/>
    <w:basedOn w:val="65"/>
    <w:link w:val="2"/>
    <w:qFormat/>
    <w:uiPriority w:val="99"/>
    <w:rPr>
      <w:rFonts w:ascii="Times New Roman" w:hAnsi="Times New Roman" w:eastAsia="宋体"/>
      <w:sz w:val="24"/>
    </w:rPr>
  </w:style>
  <w:style w:type="paragraph" w:customStyle="1" w:styleId="67">
    <w:name w:val="_Style 63"/>
    <w:basedOn w:val="1"/>
    <w:next w:val="46"/>
    <w:qFormat/>
    <w:uiPriority w:val="99"/>
    <w:pPr>
      <w:ind w:firstLine="420" w:firstLineChars="200"/>
    </w:pPr>
    <w:rPr>
      <w:rFonts w:cs="宋体"/>
      <w:kern w:val="0"/>
      <w:szCs w:val="21"/>
    </w:rPr>
  </w:style>
  <w:style w:type="paragraph" w:customStyle="1" w:styleId="68">
    <w:name w:val="_Style 64"/>
    <w:basedOn w:val="1"/>
    <w:next w:val="46"/>
    <w:qFormat/>
    <w:uiPriority w:val="99"/>
    <w:pPr>
      <w:ind w:firstLine="420" w:firstLineChars="200"/>
    </w:pPr>
    <w:rPr>
      <w:rFonts w:cs="宋体"/>
      <w:kern w:val="0"/>
      <w:szCs w:val="21"/>
    </w:rPr>
  </w:style>
  <w:style w:type="character" w:customStyle="1" w:styleId="69">
    <w:name w:val="未处理的提及2"/>
    <w:basedOn w:val="32"/>
    <w:semiHidden/>
    <w:unhideWhenUsed/>
    <w:qFormat/>
    <w:uiPriority w:val="99"/>
    <w:rPr>
      <w:color w:val="605E5C"/>
      <w:shd w:val="clear" w:color="auto" w:fill="E1DFDD"/>
    </w:rPr>
  </w:style>
  <w:style w:type="table" w:customStyle="1" w:styleId="70">
    <w:name w:val="Table Normal"/>
    <w:unhideWhenUsed/>
    <w:qFormat/>
    <w:uiPriority w:val="2"/>
    <w:pPr>
      <w:widowControl w:val="0"/>
    </w:pPr>
    <w:rPr>
      <w:sz w:val="22"/>
      <w:lang w:eastAsia="en-US"/>
    </w:rPr>
    <w:tblPr>
      <w:tblCellMar>
        <w:top w:w="0" w:type="dxa"/>
        <w:left w:w="0" w:type="dxa"/>
        <w:bottom w:w="0" w:type="dxa"/>
        <w:right w:w="0" w:type="dxa"/>
      </w:tblCellMar>
    </w:tblPr>
  </w:style>
  <w:style w:type="paragraph" w:customStyle="1" w:styleId="71">
    <w:name w:val="Table Text"/>
    <w:semiHidden/>
    <w:qFormat/>
    <w:uiPriority w:val="0"/>
    <w:pPr>
      <w:kinsoku w:val="0"/>
      <w:autoSpaceDE w:val="0"/>
      <w:autoSpaceDN w:val="0"/>
      <w:adjustRightInd w:val="0"/>
      <w:snapToGrid w:val="0"/>
      <w:textAlignment w:val="baseline"/>
    </w:pPr>
    <w:rPr>
      <w:rFonts w:ascii="宋体" w:hAnsi="宋体" w:eastAsia="宋体" w:cs="宋体"/>
      <w:snapToGrid w:val="0"/>
      <w:color w:val="000000"/>
      <w:lang w:val="en-US" w:eastAsia="en-US" w:bidi="ar-SA"/>
    </w:rPr>
  </w:style>
  <w:style w:type="character" w:customStyle="1" w:styleId="72">
    <w:name w:val="批注主题 字符"/>
    <w:basedOn w:val="58"/>
    <w:link w:val="29"/>
    <w:semiHidden/>
    <w:qFormat/>
    <w:uiPriority w:val="99"/>
    <w:rPr>
      <w:rFonts w:ascii="Times New Roman" w:hAnsi="Times New Roman" w:eastAsia="宋体" w:cstheme="minorBidi"/>
      <w:b/>
      <w:bCs/>
      <w:kern w:val="2"/>
      <w:sz w:val="24"/>
      <w:szCs w:val="22"/>
    </w:rPr>
  </w:style>
  <w:style w:type="character" w:customStyle="1" w:styleId="73">
    <w:name w:val="正文文本首行缩进 2 字符"/>
    <w:basedOn w:val="32"/>
    <w:link w:val="4"/>
    <w:qFormat/>
    <w:uiPriority w:val="99"/>
    <w:rPr>
      <w:rFonts w:cstheme="minorBidi"/>
      <w:sz w:val="24"/>
    </w:rPr>
  </w:style>
  <w:style w:type="character" w:customStyle="1" w:styleId="74">
    <w:name w:val="Unresolved Mention"/>
    <w:basedOn w:val="3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numbering" Target="numbering.xml"/><Relationship Id="rId36" Type="http://schemas.openxmlformats.org/officeDocument/2006/relationships/image" Target="media/image24.jpe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emf"/><Relationship Id="rId28" Type="http://schemas.openxmlformats.org/officeDocument/2006/relationships/package" Target="embeddings/Microsoft_Visio___3.vsdx"/><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emf"/><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wmf"/><Relationship Id="rId21" Type="http://schemas.openxmlformats.org/officeDocument/2006/relationships/oleObject" Target="embeddings/oleObject3.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9.wmf"/><Relationship Id="rId17" Type="http://schemas.openxmlformats.org/officeDocument/2006/relationships/oleObject" Target="embeddings/oleObject1.bin"/><Relationship Id="rId16" Type="http://schemas.openxmlformats.org/officeDocument/2006/relationships/image" Target="media/image8.emf"/><Relationship Id="rId15" Type="http://schemas.openxmlformats.org/officeDocument/2006/relationships/package" Target="embeddings/Microsoft_Visio___2.vsdx"/><Relationship Id="rId14" Type="http://schemas.openxmlformats.org/officeDocument/2006/relationships/image" Target="media/image7.emf"/><Relationship Id="rId13" Type="http://schemas.openxmlformats.org/officeDocument/2006/relationships/package" Target="embeddings/Microsoft_Visio___1.vsdx"/><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599C9-FAB0-4FB1-BABD-E16E030E5AB3}">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335</Pages>
  <Words>228</Words>
  <Characters>242</Characters>
  <Lines>1874</Lines>
  <Paragraphs>527</Paragraphs>
  <TotalTime>7478</TotalTime>
  <ScaleCrop>false</ScaleCrop>
  <LinksUpToDate>false</LinksUpToDate>
  <CharactersWithSpaces>242</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2025-06-09T03:13:00Z</dcterms:created>
  <dc:creator>Administrator</dc:creator>
  <cp:lastModifiedBy>20314</cp:lastModifiedBy>
  <cp:lastPrinted>2025-08-08T07:17:00Z</cp:lastPrinted>
  <dcterms:modified xsi:type="dcterms:W3CDTF">2025-08-11T03:01:44Z</dcterms:modified>
  <cp:revision>247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eyJoZGlkIjoiN2I4YzVlMmUyMjc0YjZhY2E1YmJiMWRiMWI0YzAwNTIiLCJ1c2VySWQiOiIxMDM3NjMxMjY0In0=</vt:lpwstr>
  </property>
  <property fmtid="{D5CDD505-2E9C-101B-9397-08002B2CF9AE}" pid="3" name="KSOProductBuildVer">
    <vt:lpwstr>2052-12.8.2.18205</vt:lpwstr>
  </property>
  <property fmtid="{D5CDD505-2E9C-101B-9397-08002B2CF9AE}" pid="4" name="ICV">
    <vt:lpwstr>7FF7C79B5C1A42F1812D0D2AD57D0DE4_12</vt:lpwstr>
  </property>
</Properties>
</file>